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4D0E4" w14:textId="77777777" w:rsidR="00F85554" w:rsidRPr="004979D2" w:rsidRDefault="00F85554" w:rsidP="002B1BC6">
      <w:pPr>
        <w:spacing w:line="360" w:lineRule="auto"/>
        <w:rPr>
          <w:rFonts w:ascii="Times New Roman" w:hAnsi="Times New Roman" w:cs="Times New Roman"/>
          <w:noProof/>
          <w:sz w:val="24"/>
          <w:szCs w:val="24"/>
        </w:rPr>
      </w:pPr>
      <w:bookmarkStart w:id="0" w:name="_GoBack"/>
      <w:bookmarkEnd w:id="0"/>
    </w:p>
    <w:p w14:paraId="060EB1E5" w14:textId="77777777" w:rsidR="00F85554" w:rsidRPr="004979D2" w:rsidRDefault="00F85554" w:rsidP="002B1BC6">
      <w:pPr>
        <w:spacing w:line="360" w:lineRule="auto"/>
        <w:rPr>
          <w:rFonts w:ascii="Times New Roman" w:hAnsi="Times New Roman" w:cs="Times New Roman"/>
          <w:noProof/>
          <w:sz w:val="24"/>
          <w:szCs w:val="24"/>
        </w:rPr>
      </w:pPr>
    </w:p>
    <w:p w14:paraId="7CCB435A" w14:textId="77777777" w:rsidR="00F85554" w:rsidRPr="004979D2" w:rsidRDefault="00F85554" w:rsidP="002B1BC6">
      <w:pPr>
        <w:spacing w:line="360" w:lineRule="auto"/>
        <w:rPr>
          <w:rFonts w:ascii="Times New Roman" w:hAnsi="Times New Roman" w:cs="Times New Roman"/>
          <w:noProof/>
          <w:sz w:val="24"/>
          <w:szCs w:val="24"/>
        </w:rPr>
      </w:pPr>
    </w:p>
    <w:p w14:paraId="1CE3D77F" w14:textId="77777777" w:rsidR="0030194A" w:rsidRPr="004979D2" w:rsidRDefault="0030194A" w:rsidP="002B1BC6">
      <w:pPr>
        <w:spacing w:line="360" w:lineRule="auto"/>
        <w:rPr>
          <w:rFonts w:ascii="Times New Roman" w:hAnsi="Times New Roman" w:cs="Times New Roman"/>
          <w:sz w:val="24"/>
          <w:szCs w:val="24"/>
        </w:rPr>
      </w:pPr>
      <w:r w:rsidRPr="004979D2">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5446239B" wp14:editId="21D0CA2D">
            <wp:simplePos x="0" y="0"/>
            <wp:positionH relativeFrom="column">
              <wp:posOffset>2533650</wp:posOffset>
            </wp:positionH>
            <wp:positionV relativeFrom="paragraph">
              <wp:posOffset>-114300</wp:posOffset>
            </wp:positionV>
            <wp:extent cx="79057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pic:spPr>
                </pic:pic>
              </a:graphicData>
            </a:graphic>
          </wp:anchor>
        </w:drawing>
      </w:r>
    </w:p>
    <w:p w14:paraId="6BCEEA17" w14:textId="77777777" w:rsidR="0030194A" w:rsidRPr="004979D2" w:rsidRDefault="0030194A" w:rsidP="002B1BC6">
      <w:pPr>
        <w:spacing w:line="360" w:lineRule="auto"/>
        <w:rPr>
          <w:rFonts w:ascii="Times New Roman" w:hAnsi="Times New Roman" w:cs="Times New Roman"/>
          <w:sz w:val="24"/>
          <w:szCs w:val="24"/>
        </w:rPr>
      </w:pPr>
    </w:p>
    <w:p w14:paraId="7BF77514" w14:textId="77777777" w:rsidR="0030194A" w:rsidRPr="004979D2" w:rsidRDefault="0030194A" w:rsidP="002B1BC6">
      <w:pPr>
        <w:spacing w:line="360" w:lineRule="auto"/>
        <w:rPr>
          <w:rFonts w:ascii="Times New Roman" w:hAnsi="Times New Roman" w:cs="Times New Roman"/>
          <w:sz w:val="24"/>
          <w:szCs w:val="24"/>
        </w:rPr>
      </w:pPr>
    </w:p>
    <w:p w14:paraId="5F5382DD" w14:textId="77777777" w:rsidR="0030194A" w:rsidRPr="004979D2" w:rsidRDefault="0030194A" w:rsidP="002B1BC6">
      <w:pPr>
        <w:pStyle w:val="NoSpacing"/>
        <w:spacing w:line="360" w:lineRule="auto"/>
        <w:jc w:val="center"/>
        <w:rPr>
          <w:rFonts w:ascii="Times New Roman" w:eastAsia="Batang" w:hAnsi="Times New Roman"/>
          <w:b/>
          <w:bCs/>
          <w:sz w:val="24"/>
          <w:szCs w:val="24"/>
          <w:lang w:val="sv-SE"/>
        </w:rPr>
      </w:pPr>
      <w:r w:rsidRPr="004979D2">
        <w:rPr>
          <w:rFonts w:ascii="Times New Roman" w:hAnsi="Times New Roman"/>
          <w:b/>
          <w:bCs/>
          <w:sz w:val="24"/>
          <w:szCs w:val="24"/>
        </w:rPr>
        <w:t>Republika e Kosovës</w:t>
      </w:r>
    </w:p>
    <w:p w14:paraId="21D04934" w14:textId="77777777" w:rsidR="0030194A" w:rsidRPr="004979D2" w:rsidRDefault="0030194A" w:rsidP="002B1BC6">
      <w:pPr>
        <w:pStyle w:val="NoSpacing"/>
        <w:spacing w:line="360" w:lineRule="auto"/>
        <w:jc w:val="center"/>
        <w:rPr>
          <w:rFonts w:ascii="Times New Roman" w:hAnsi="Times New Roman"/>
          <w:b/>
          <w:bCs/>
          <w:sz w:val="24"/>
          <w:szCs w:val="24"/>
          <w:lang w:val="sv-SE"/>
        </w:rPr>
      </w:pPr>
      <w:r w:rsidRPr="004979D2">
        <w:rPr>
          <w:rFonts w:ascii="Times New Roman" w:eastAsia="Batang" w:hAnsi="Times New Roman"/>
          <w:b/>
          <w:bCs/>
          <w:sz w:val="24"/>
          <w:szCs w:val="24"/>
          <w:lang w:val="sv-SE"/>
        </w:rPr>
        <w:t>Republika Kosova-</w:t>
      </w:r>
      <w:r w:rsidRPr="004979D2">
        <w:rPr>
          <w:rFonts w:ascii="Times New Roman" w:hAnsi="Times New Roman"/>
          <w:b/>
          <w:bCs/>
          <w:sz w:val="24"/>
          <w:szCs w:val="24"/>
          <w:lang w:val="sv-SE"/>
        </w:rPr>
        <w:t xml:space="preserve">Republic of </w:t>
      </w:r>
      <w:proofErr w:type="spellStart"/>
      <w:r w:rsidRPr="004979D2">
        <w:rPr>
          <w:rFonts w:ascii="Times New Roman" w:hAnsi="Times New Roman"/>
          <w:b/>
          <w:bCs/>
          <w:sz w:val="24"/>
          <w:szCs w:val="24"/>
        </w:rPr>
        <w:t>Kosovo</w:t>
      </w:r>
      <w:proofErr w:type="spellEnd"/>
    </w:p>
    <w:p w14:paraId="4E951F77" w14:textId="77777777" w:rsidR="0030194A" w:rsidRPr="004979D2" w:rsidRDefault="0030194A" w:rsidP="002B1BC6">
      <w:pPr>
        <w:pStyle w:val="NoSpacing"/>
        <w:spacing w:line="360" w:lineRule="auto"/>
        <w:jc w:val="center"/>
        <w:rPr>
          <w:rFonts w:ascii="Times New Roman" w:hAnsi="Times New Roman"/>
          <w:i/>
          <w:iCs/>
          <w:sz w:val="24"/>
          <w:szCs w:val="24"/>
        </w:rPr>
      </w:pPr>
      <w:r w:rsidRPr="004979D2">
        <w:rPr>
          <w:rFonts w:ascii="Times New Roman" w:hAnsi="Times New Roman"/>
          <w:i/>
          <w:iCs/>
          <w:sz w:val="24"/>
          <w:szCs w:val="24"/>
        </w:rPr>
        <w:t xml:space="preserve">Qeveria - </w:t>
      </w:r>
      <w:proofErr w:type="spellStart"/>
      <w:r w:rsidRPr="004979D2">
        <w:rPr>
          <w:rFonts w:ascii="Times New Roman" w:hAnsi="Times New Roman"/>
          <w:i/>
          <w:iCs/>
          <w:sz w:val="24"/>
          <w:szCs w:val="24"/>
        </w:rPr>
        <w:t>Vlada</w:t>
      </w:r>
      <w:proofErr w:type="spellEnd"/>
      <w:r w:rsidRPr="004979D2">
        <w:rPr>
          <w:rFonts w:ascii="Times New Roman" w:hAnsi="Times New Roman"/>
          <w:i/>
          <w:iCs/>
          <w:sz w:val="24"/>
          <w:szCs w:val="24"/>
        </w:rPr>
        <w:t xml:space="preserve"> – </w:t>
      </w:r>
      <w:proofErr w:type="spellStart"/>
      <w:r w:rsidRPr="004979D2">
        <w:rPr>
          <w:rFonts w:ascii="Times New Roman" w:hAnsi="Times New Roman"/>
          <w:i/>
          <w:iCs/>
          <w:sz w:val="24"/>
          <w:szCs w:val="24"/>
        </w:rPr>
        <w:t>Government</w:t>
      </w:r>
      <w:proofErr w:type="spellEnd"/>
    </w:p>
    <w:p w14:paraId="49E4EE53" w14:textId="77777777" w:rsidR="0030194A" w:rsidRPr="004979D2" w:rsidRDefault="0030194A" w:rsidP="002B1BC6">
      <w:pPr>
        <w:pStyle w:val="NoSpacing"/>
        <w:spacing w:line="360" w:lineRule="auto"/>
        <w:jc w:val="center"/>
        <w:rPr>
          <w:rFonts w:ascii="Times New Roman" w:hAnsi="Times New Roman"/>
          <w:i/>
          <w:iCs/>
          <w:sz w:val="24"/>
          <w:szCs w:val="24"/>
        </w:rPr>
      </w:pPr>
    </w:p>
    <w:p w14:paraId="6E97B4AD" w14:textId="77777777" w:rsidR="0030194A" w:rsidRPr="004979D2" w:rsidRDefault="0030194A" w:rsidP="002B1BC6">
      <w:pPr>
        <w:pStyle w:val="CharCharChar"/>
        <w:pBdr>
          <w:bottom w:val="single" w:sz="12" w:space="1" w:color="auto"/>
        </w:pBdr>
        <w:spacing w:line="360" w:lineRule="auto"/>
        <w:jc w:val="center"/>
        <w:rPr>
          <w:rFonts w:ascii="Times New Roman" w:hAnsi="Times New Roman"/>
          <w:i/>
          <w:iCs/>
          <w:color w:val="000000"/>
          <w:sz w:val="24"/>
          <w:szCs w:val="24"/>
        </w:rPr>
      </w:pPr>
      <w:r w:rsidRPr="004979D2">
        <w:rPr>
          <w:rFonts w:ascii="Times New Roman" w:hAnsi="Times New Roman"/>
          <w:i/>
          <w:color w:val="000000"/>
          <w:sz w:val="24"/>
          <w:szCs w:val="24"/>
        </w:rPr>
        <w:t>Ministria e Tregtisë dhe Industrisë - Ministarstvo Trgovine i Industrije - Ministry of Trade and Industry</w:t>
      </w:r>
    </w:p>
    <w:p w14:paraId="4CFB3879" w14:textId="77777777" w:rsidR="0030194A" w:rsidRPr="004979D2" w:rsidRDefault="0030194A" w:rsidP="002B1BC6">
      <w:pPr>
        <w:spacing w:line="360" w:lineRule="auto"/>
        <w:rPr>
          <w:rFonts w:ascii="Times New Roman" w:hAnsi="Times New Roman" w:cs="Times New Roman"/>
          <w:sz w:val="24"/>
          <w:szCs w:val="24"/>
        </w:rPr>
      </w:pPr>
    </w:p>
    <w:p w14:paraId="5CB25BE3" w14:textId="77777777" w:rsidR="00F85554" w:rsidRPr="004979D2" w:rsidRDefault="00F85554" w:rsidP="002B1BC6">
      <w:pPr>
        <w:spacing w:line="360" w:lineRule="auto"/>
        <w:rPr>
          <w:rFonts w:ascii="Times New Roman" w:hAnsi="Times New Roman" w:cs="Times New Roman"/>
          <w:sz w:val="24"/>
          <w:szCs w:val="24"/>
        </w:rPr>
      </w:pPr>
    </w:p>
    <w:p w14:paraId="58FCA818" w14:textId="77777777" w:rsidR="00F85554" w:rsidRPr="004979D2" w:rsidRDefault="00F85554" w:rsidP="002B1BC6">
      <w:pPr>
        <w:spacing w:line="360" w:lineRule="auto"/>
        <w:rPr>
          <w:rFonts w:ascii="Times New Roman" w:hAnsi="Times New Roman" w:cs="Times New Roman"/>
          <w:sz w:val="24"/>
          <w:szCs w:val="24"/>
        </w:rPr>
      </w:pPr>
    </w:p>
    <w:p w14:paraId="6FC992D5" w14:textId="77777777" w:rsidR="00F85554" w:rsidRPr="004979D2" w:rsidRDefault="00F85554" w:rsidP="002B1BC6">
      <w:pPr>
        <w:spacing w:line="360" w:lineRule="auto"/>
        <w:rPr>
          <w:rFonts w:ascii="Times New Roman" w:hAnsi="Times New Roman" w:cs="Times New Roman"/>
          <w:sz w:val="24"/>
          <w:szCs w:val="24"/>
        </w:rPr>
      </w:pPr>
    </w:p>
    <w:p w14:paraId="2312E7B9" w14:textId="235A632C" w:rsidR="00F85554" w:rsidRPr="004979D2" w:rsidRDefault="000C25D9" w:rsidP="002B1BC6">
      <w:pPr>
        <w:spacing w:line="360" w:lineRule="auto"/>
        <w:jc w:val="center"/>
        <w:rPr>
          <w:rFonts w:ascii="Times New Roman" w:hAnsi="Times New Roman" w:cs="Times New Roman"/>
          <w:sz w:val="24"/>
          <w:szCs w:val="24"/>
        </w:rPr>
      </w:pPr>
      <w:r w:rsidRPr="004979D2">
        <w:rPr>
          <w:rFonts w:ascii="Times New Roman" w:hAnsi="Times New Roman" w:cs="Times New Roman"/>
          <w:b/>
          <w:sz w:val="24"/>
          <w:szCs w:val="24"/>
        </w:rPr>
        <w:t xml:space="preserve">DRAFT </w:t>
      </w:r>
      <w:r w:rsidR="009015B2" w:rsidRPr="004979D2">
        <w:rPr>
          <w:rFonts w:ascii="Times New Roman" w:hAnsi="Times New Roman" w:cs="Times New Roman"/>
          <w:b/>
          <w:sz w:val="24"/>
          <w:szCs w:val="24"/>
        </w:rPr>
        <w:t>KONCEPT DOKUMENTI</w:t>
      </w:r>
      <w:r w:rsidR="00F85554" w:rsidRPr="004979D2">
        <w:rPr>
          <w:rFonts w:ascii="Times New Roman" w:hAnsi="Times New Roman" w:cs="Times New Roman"/>
          <w:b/>
          <w:sz w:val="24"/>
          <w:szCs w:val="24"/>
        </w:rPr>
        <w:t xml:space="preserve"> </w:t>
      </w:r>
      <w:r w:rsidR="000A0F07" w:rsidRPr="004979D2">
        <w:rPr>
          <w:rFonts w:ascii="Times New Roman" w:hAnsi="Times New Roman" w:cs="Times New Roman"/>
          <w:b/>
          <w:sz w:val="24"/>
          <w:szCs w:val="24"/>
        </w:rPr>
        <w:t>P</w:t>
      </w:r>
      <w:r w:rsidR="00F85554" w:rsidRPr="004979D2">
        <w:rPr>
          <w:rFonts w:ascii="Times New Roman" w:hAnsi="Times New Roman" w:cs="Times New Roman"/>
          <w:b/>
          <w:sz w:val="24"/>
          <w:szCs w:val="24"/>
        </w:rPr>
        <w:t>Ë</w:t>
      </w:r>
      <w:r w:rsidR="000A0F07" w:rsidRPr="004979D2">
        <w:rPr>
          <w:rFonts w:ascii="Times New Roman" w:hAnsi="Times New Roman" w:cs="Times New Roman"/>
          <w:b/>
          <w:sz w:val="24"/>
          <w:szCs w:val="24"/>
        </w:rPr>
        <w:t>R</w:t>
      </w:r>
      <w:r w:rsidR="00F85554" w:rsidRPr="004979D2">
        <w:rPr>
          <w:rFonts w:ascii="Times New Roman" w:hAnsi="Times New Roman" w:cs="Times New Roman"/>
          <w:b/>
          <w:sz w:val="24"/>
          <w:szCs w:val="24"/>
        </w:rPr>
        <w:t xml:space="preserve"> FUSHËN E KONKURRENCËS</w:t>
      </w:r>
    </w:p>
    <w:p w14:paraId="27505EE1" w14:textId="77777777" w:rsidR="0030194A" w:rsidRPr="004979D2" w:rsidRDefault="0030194A" w:rsidP="002B1BC6">
      <w:pPr>
        <w:spacing w:line="360" w:lineRule="auto"/>
        <w:rPr>
          <w:rFonts w:ascii="Times New Roman" w:hAnsi="Times New Roman" w:cs="Times New Roman"/>
          <w:sz w:val="24"/>
          <w:szCs w:val="24"/>
        </w:rPr>
      </w:pPr>
    </w:p>
    <w:p w14:paraId="515499D4" w14:textId="77777777" w:rsidR="0030194A" w:rsidRDefault="0030194A" w:rsidP="002B1BC6">
      <w:pPr>
        <w:spacing w:line="360" w:lineRule="auto"/>
        <w:rPr>
          <w:rFonts w:ascii="Times New Roman" w:hAnsi="Times New Roman" w:cs="Times New Roman"/>
          <w:sz w:val="24"/>
          <w:szCs w:val="24"/>
        </w:rPr>
      </w:pPr>
    </w:p>
    <w:p w14:paraId="7BA3D8E9" w14:textId="77777777" w:rsidR="002B1BC6" w:rsidRDefault="002B1BC6" w:rsidP="002B1BC6">
      <w:pPr>
        <w:spacing w:line="360" w:lineRule="auto"/>
        <w:rPr>
          <w:rFonts w:ascii="Times New Roman" w:hAnsi="Times New Roman" w:cs="Times New Roman"/>
          <w:sz w:val="24"/>
          <w:szCs w:val="24"/>
        </w:rPr>
      </w:pPr>
    </w:p>
    <w:p w14:paraId="57C565D8" w14:textId="77777777" w:rsidR="002B1BC6" w:rsidRDefault="002B1BC6" w:rsidP="002B1BC6">
      <w:pPr>
        <w:spacing w:line="360" w:lineRule="auto"/>
        <w:rPr>
          <w:rFonts w:ascii="Times New Roman" w:hAnsi="Times New Roman" w:cs="Times New Roman"/>
          <w:sz w:val="24"/>
          <w:szCs w:val="24"/>
        </w:rPr>
      </w:pPr>
    </w:p>
    <w:p w14:paraId="594FA3D7" w14:textId="77777777" w:rsidR="002B1BC6" w:rsidRPr="004979D2" w:rsidRDefault="002B1BC6" w:rsidP="002B1BC6">
      <w:pPr>
        <w:spacing w:line="360" w:lineRule="auto"/>
        <w:rPr>
          <w:rFonts w:ascii="Times New Roman" w:hAnsi="Times New Roman" w:cs="Times New Roman"/>
          <w:sz w:val="24"/>
          <w:szCs w:val="24"/>
        </w:rPr>
      </w:pPr>
    </w:p>
    <w:p w14:paraId="73E40486" w14:textId="77777777" w:rsidR="00A61B6E" w:rsidRPr="004979D2" w:rsidRDefault="00C325AA"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P</w:t>
      </w:r>
      <w:r w:rsidR="00180BB0" w:rsidRPr="004979D2">
        <w:rPr>
          <w:rFonts w:ascii="Times New Roman" w:hAnsi="Times New Roman" w:cs="Times New Roman"/>
          <w:sz w:val="24"/>
          <w:szCs w:val="24"/>
        </w:rPr>
        <w:t>ë</w:t>
      </w:r>
      <w:r w:rsidRPr="004979D2">
        <w:rPr>
          <w:rFonts w:ascii="Times New Roman" w:hAnsi="Times New Roman" w:cs="Times New Roman"/>
          <w:sz w:val="24"/>
          <w:szCs w:val="24"/>
        </w:rPr>
        <w:t>r</w:t>
      </w:r>
      <w:r w:rsidR="00180BB0" w:rsidRPr="004979D2">
        <w:rPr>
          <w:rFonts w:ascii="Times New Roman" w:hAnsi="Times New Roman" w:cs="Times New Roman"/>
          <w:sz w:val="24"/>
          <w:szCs w:val="24"/>
        </w:rPr>
        <w:t>gatitur nga</w:t>
      </w:r>
      <w:r w:rsidR="00F85554" w:rsidRPr="004979D2">
        <w:rPr>
          <w:rFonts w:ascii="Times New Roman" w:hAnsi="Times New Roman" w:cs="Times New Roman"/>
          <w:sz w:val="24"/>
          <w:szCs w:val="24"/>
        </w:rPr>
        <w:t xml:space="preserve"> </w:t>
      </w:r>
      <w:r w:rsidR="00F85554" w:rsidRPr="004979D2">
        <w:rPr>
          <w:rFonts w:ascii="Times New Roman" w:hAnsi="Times New Roman" w:cs="Times New Roman"/>
          <w:b/>
          <w:sz w:val="24"/>
          <w:szCs w:val="24"/>
        </w:rPr>
        <w:t>Ministria e Tregtisë dhe Industrisë</w:t>
      </w:r>
    </w:p>
    <w:p w14:paraId="0D8E794D" w14:textId="298ACC72" w:rsidR="00F85554" w:rsidRPr="004979D2" w:rsidRDefault="000A0F07" w:rsidP="002B1BC6">
      <w:pPr>
        <w:spacing w:after="0" w:line="360" w:lineRule="auto"/>
        <w:rPr>
          <w:rFonts w:ascii="Times New Roman" w:hAnsi="Times New Roman" w:cs="Times New Roman"/>
          <w:b/>
          <w:sz w:val="24"/>
          <w:szCs w:val="24"/>
        </w:rPr>
      </w:pPr>
      <w:r w:rsidRPr="004979D2">
        <w:rPr>
          <w:rFonts w:ascii="Times New Roman" w:hAnsi="Times New Roman" w:cs="Times New Roman"/>
          <w:b/>
          <w:sz w:val="24"/>
          <w:szCs w:val="24"/>
        </w:rPr>
        <w:t>Shkurt</w:t>
      </w:r>
      <w:r w:rsidR="00F85554" w:rsidRPr="004979D2">
        <w:rPr>
          <w:rFonts w:ascii="Times New Roman" w:hAnsi="Times New Roman" w:cs="Times New Roman"/>
          <w:b/>
          <w:sz w:val="24"/>
          <w:szCs w:val="24"/>
        </w:rPr>
        <w:t>, 201</w:t>
      </w:r>
      <w:r w:rsidRPr="004979D2">
        <w:rPr>
          <w:rFonts w:ascii="Times New Roman" w:hAnsi="Times New Roman" w:cs="Times New Roman"/>
          <w:b/>
          <w:sz w:val="24"/>
          <w:szCs w:val="24"/>
        </w:rPr>
        <w:t>9</w:t>
      </w:r>
    </w:p>
    <w:sdt>
      <w:sdtPr>
        <w:rPr>
          <w:rFonts w:ascii="Times New Roman" w:eastAsiaTheme="minorHAnsi" w:hAnsi="Times New Roman" w:cs="Times New Roman"/>
          <w:color w:val="auto"/>
          <w:sz w:val="24"/>
          <w:szCs w:val="24"/>
        </w:rPr>
        <w:id w:val="-341398042"/>
        <w:docPartObj>
          <w:docPartGallery w:val="Table of Contents"/>
          <w:docPartUnique/>
        </w:docPartObj>
      </w:sdtPr>
      <w:sdtEndPr>
        <w:rPr>
          <w:b/>
          <w:bCs/>
        </w:rPr>
      </w:sdtEndPr>
      <w:sdtContent>
        <w:p w14:paraId="1602F00C" w14:textId="77777777" w:rsidR="004979D2" w:rsidRPr="004979D2" w:rsidRDefault="004979D2" w:rsidP="002B1BC6">
          <w:pPr>
            <w:pStyle w:val="TOCHeading"/>
            <w:spacing w:line="240" w:lineRule="auto"/>
            <w:rPr>
              <w:rFonts w:ascii="Times New Roman" w:hAnsi="Times New Roman" w:cs="Times New Roman"/>
              <w:b/>
              <w:sz w:val="24"/>
              <w:szCs w:val="24"/>
            </w:rPr>
          </w:pPr>
          <w:r w:rsidRPr="004979D2">
            <w:rPr>
              <w:rFonts w:ascii="Times New Roman" w:hAnsi="Times New Roman" w:cs="Times New Roman"/>
              <w:b/>
              <w:sz w:val="24"/>
              <w:szCs w:val="24"/>
            </w:rPr>
            <w:t>PËRMBAJTJA</w:t>
          </w:r>
        </w:p>
        <w:p w14:paraId="1A708B57" w14:textId="77777777" w:rsidR="002B622F" w:rsidRDefault="004979D2">
          <w:pPr>
            <w:pStyle w:val="TOC1"/>
            <w:tabs>
              <w:tab w:val="right" w:leader="dot" w:pos="9170"/>
            </w:tabs>
            <w:rPr>
              <w:rFonts w:eastAsiaTheme="minorEastAsia"/>
              <w:noProof/>
              <w:lang w:val="en-US"/>
            </w:rPr>
          </w:pPr>
          <w:r w:rsidRPr="004979D2">
            <w:rPr>
              <w:rFonts w:ascii="Times New Roman" w:hAnsi="Times New Roman" w:cs="Times New Roman"/>
              <w:sz w:val="24"/>
              <w:szCs w:val="24"/>
            </w:rPr>
            <w:fldChar w:fldCharType="begin"/>
          </w:r>
          <w:r w:rsidRPr="004979D2">
            <w:rPr>
              <w:rFonts w:ascii="Times New Roman" w:hAnsi="Times New Roman" w:cs="Times New Roman"/>
              <w:sz w:val="24"/>
              <w:szCs w:val="24"/>
            </w:rPr>
            <w:instrText xml:space="preserve"> TOC \o "1-3" \h \z \u </w:instrText>
          </w:r>
          <w:r w:rsidRPr="004979D2">
            <w:rPr>
              <w:rFonts w:ascii="Times New Roman" w:hAnsi="Times New Roman" w:cs="Times New Roman"/>
              <w:sz w:val="24"/>
              <w:szCs w:val="24"/>
            </w:rPr>
            <w:fldChar w:fldCharType="separate"/>
          </w:r>
          <w:hyperlink w:anchor="_Toc1114313" w:history="1">
            <w:r w:rsidR="002B622F" w:rsidRPr="000E655A">
              <w:rPr>
                <w:rStyle w:val="Hyperlink"/>
                <w:rFonts w:ascii="Times New Roman" w:hAnsi="Times New Roman" w:cs="Times New Roman"/>
                <w:b/>
                <w:noProof/>
              </w:rPr>
              <w:t>HYRJE</w:t>
            </w:r>
            <w:r w:rsidR="002B622F">
              <w:rPr>
                <w:noProof/>
                <w:webHidden/>
              </w:rPr>
              <w:tab/>
            </w:r>
            <w:r w:rsidR="002B622F">
              <w:rPr>
                <w:noProof/>
                <w:webHidden/>
              </w:rPr>
              <w:fldChar w:fldCharType="begin"/>
            </w:r>
            <w:r w:rsidR="002B622F">
              <w:rPr>
                <w:noProof/>
                <w:webHidden/>
              </w:rPr>
              <w:instrText xml:space="preserve"> PAGEREF _Toc1114313 \h </w:instrText>
            </w:r>
            <w:r w:rsidR="002B622F">
              <w:rPr>
                <w:noProof/>
                <w:webHidden/>
              </w:rPr>
            </w:r>
            <w:r w:rsidR="002B622F">
              <w:rPr>
                <w:noProof/>
                <w:webHidden/>
              </w:rPr>
              <w:fldChar w:fldCharType="separate"/>
            </w:r>
            <w:r w:rsidR="002B622F">
              <w:rPr>
                <w:noProof/>
                <w:webHidden/>
              </w:rPr>
              <w:t>5</w:t>
            </w:r>
            <w:r w:rsidR="002B622F">
              <w:rPr>
                <w:noProof/>
                <w:webHidden/>
              </w:rPr>
              <w:fldChar w:fldCharType="end"/>
            </w:r>
          </w:hyperlink>
        </w:p>
        <w:p w14:paraId="6A9E466B" w14:textId="77777777" w:rsidR="002B622F" w:rsidRDefault="00670515">
          <w:pPr>
            <w:pStyle w:val="TOC1"/>
            <w:tabs>
              <w:tab w:val="right" w:leader="dot" w:pos="9170"/>
            </w:tabs>
            <w:rPr>
              <w:rFonts w:eastAsiaTheme="minorEastAsia"/>
              <w:noProof/>
              <w:lang w:val="en-US"/>
            </w:rPr>
          </w:pPr>
          <w:hyperlink w:anchor="_Toc1114314" w:history="1">
            <w:r w:rsidR="002B622F" w:rsidRPr="000E655A">
              <w:rPr>
                <w:rStyle w:val="Hyperlink"/>
                <w:rFonts w:ascii="Times New Roman" w:hAnsi="Times New Roman" w:cs="Times New Roman"/>
                <w:b/>
                <w:noProof/>
              </w:rPr>
              <w:t>KAPITULLI 1: PËRKUFIZIMI I PROBLEMIT</w:t>
            </w:r>
            <w:r w:rsidR="002B622F">
              <w:rPr>
                <w:noProof/>
                <w:webHidden/>
              </w:rPr>
              <w:tab/>
            </w:r>
            <w:r w:rsidR="002B622F">
              <w:rPr>
                <w:noProof/>
                <w:webHidden/>
              </w:rPr>
              <w:fldChar w:fldCharType="begin"/>
            </w:r>
            <w:r w:rsidR="002B622F">
              <w:rPr>
                <w:noProof/>
                <w:webHidden/>
              </w:rPr>
              <w:instrText xml:space="preserve"> PAGEREF _Toc1114314 \h </w:instrText>
            </w:r>
            <w:r w:rsidR="002B622F">
              <w:rPr>
                <w:noProof/>
                <w:webHidden/>
              </w:rPr>
            </w:r>
            <w:r w:rsidR="002B622F">
              <w:rPr>
                <w:noProof/>
                <w:webHidden/>
              </w:rPr>
              <w:fldChar w:fldCharType="separate"/>
            </w:r>
            <w:r w:rsidR="002B622F">
              <w:rPr>
                <w:noProof/>
                <w:webHidden/>
              </w:rPr>
              <w:t>7</w:t>
            </w:r>
            <w:r w:rsidR="002B622F">
              <w:rPr>
                <w:noProof/>
                <w:webHidden/>
              </w:rPr>
              <w:fldChar w:fldCharType="end"/>
            </w:r>
          </w:hyperlink>
        </w:p>
        <w:p w14:paraId="55007174" w14:textId="77777777" w:rsidR="002B622F" w:rsidRDefault="00670515">
          <w:pPr>
            <w:pStyle w:val="TOC2"/>
            <w:tabs>
              <w:tab w:val="left" w:pos="880"/>
              <w:tab w:val="right" w:leader="dot" w:pos="9170"/>
            </w:tabs>
            <w:rPr>
              <w:rFonts w:eastAsiaTheme="minorEastAsia"/>
              <w:noProof/>
              <w:lang w:val="en-US"/>
            </w:rPr>
          </w:pPr>
          <w:hyperlink w:anchor="_Toc1114315" w:history="1">
            <w:r w:rsidR="002B622F" w:rsidRPr="000E655A">
              <w:rPr>
                <w:rStyle w:val="Hyperlink"/>
                <w:rFonts w:cs="Times New Roman"/>
                <w:noProof/>
              </w:rPr>
              <w:t>1.1</w:t>
            </w:r>
            <w:r w:rsidR="002B622F">
              <w:rPr>
                <w:rFonts w:eastAsiaTheme="minorEastAsia"/>
                <w:noProof/>
                <w:lang w:val="en-US"/>
              </w:rPr>
              <w:tab/>
            </w:r>
            <w:r w:rsidR="002B622F" w:rsidRPr="000E655A">
              <w:rPr>
                <w:rStyle w:val="Hyperlink"/>
                <w:rFonts w:cs="Times New Roman"/>
                <w:noProof/>
              </w:rPr>
              <w:t xml:space="preserve">Analiza e Transpozimit të </w:t>
            </w:r>
            <w:r w:rsidR="002B622F" w:rsidRPr="000E655A">
              <w:rPr>
                <w:rStyle w:val="Hyperlink"/>
                <w:rFonts w:cs="Times New Roman"/>
                <w:i/>
                <w:noProof/>
              </w:rPr>
              <w:t xml:space="preserve">Acquis </w:t>
            </w:r>
            <w:r w:rsidR="002B622F" w:rsidRPr="000E655A">
              <w:rPr>
                <w:rStyle w:val="Hyperlink"/>
                <w:rFonts w:cs="Times New Roman"/>
                <w:noProof/>
              </w:rPr>
              <w:t>së BE-së</w:t>
            </w:r>
            <w:r w:rsidR="002B622F">
              <w:rPr>
                <w:noProof/>
                <w:webHidden/>
              </w:rPr>
              <w:tab/>
            </w:r>
            <w:r w:rsidR="002B622F">
              <w:rPr>
                <w:noProof/>
                <w:webHidden/>
              </w:rPr>
              <w:fldChar w:fldCharType="begin"/>
            </w:r>
            <w:r w:rsidR="002B622F">
              <w:rPr>
                <w:noProof/>
                <w:webHidden/>
              </w:rPr>
              <w:instrText xml:space="preserve"> PAGEREF _Toc1114315 \h </w:instrText>
            </w:r>
            <w:r w:rsidR="002B622F">
              <w:rPr>
                <w:noProof/>
                <w:webHidden/>
              </w:rPr>
            </w:r>
            <w:r w:rsidR="002B622F">
              <w:rPr>
                <w:noProof/>
                <w:webHidden/>
              </w:rPr>
              <w:fldChar w:fldCharType="separate"/>
            </w:r>
            <w:r w:rsidR="002B622F">
              <w:rPr>
                <w:noProof/>
                <w:webHidden/>
              </w:rPr>
              <w:t>8</w:t>
            </w:r>
            <w:r w:rsidR="002B622F">
              <w:rPr>
                <w:noProof/>
                <w:webHidden/>
              </w:rPr>
              <w:fldChar w:fldCharType="end"/>
            </w:r>
          </w:hyperlink>
        </w:p>
        <w:p w14:paraId="0D0D4F47" w14:textId="77777777" w:rsidR="002B622F" w:rsidRDefault="00670515">
          <w:pPr>
            <w:pStyle w:val="TOC3"/>
            <w:tabs>
              <w:tab w:val="left" w:pos="1320"/>
              <w:tab w:val="right" w:leader="dot" w:pos="9170"/>
            </w:tabs>
            <w:rPr>
              <w:rFonts w:eastAsiaTheme="minorEastAsia"/>
              <w:noProof/>
              <w:lang w:val="en-US"/>
            </w:rPr>
          </w:pPr>
          <w:hyperlink w:anchor="_Toc1114316" w:history="1">
            <w:r w:rsidR="002B622F" w:rsidRPr="000E655A">
              <w:rPr>
                <w:rStyle w:val="Hyperlink"/>
                <w:rFonts w:cs="Times New Roman"/>
                <w:noProof/>
              </w:rPr>
              <w:t>1.1.1</w:t>
            </w:r>
            <w:r w:rsidR="002B622F">
              <w:rPr>
                <w:rFonts w:eastAsiaTheme="minorEastAsia"/>
                <w:noProof/>
                <w:lang w:val="en-US"/>
              </w:rPr>
              <w:tab/>
            </w:r>
            <w:r w:rsidR="002B622F" w:rsidRPr="000E655A">
              <w:rPr>
                <w:rStyle w:val="Hyperlink"/>
                <w:rFonts w:cs="Times New Roman"/>
                <w:noProof/>
              </w:rPr>
              <w:t>Zbatimi i Marrëveshjes së Stabilizim Asociimit</w:t>
            </w:r>
            <w:r w:rsidR="002B622F">
              <w:rPr>
                <w:noProof/>
                <w:webHidden/>
              </w:rPr>
              <w:tab/>
            </w:r>
            <w:r w:rsidR="002B622F">
              <w:rPr>
                <w:noProof/>
                <w:webHidden/>
              </w:rPr>
              <w:fldChar w:fldCharType="begin"/>
            </w:r>
            <w:r w:rsidR="002B622F">
              <w:rPr>
                <w:noProof/>
                <w:webHidden/>
              </w:rPr>
              <w:instrText xml:space="preserve"> PAGEREF _Toc1114316 \h </w:instrText>
            </w:r>
            <w:r w:rsidR="002B622F">
              <w:rPr>
                <w:noProof/>
                <w:webHidden/>
              </w:rPr>
            </w:r>
            <w:r w:rsidR="002B622F">
              <w:rPr>
                <w:noProof/>
                <w:webHidden/>
              </w:rPr>
              <w:fldChar w:fldCharType="separate"/>
            </w:r>
            <w:r w:rsidR="002B622F">
              <w:rPr>
                <w:noProof/>
                <w:webHidden/>
              </w:rPr>
              <w:t>8</w:t>
            </w:r>
            <w:r w:rsidR="002B622F">
              <w:rPr>
                <w:noProof/>
                <w:webHidden/>
              </w:rPr>
              <w:fldChar w:fldCharType="end"/>
            </w:r>
          </w:hyperlink>
        </w:p>
        <w:p w14:paraId="52A70BFE" w14:textId="77777777" w:rsidR="002B622F" w:rsidRDefault="00670515">
          <w:pPr>
            <w:pStyle w:val="TOC3"/>
            <w:tabs>
              <w:tab w:val="left" w:pos="1320"/>
              <w:tab w:val="right" w:leader="dot" w:pos="9170"/>
            </w:tabs>
            <w:rPr>
              <w:rFonts w:eastAsiaTheme="minorEastAsia"/>
              <w:noProof/>
              <w:lang w:val="en-US"/>
            </w:rPr>
          </w:pPr>
          <w:hyperlink w:anchor="_Toc1114317" w:history="1">
            <w:r w:rsidR="002B622F" w:rsidRPr="000E655A">
              <w:rPr>
                <w:rStyle w:val="Hyperlink"/>
                <w:rFonts w:cs="Times New Roman"/>
                <w:noProof/>
              </w:rPr>
              <w:t>1.1.2</w:t>
            </w:r>
            <w:r w:rsidR="002B622F">
              <w:rPr>
                <w:rFonts w:eastAsiaTheme="minorEastAsia"/>
                <w:noProof/>
                <w:lang w:val="en-US"/>
              </w:rPr>
              <w:tab/>
            </w:r>
            <w:r w:rsidR="002B622F" w:rsidRPr="000E655A">
              <w:rPr>
                <w:rStyle w:val="Hyperlink"/>
                <w:rFonts w:cs="Times New Roman"/>
                <w:noProof/>
              </w:rPr>
              <w:t xml:space="preserve">Raporti për Vlerësimin e Zbrazëtirave nga Kapitulli i 8 i Acquis – </w:t>
            </w:r>
            <w:r w:rsidR="002B622F" w:rsidRPr="000E655A">
              <w:rPr>
                <w:rStyle w:val="Hyperlink"/>
                <w:rFonts w:cs="Times New Roman"/>
                <w:i/>
                <w:noProof/>
              </w:rPr>
              <w:t>‘Gap Assessment Report on Chapter 8’</w:t>
            </w:r>
            <w:r w:rsidR="002B622F">
              <w:rPr>
                <w:noProof/>
                <w:webHidden/>
              </w:rPr>
              <w:tab/>
            </w:r>
            <w:r w:rsidR="002B622F">
              <w:rPr>
                <w:noProof/>
                <w:webHidden/>
              </w:rPr>
              <w:fldChar w:fldCharType="begin"/>
            </w:r>
            <w:r w:rsidR="002B622F">
              <w:rPr>
                <w:noProof/>
                <w:webHidden/>
              </w:rPr>
              <w:instrText xml:space="preserve"> PAGEREF _Toc1114317 \h </w:instrText>
            </w:r>
            <w:r w:rsidR="002B622F">
              <w:rPr>
                <w:noProof/>
                <w:webHidden/>
              </w:rPr>
            </w:r>
            <w:r w:rsidR="002B622F">
              <w:rPr>
                <w:noProof/>
                <w:webHidden/>
              </w:rPr>
              <w:fldChar w:fldCharType="separate"/>
            </w:r>
            <w:r w:rsidR="002B622F">
              <w:rPr>
                <w:noProof/>
                <w:webHidden/>
              </w:rPr>
              <w:t>9</w:t>
            </w:r>
            <w:r w:rsidR="002B622F">
              <w:rPr>
                <w:noProof/>
                <w:webHidden/>
              </w:rPr>
              <w:fldChar w:fldCharType="end"/>
            </w:r>
          </w:hyperlink>
        </w:p>
        <w:p w14:paraId="6D83E7C3" w14:textId="77777777" w:rsidR="002B622F" w:rsidRDefault="00670515">
          <w:pPr>
            <w:pStyle w:val="TOC3"/>
            <w:tabs>
              <w:tab w:val="left" w:pos="1320"/>
              <w:tab w:val="right" w:leader="dot" w:pos="9170"/>
            </w:tabs>
            <w:rPr>
              <w:rFonts w:eastAsiaTheme="minorEastAsia"/>
              <w:noProof/>
              <w:lang w:val="en-US"/>
            </w:rPr>
          </w:pPr>
          <w:hyperlink w:anchor="_Toc1114318" w:history="1">
            <w:r w:rsidR="002B622F" w:rsidRPr="000E655A">
              <w:rPr>
                <w:rStyle w:val="Hyperlink"/>
                <w:rFonts w:cs="Times New Roman"/>
                <w:noProof/>
              </w:rPr>
              <w:t>1.1.3</w:t>
            </w:r>
            <w:r w:rsidR="002B622F">
              <w:rPr>
                <w:rFonts w:eastAsiaTheme="minorEastAsia"/>
                <w:noProof/>
                <w:lang w:val="en-US"/>
              </w:rPr>
              <w:tab/>
            </w:r>
            <w:r w:rsidR="002B622F" w:rsidRPr="000E655A">
              <w:rPr>
                <w:rStyle w:val="Hyperlink"/>
                <w:rFonts w:cs="Times New Roman"/>
                <w:noProof/>
              </w:rPr>
              <w:t>Vlerësimi i Ndikimeve në Nivel të BE-së</w:t>
            </w:r>
            <w:r w:rsidR="002B622F">
              <w:rPr>
                <w:noProof/>
                <w:webHidden/>
              </w:rPr>
              <w:tab/>
            </w:r>
            <w:r w:rsidR="002B622F">
              <w:rPr>
                <w:noProof/>
                <w:webHidden/>
              </w:rPr>
              <w:fldChar w:fldCharType="begin"/>
            </w:r>
            <w:r w:rsidR="002B622F">
              <w:rPr>
                <w:noProof/>
                <w:webHidden/>
              </w:rPr>
              <w:instrText xml:space="preserve"> PAGEREF _Toc1114318 \h </w:instrText>
            </w:r>
            <w:r w:rsidR="002B622F">
              <w:rPr>
                <w:noProof/>
                <w:webHidden/>
              </w:rPr>
            </w:r>
            <w:r w:rsidR="002B622F">
              <w:rPr>
                <w:noProof/>
                <w:webHidden/>
              </w:rPr>
              <w:fldChar w:fldCharType="separate"/>
            </w:r>
            <w:r w:rsidR="002B622F">
              <w:rPr>
                <w:noProof/>
                <w:webHidden/>
              </w:rPr>
              <w:t>23</w:t>
            </w:r>
            <w:r w:rsidR="002B622F">
              <w:rPr>
                <w:noProof/>
                <w:webHidden/>
              </w:rPr>
              <w:fldChar w:fldCharType="end"/>
            </w:r>
          </w:hyperlink>
        </w:p>
        <w:p w14:paraId="785F1188" w14:textId="77777777" w:rsidR="002B622F" w:rsidRDefault="00670515">
          <w:pPr>
            <w:pStyle w:val="TOC2"/>
            <w:tabs>
              <w:tab w:val="left" w:pos="880"/>
              <w:tab w:val="right" w:leader="dot" w:pos="9170"/>
            </w:tabs>
            <w:rPr>
              <w:rFonts w:eastAsiaTheme="minorEastAsia"/>
              <w:noProof/>
              <w:lang w:val="en-US"/>
            </w:rPr>
          </w:pPr>
          <w:hyperlink w:anchor="_Toc1114319" w:history="1">
            <w:r w:rsidR="002B622F" w:rsidRPr="000E655A">
              <w:rPr>
                <w:rStyle w:val="Hyperlink"/>
                <w:rFonts w:cs="Times New Roman"/>
                <w:noProof/>
              </w:rPr>
              <w:t>1.2</w:t>
            </w:r>
            <w:r w:rsidR="002B622F">
              <w:rPr>
                <w:rFonts w:eastAsiaTheme="minorEastAsia"/>
                <w:noProof/>
                <w:lang w:val="en-US"/>
              </w:rPr>
              <w:tab/>
            </w:r>
            <w:r w:rsidR="002B622F" w:rsidRPr="000E655A">
              <w:rPr>
                <w:rStyle w:val="Hyperlink"/>
                <w:rFonts w:cs="Times New Roman"/>
                <w:noProof/>
              </w:rPr>
              <w:t>Hulumtimi dhe Identifikimi i Monopoleve</w:t>
            </w:r>
            <w:r w:rsidR="002B622F">
              <w:rPr>
                <w:noProof/>
                <w:webHidden/>
              </w:rPr>
              <w:tab/>
            </w:r>
            <w:r w:rsidR="002B622F">
              <w:rPr>
                <w:noProof/>
                <w:webHidden/>
              </w:rPr>
              <w:fldChar w:fldCharType="begin"/>
            </w:r>
            <w:r w:rsidR="002B622F">
              <w:rPr>
                <w:noProof/>
                <w:webHidden/>
              </w:rPr>
              <w:instrText xml:space="preserve"> PAGEREF _Toc1114319 \h </w:instrText>
            </w:r>
            <w:r w:rsidR="002B622F">
              <w:rPr>
                <w:noProof/>
                <w:webHidden/>
              </w:rPr>
            </w:r>
            <w:r w:rsidR="002B622F">
              <w:rPr>
                <w:noProof/>
                <w:webHidden/>
              </w:rPr>
              <w:fldChar w:fldCharType="separate"/>
            </w:r>
            <w:r w:rsidR="002B622F">
              <w:rPr>
                <w:noProof/>
                <w:webHidden/>
              </w:rPr>
              <w:t>23</w:t>
            </w:r>
            <w:r w:rsidR="002B622F">
              <w:rPr>
                <w:noProof/>
                <w:webHidden/>
              </w:rPr>
              <w:fldChar w:fldCharType="end"/>
            </w:r>
          </w:hyperlink>
        </w:p>
        <w:p w14:paraId="72308B9C" w14:textId="77777777" w:rsidR="002B622F" w:rsidRDefault="00670515">
          <w:pPr>
            <w:pStyle w:val="TOC2"/>
            <w:tabs>
              <w:tab w:val="left" w:pos="880"/>
              <w:tab w:val="right" w:leader="dot" w:pos="9170"/>
            </w:tabs>
            <w:rPr>
              <w:rFonts w:eastAsiaTheme="minorEastAsia"/>
              <w:noProof/>
              <w:lang w:val="en-US"/>
            </w:rPr>
          </w:pPr>
          <w:hyperlink w:anchor="_Toc1114320" w:history="1">
            <w:r w:rsidR="002B622F" w:rsidRPr="000E655A">
              <w:rPr>
                <w:rStyle w:val="Hyperlink"/>
                <w:rFonts w:cs="Times New Roman"/>
                <w:noProof/>
              </w:rPr>
              <w:t>1.3</w:t>
            </w:r>
            <w:r w:rsidR="002B622F">
              <w:rPr>
                <w:rFonts w:eastAsiaTheme="minorEastAsia"/>
                <w:noProof/>
                <w:lang w:val="en-US"/>
              </w:rPr>
              <w:tab/>
            </w:r>
            <w:r w:rsidR="002B622F" w:rsidRPr="000E655A">
              <w:rPr>
                <w:rStyle w:val="Hyperlink"/>
                <w:rFonts w:cs="Times New Roman"/>
                <w:noProof/>
              </w:rPr>
              <w:t>Çështja e Projektligjit për Organizimin dhe Funksionimin e Administratës Shtetërore dhe Agjencive të Pavaruara</w:t>
            </w:r>
            <w:r w:rsidR="002B622F">
              <w:rPr>
                <w:noProof/>
                <w:webHidden/>
              </w:rPr>
              <w:tab/>
            </w:r>
            <w:r w:rsidR="002B622F">
              <w:rPr>
                <w:noProof/>
                <w:webHidden/>
              </w:rPr>
              <w:fldChar w:fldCharType="begin"/>
            </w:r>
            <w:r w:rsidR="002B622F">
              <w:rPr>
                <w:noProof/>
                <w:webHidden/>
              </w:rPr>
              <w:instrText xml:space="preserve"> PAGEREF _Toc1114320 \h </w:instrText>
            </w:r>
            <w:r w:rsidR="002B622F">
              <w:rPr>
                <w:noProof/>
                <w:webHidden/>
              </w:rPr>
            </w:r>
            <w:r w:rsidR="002B622F">
              <w:rPr>
                <w:noProof/>
                <w:webHidden/>
              </w:rPr>
              <w:fldChar w:fldCharType="separate"/>
            </w:r>
            <w:r w:rsidR="002B622F">
              <w:rPr>
                <w:noProof/>
                <w:webHidden/>
              </w:rPr>
              <w:t>27</w:t>
            </w:r>
            <w:r w:rsidR="002B622F">
              <w:rPr>
                <w:noProof/>
                <w:webHidden/>
              </w:rPr>
              <w:fldChar w:fldCharType="end"/>
            </w:r>
          </w:hyperlink>
        </w:p>
        <w:p w14:paraId="4B68CD97" w14:textId="77777777" w:rsidR="002B622F" w:rsidRDefault="00670515">
          <w:pPr>
            <w:pStyle w:val="TOC2"/>
            <w:tabs>
              <w:tab w:val="left" w:pos="880"/>
              <w:tab w:val="right" w:leader="dot" w:pos="9170"/>
            </w:tabs>
            <w:rPr>
              <w:rFonts w:eastAsiaTheme="minorEastAsia"/>
              <w:noProof/>
              <w:lang w:val="en-US"/>
            </w:rPr>
          </w:pPr>
          <w:hyperlink w:anchor="_Toc1114321" w:history="1">
            <w:r w:rsidR="002B622F" w:rsidRPr="000E655A">
              <w:rPr>
                <w:rStyle w:val="Hyperlink"/>
                <w:rFonts w:cs="Times New Roman"/>
                <w:noProof/>
              </w:rPr>
              <w:t>1.4</w:t>
            </w:r>
            <w:r w:rsidR="002B622F">
              <w:rPr>
                <w:rFonts w:eastAsiaTheme="minorEastAsia"/>
                <w:noProof/>
                <w:lang w:val="en-US"/>
              </w:rPr>
              <w:tab/>
            </w:r>
            <w:r w:rsidR="002B622F" w:rsidRPr="000E655A">
              <w:rPr>
                <w:rStyle w:val="Hyperlink"/>
                <w:rFonts w:cs="Times New Roman"/>
                <w:noProof/>
              </w:rPr>
              <w:t>Dokumentet relevante</w:t>
            </w:r>
            <w:r w:rsidR="002B622F">
              <w:rPr>
                <w:noProof/>
                <w:webHidden/>
              </w:rPr>
              <w:tab/>
            </w:r>
            <w:r w:rsidR="002B622F">
              <w:rPr>
                <w:noProof/>
                <w:webHidden/>
              </w:rPr>
              <w:fldChar w:fldCharType="begin"/>
            </w:r>
            <w:r w:rsidR="002B622F">
              <w:rPr>
                <w:noProof/>
                <w:webHidden/>
              </w:rPr>
              <w:instrText xml:space="preserve"> PAGEREF _Toc1114321 \h </w:instrText>
            </w:r>
            <w:r w:rsidR="002B622F">
              <w:rPr>
                <w:noProof/>
                <w:webHidden/>
              </w:rPr>
            </w:r>
            <w:r w:rsidR="002B622F">
              <w:rPr>
                <w:noProof/>
                <w:webHidden/>
              </w:rPr>
              <w:fldChar w:fldCharType="separate"/>
            </w:r>
            <w:r w:rsidR="002B622F">
              <w:rPr>
                <w:noProof/>
                <w:webHidden/>
              </w:rPr>
              <w:t>27</w:t>
            </w:r>
            <w:r w:rsidR="002B622F">
              <w:rPr>
                <w:noProof/>
                <w:webHidden/>
              </w:rPr>
              <w:fldChar w:fldCharType="end"/>
            </w:r>
          </w:hyperlink>
        </w:p>
        <w:p w14:paraId="0EA405AE" w14:textId="77777777" w:rsidR="002B622F" w:rsidRDefault="00670515">
          <w:pPr>
            <w:pStyle w:val="TOC2"/>
            <w:tabs>
              <w:tab w:val="left" w:pos="880"/>
              <w:tab w:val="right" w:leader="dot" w:pos="9170"/>
            </w:tabs>
            <w:rPr>
              <w:rFonts w:eastAsiaTheme="minorEastAsia"/>
              <w:noProof/>
              <w:lang w:val="en-US"/>
            </w:rPr>
          </w:pPr>
          <w:hyperlink w:anchor="_Toc1114322" w:history="1">
            <w:r w:rsidR="002B622F" w:rsidRPr="000E655A">
              <w:rPr>
                <w:rStyle w:val="Hyperlink"/>
                <w:rFonts w:cs="Times New Roman"/>
                <w:noProof/>
              </w:rPr>
              <w:t>1.5</w:t>
            </w:r>
            <w:r w:rsidR="002B622F">
              <w:rPr>
                <w:rFonts w:eastAsiaTheme="minorEastAsia"/>
                <w:noProof/>
                <w:lang w:val="en-US"/>
              </w:rPr>
              <w:tab/>
            </w:r>
            <w:r w:rsidR="002B622F" w:rsidRPr="000E655A">
              <w:rPr>
                <w:rStyle w:val="Hyperlink"/>
                <w:rFonts w:cs="Times New Roman"/>
                <w:noProof/>
              </w:rPr>
              <w:t>Problemi kryesor</w:t>
            </w:r>
            <w:r w:rsidR="002B622F">
              <w:rPr>
                <w:noProof/>
                <w:webHidden/>
              </w:rPr>
              <w:tab/>
            </w:r>
            <w:r w:rsidR="002B622F">
              <w:rPr>
                <w:noProof/>
                <w:webHidden/>
              </w:rPr>
              <w:fldChar w:fldCharType="begin"/>
            </w:r>
            <w:r w:rsidR="002B622F">
              <w:rPr>
                <w:noProof/>
                <w:webHidden/>
              </w:rPr>
              <w:instrText xml:space="preserve"> PAGEREF _Toc1114322 \h </w:instrText>
            </w:r>
            <w:r w:rsidR="002B622F">
              <w:rPr>
                <w:noProof/>
                <w:webHidden/>
              </w:rPr>
            </w:r>
            <w:r w:rsidR="002B622F">
              <w:rPr>
                <w:noProof/>
                <w:webHidden/>
              </w:rPr>
              <w:fldChar w:fldCharType="separate"/>
            </w:r>
            <w:r w:rsidR="002B622F">
              <w:rPr>
                <w:noProof/>
                <w:webHidden/>
              </w:rPr>
              <w:t>34</w:t>
            </w:r>
            <w:r w:rsidR="002B622F">
              <w:rPr>
                <w:noProof/>
                <w:webHidden/>
              </w:rPr>
              <w:fldChar w:fldCharType="end"/>
            </w:r>
          </w:hyperlink>
        </w:p>
        <w:p w14:paraId="457AA64C" w14:textId="77777777" w:rsidR="002B622F" w:rsidRDefault="00670515">
          <w:pPr>
            <w:pStyle w:val="TOC2"/>
            <w:tabs>
              <w:tab w:val="left" w:pos="880"/>
              <w:tab w:val="right" w:leader="dot" w:pos="9170"/>
            </w:tabs>
            <w:rPr>
              <w:rFonts w:eastAsiaTheme="minorEastAsia"/>
              <w:noProof/>
              <w:lang w:val="en-US"/>
            </w:rPr>
          </w:pPr>
          <w:hyperlink w:anchor="_Toc1114323" w:history="1">
            <w:r w:rsidR="002B622F" w:rsidRPr="000E655A">
              <w:rPr>
                <w:rStyle w:val="Hyperlink"/>
                <w:rFonts w:cs="Times New Roman"/>
                <w:noProof/>
              </w:rPr>
              <w:t>1.6</w:t>
            </w:r>
            <w:r w:rsidR="002B622F">
              <w:rPr>
                <w:rFonts w:eastAsiaTheme="minorEastAsia"/>
                <w:noProof/>
                <w:lang w:val="en-US"/>
              </w:rPr>
              <w:tab/>
            </w:r>
            <w:r w:rsidR="002B622F" w:rsidRPr="000E655A">
              <w:rPr>
                <w:rStyle w:val="Hyperlink"/>
                <w:rFonts w:cs="Times New Roman"/>
                <w:noProof/>
              </w:rPr>
              <w:t>Palët e Interesuara</w:t>
            </w:r>
            <w:r w:rsidR="002B622F">
              <w:rPr>
                <w:noProof/>
                <w:webHidden/>
              </w:rPr>
              <w:tab/>
            </w:r>
            <w:r w:rsidR="002B622F">
              <w:rPr>
                <w:noProof/>
                <w:webHidden/>
              </w:rPr>
              <w:fldChar w:fldCharType="begin"/>
            </w:r>
            <w:r w:rsidR="002B622F">
              <w:rPr>
                <w:noProof/>
                <w:webHidden/>
              </w:rPr>
              <w:instrText xml:space="preserve"> PAGEREF _Toc1114323 \h </w:instrText>
            </w:r>
            <w:r w:rsidR="002B622F">
              <w:rPr>
                <w:noProof/>
                <w:webHidden/>
              </w:rPr>
            </w:r>
            <w:r w:rsidR="002B622F">
              <w:rPr>
                <w:noProof/>
                <w:webHidden/>
              </w:rPr>
              <w:fldChar w:fldCharType="separate"/>
            </w:r>
            <w:r w:rsidR="002B622F">
              <w:rPr>
                <w:noProof/>
                <w:webHidden/>
              </w:rPr>
              <w:t>44</w:t>
            </w:r>
            <w:r w:rsidR="002B622F">
              <w:rPr>
                <w:noProof/>
                <w:webHidden/>
              </w:rPr>
              <w:fldChar w:fldCharType="end"/>
            </w:r>
          </w:hyperlink>
        </w:p>
        <w:p w14:paraId="0D4A9365" w14:textId="77777777" w:rsidR="002B622F" w:rsidRDefault="00670515">
          <w:pPr>
            <w:pStyle w:val="TOC1"/>
            <w:tabs>
              <w:tab w:val="right" w:leader="dot" w:pos="9170"/>
            </w:tabs>
            <w:rPr>
              <w:rFonts w:eastAsiaTheme="minorEastAsia"/>
              <w:noProof/>
              <w:lang w:val="en-US"/>
            </w:rPr>
          </w:pPr>
          <w:hyperlink w:anchor="_Toc1114324" w:history="1">
            <w:r w:rsidR="002B622F" w:rsidRPr="000E655A">
              <w:rPr>
                <w:rStyle w:val="Hyperlink"/>
                <w:rFonts w:ascii="Times New Roman" w:hAnsi="Times New Roman" w:cs="Times New Roman"/>
                <w:b/>
                <w:noProof/>
              </w:rPr>
              <w:t>KAPITULLI 2: OBJEKTIVAT</w:t>
            </w:r>
            <w:r w:rsidR="002B622F">
              <w:rPr>
                <w:noProof/>
                <w:webHidden/>
              </w:rPr>
              <w:tab/>
            </w:r>
            <w:r w:rsidR="002B622F">
              <w:rPr>
                <w:noProof/>
                <w:webHidden/>
              </w:rPr>
              <w:fldChar w:fldCharType="begin"/>
            </w:r>
            <w:r w:rsidR="002B622F">
              <w:rPr>
                <w:noProof/>
                <w:webHidden/>
              </w:rPr>
              <w:instrText xml:space="preserve"> PAGEREF _Toc1114324 \h </w:instrText>
            </w:r>
            <w:r w:rsidR="002B622F">
              <w:rPr>
                <w:noProof/>
                <w:webHidden/>
              </w:rPr>
            </w:r>
            <w:r w:rsidR="002B622F">
              <w:rPr>
                <w:noProof/>
                <w:webHidden/>
              </w:rPr>
              <w:fldChar w:fldCharType="separate"/>
            </w:r>
            <w:r w:rsidR="002B622F">
              <w:rPr>
                <w:noProof/>
                <w:webHidden/>
              </w:rPr>
              <w:t>46</w:t>
            </w:r>
            <w:r w:rsidR="002B622F">
              <w:rPr>
                <w:noProof/>
                <w:webHidden/>
              </w:rPr>
              <w:fldChar w:fldCharType="end"/>
            </w:r>
          </w:hyperlink>
        </w:p>
        <w:p w14:paraId="01053EBF" w14:textId="77777777" w:rsidR="002B622F" w:rsidRDefault="00670515">
          <w:pPr>
            <w:pStyle w:val="TOC1"/>
            <w:tabs>
              <w:tab w:val="right" w:leader="dot" w:pos="9170"/>
            </w:tabs>
            <w:rPr>
              <w:rFonts w:eastAsiaTheme="minorEastAsia"/>
              <w:noProof/>
              <w:lang w:val="en-US"/>
            </w:rPr>
          </w:pPr>
          <w:hyperlink w:anchor="_Toc1114325" w:history="1">
            <w:r w:rsidR="002B622F" w:rsidRPr="000E655A">
              <w:rPr>
                <w:rStyle w:val="Hyperlink"/>
                <w:rFonts w:ascii="Times New Roman" w:hAnsi="Times New Roman" w:cs="Times New Roman"/>
                <w:b/>
                <w:noProof/>
              </w:rPr>
              <w:t>KAPITULLI 3: OPSIONET</w:t>
            </w:r>
            <w:r w:rsidR="002B622F">
              <w:rPr>
                <w:noProof/>
                <w:webHidden/>
              </w:rPr>
              <w:tab/>
            </w:r>
            <w:r w:rsidR="002B622F">
              <w:rPr>
                <w:noProof/>
                <w:webHidden/>
              </w:rPr>
              <w:fldChar w:fldCharType="begin"/>
            </w:r>
            <w:r w:rsidR="002B622F">
              <w:rPr>
                <w:noProof/>
                <w:webHidden/>
              </w:rPr>
              <w:instrText xml:space="preserve"> PAGEREF _Toc1114325 \h </w:instrText>
            </w:r>
            <w:r w:rsidR="002B622F">
              <w:rPr>
                <w:noProof/>
                <w:webHidden/>
              </w:rPr>
            </w:r>
            <w:r w:rsidR="002B622F">
              <w:rPr>
                <w:noProof/>
                <w:webHidden/>
              </w:rPr>
              <w:fldChar w:fldCharType="separate"/>
            </w:r>
            <w:r w:rsidR="002B622F">
              <w:rPr>
                <w:noProof/>
                <w:webHidden/>
              </w:rPr>
              <w:t>47</w:t>
            </w:r>
            <w:r w:rsidR="002B622F">
              <w:rPr>
                <w:noProof/>
                <w:webHidden/>
              </w:rPr>
              <w:fldChar w:fldCharType="end"/>
            </w:r>
          </w:hyperlink>
        </w:p>
        <w:p w14:paraId="4144C994" w14:textId="77777777" w:rsidR="002B622F" w:rsidRDefault="00670515">
          <w:pPr>
            <w:pStyle w:val="TOC2"/>
            <w:tabs>
              <w:tab w:val="right" w:leader="dot" w:pos="9170"/>
            </w:tabs>
            <w:rPr>
              <w:rFonts w:eastAsiaTheme="minorEastAsia"/>
              <w:noProof/>
              <w:lang w:val="en-US"/>
            </w:rPr>
          </w:pPr>
          <w:hyperlink w:anchor="_Toc1114326" w:history="1">
            <w:r w:rsidR="002B622F" w:rsidRPr="000E655A">
              <w:rPr>
                <w:rStyle w:val="Hyperlink"/>
                <w:rFonts w:cs="Times New Roman"/>
                <w:noProof/>
              </w:rPr>
              <w:t>3.1 Opsioni 1 – Asnjë ndryshim</w:t>
            </w:r>
            <w:r w:rsidR="002B622F">
              <w:rPr>
                <w:noProof/>
                <w:webHidden/>
              </w:rPr>
              <w:tab/>
            </w:r>
            <w:r w:rsidR="002B622F">
              <w:rPr>
                <w:noProof/>
                <w:webHidden/>
              </w:rPr>
              <w:fldChar w:fldCharType="begin"/>
            </w:r>
            <w:r w:rsidR="002B622F">
              <w:rPr>
                <w:noProof/>
                <w:webHidden/>
              </w:rPr>
              <w:instrText xml:space="preserve"> PAGEREF _Toc1114326 \h </w:instrText>
            </w:r>
            <w:r w:rsidR="002B622F">
              <w:rPr>
                <w:noProof/>
                <w:webHidden/>
              </w:rPr>
            </w:r>
            <w:r w:rsidR="002B622F">
              <w:rPr>
                <w:noProof/>
                <w:webHidden/>
              </w:rPr>
              <w:fldChar w:fldCharType="separate"/>
            </w:r>
            <w:r w:rsidR="002B622F">
              <w:rPr>
                <w:noProof/>
                <w:webHidden/>
              </w:rPr>
              <w:t>48</w:t>
            </w:r>
            <w:r w:rsidR="002B622F">
              <w:rPr>
                <w:noProof/>
                <w:webHidden/>
              </w:rPr>
              <w:fldChar w:fldCharType="end"/>
            </w:r>
          </w:hyperlink>
        </w:p>
        <w:p w14:paraId="06F60258" w14:textId="77777777" w:rsidR="002B622F" w:rsidRDefault="00670515">
          <w:pPr>
            <w:pStyle w:val="TOC2"/>
            <w:tabs>
              <w:tab w:val="right" w:leader="dot" w:pos="9170"/>
            </w:tabs>
            <w:rPr>
              <w:rFonts w:eastAsiaTheme="minorEastAsia"/>
              <w:noProof/>
              <w:lang w:val="en-US"/>
            </w:rPr>
          </w:pPr>
          <w:hyperlink w:anchor="_Toc1114327" w:history="1">
            <w:r w:rsidR="002B622F" w:rsidRPr="000E655A">
              <w:rPr>
                <w:rStyle w:val="Hyperlink"/>
                <w:rFonts w:cs="Times New Roman"/>
                <w:noProof/>
              </w:rPr>
              <w:t>3.2 Opsioni 2 – Hartimi i Ligjit te ri për Mbrojtjen e Konkurrencës</w:t>
            </w:r>
            <w:r w:rsidR="002B622F">
              <w:rPr>
                <w:noProof/>
                <w:webHidden/>
              </w:rPr>
              <w:tab/>
            </w:r>
            <w:r w:rsidR="002B622F">
              <w:rPr>
                <w:noProof/>
                <w:webHidden/>
              </w:rPr>
              <w:fldChar w:fldCharType="begin"/>
            </w:r>
            <w:r w:rsidR="002B622F">
              <w:rPr>
                <w:noProof/>
                <w:webHidden/>
              </w:rPr>
              <w:instrText xml:space="preserve"> PAGEREF _Toc1114327 \h </w:instrText>
            </w:r>
            <w:r w:rsidR="002B622F">
              <w:rPr>
                <w:noProof/>
                <w:webHidden/>
              </w:rPr>
            </w:r>
            <w:r w:rsidR="002B622F">
              <w:rPr>
                <w:noProof/>
                <w:webHidden/>
              </w:rPr>
              <w:fldChar w:fldCharType="separate"/>
            </w:r>
            <w:r w:rsidR="002B622F">
              <w:rPr>
                <w:noProof/>
                <w:webHidden/>
              </w:rPr>
              <w:t>48</w:t>
            </w:r>
            <w:r w:rsidR="002B622F">
              <w:rPr>
                <w:noProof/>
                <w:webHidden/>
              </w:rPr>
              <w:fldChar w:fldCharType="end"/>
            </w:r>
          </w:hyperlink>
        </w:p>
        <w:p w14:paraId="26C4A52A" w14:textId="77777777" w:rsidR="002B622F" w:rsidRDefault="00670515">
          <w:pPr>
            <w:pStyle w:val="TOC2"/>
            <w:tabs>
              <w:tab w:val="right" w:leader="dot" w:pos="9170"/>
            </w:tabs>
            <w:rPr>
              <w:rFonts w:eastAsiaTheme="minorEastAsia"/>
              <w:noProof/>
              <w:lang w:val="en-US"/>
            </w:rPr>
          </w:pPr>
          <w:hyperlink w:anchor="_Toc1114328" w:history="1">
            <w:r w:rsidR="002B622F" w:rsidRPr="000E655A">
              <w:rPr>
                <w:rStyle w:val="Hyperlink"/>
                <w:rFonts w:cs="Times New Roman"/>
                <w:noProof/>
              </w:rPr>
              <w:t>3.3 Opsioni 3 – Ngritja e kapaciteteve profesionale të AKK-së</w:t>
            </w:r>
            <w:r w:rsidR="002B622F">
              <w:rPr>
                <w:noProof/>
                <w:webHidden/>
              </w:rPr>
              <w:tab/>
            </w:r>
            <w:r w:rsidR="002B622F">
              <w:rPr>
                <w:noProof/>
                <w:webHidden/>
              </w:rPr>
              <w:fldChar w:fldCharType="begin"/>
            </w:r>
            <w:r w:rsidR="002B622F">
              <w:rPr>
                <w:noProof/>
                <w:webHidden/>
              </w:rPr>
              <w:instrText xml:space="preserve"> PAGEREF _Toc1114328 \h </w:instrText>
            </w:r>
            <w:r w:rsidR="002B622F">
              <w:rPr>
                <w:noProof/>
                <w:webHidden/>
              </w:rPr>
            </w:r>
            <w:r w:rsidR="002B622F">
              <w:rPr>
                <w:noProof/>
                <w:webHidden/>
              </w:rPr>
              <w:fldChar w:fldCharType="separate"/>
            </w:r>
            <w:r w:rsidR="002B622F">
              <w:rPr>
                <w:noProof/>
                <w:webHidden/>
              </w:rPr>
              <w:t>56</w:t>
            </w:r>
            <w:r w:rsidR="002B622F">
              <w:rPr>
                <w:noProof/>
                <w:webHidden/>
              </w:rPr>
              <w:fldChar w:fldCharType="end"/>
            </w:r>
          </w:hyperlink>
        </w:p>
        <w:p w14:paraId="610102C3" w14:textId="77777777" w:rsidR="002B622F" w:rsidRDefault="00670515">
          <w:pPr>
            <w:pStyle w:val="TOC1"/>
            <w:tabs>
              <w:tab w:val="right" w:leader="dot" w:pos="9170"/>
            </w:tabs>
            <w:rPr>
              <w:rFonts w:eastAsiaTheme="minorEastAsia"/>
              <w:noProof/>
              <w:lang w:val="en-US"/>
            </w:rPr>
          </w:pPr>
          <w:hyperlink w:anchor="_Toc1114329" w:history="1">
            <w:r w:rsidR="002B622F" w:rsidRPr="000E655A">
              <w:rPr>
                <w:rStyle w:val="Hyperlink"/>
                <w:rFonts w:ascii="Times New Roman" w:hAnsi="Times New Roman" w:cs="Times New Roman"/>
                <w:b/>
                <w:noProof/>
              </w:rPr>
              <w:t>KAPITULLI 4: IDENTIFIKIMI DHE VLERËSIMI I NDIKIMEVE TË ARDHSHME</w:t>
            </w:r>
            <w:r w:rsidR="002B622F">
              <w:rPr>
                <w:noProof/>
                <w:webHidden/>
              </w:rPr>
              <w:tab/>
            </w:r>
            <w:r w:rsidR="002B622F">
              <w:rPr>
                <w:noProof/>
                <w:webHidden/>
              </w:rPr>
              <w:fldChar w:fldCharType="begin"/>
            </w:r>
            <w:r w:rsidR="002B622F">
              <w:rPr>
                <w:noProof/>
                <w:webHidden/>
              </w:rPr>
              <w:instrText xml:space="preserve"> PAGEREF _Toc1114329 \h </w:instrText>
            </w:r>
            <w:r w:rsidR="002B622F">
              <w:rPr>
                <w:noProof/>
                <w:webHidden/>
              </w:rPr>
            </w:r>
            <w:r w:rsidR="002B622F">
              <w:rPr>
                <w:noProof/>
                <w:webHidden/>
              </w:rPr>
              <w:fldChar w:fldCharType="separate"/>
            </w:r>
            <w:r w:rsidR="002B622F">
              <w:rPr>
                <w:noProof/>
                <w:webHidden/>
              </w:rPr>
              <w:t>56</w:t>
            </w:r>
            <w:r w:rsidR="002B622F">
              <w:rPr>
                <w:noProof/>
                <w:webHidden/>
              </w:rPr>
              <w:fldChar w:fldCharType="end"/>
            </w:r>
          </w:hyperlink>
        </w:p>
        <w:p w14:paraId="7ED3F01E" w14:textId="77777777" w:rsidR="002B622F" w:rsidRDefault="00670515">
          <w:pPr>
            <w:pStyle w:val="TOC2"/>
            <w:tabs>
              <w:tab w:val="right" w:leader="dot" w:pos="9170"/>
            </w:tabs>
            <w:rPr>
              <w:rFonts w:eastAsiaTheme="minorEastAsia"/>
              <w:noProof/>
              <w:lang w:val="en-US"/>
            </w:rPr>
          </w:pPr>
          <w:hyperlink w:anchor="_Toc1114330" w:history="1">
            <w:r w:rsidR="002B622F" w:rsidRPr="000E655A">
              <w:rPr>
                <w:rStyle w:val="Hyperlink"/>
                <w:rFonts w:cs="Times New Roman"/>
                <w:noProof/>
              </w:rPr>
              <w:t>4.1: Sfidat gjatë mbledhjes së të dhënave</w:t>
            </w:r>
            <w:r w:rsidR="002B622F">
              <w:rPr>
                <w:noProof/>
                <w:webHidden/>
              </w:rPr>
              <w:tab/>
            </w:r>
            <w:r w:rsidR="002B622F">
              <w:rPr>
                <w:noProof/>
                <w:webHidden/>
              </w:rPr>
              <w:fldChar w:fldCharType="begin"/>
            </w:r>
            <w:r w:rsidR="002B622F">
              <w:rPr>
                <w:noProof/>
                <w:webHidden/>
              </w:rPr>
              <w:instrText xml:space="preserve"> PAGEREF _Toc1114330 \h </w:instrText>
            </w:r>
            <w:r w:rsidR="002B622F">
              <w:rPr>
                <w:noProof/>
                <w:webHidden/>
              </w:rPr>
            </w:r>
            <w:r w:rsidR="002B622F">
              <w:rPr>
                <w:noProof/>
                <w:webHidden/>
              </w:rPr>
              <w:fldChar w:fldCharType="separate"/>
            </w:r>
            <w:r w:rsidR="002B622F">
              <w:rPr>
                <w:noProof/>
                <w:webHidden/>
              </w:rPr>
              <w:t>58</w:t>
            </w:r>
            <w:r w:rsidR="002B622F">
              <w:rPr>
                <w:noProof/>
                <w:webHidden/>
              </w:rPr>
              <w:fldChar w:fldCharType="end"/>
            </w:r>
          </w:hyperlink>
        </w:p>
        <w:p w14:paraId="23AFA3B7" w14:textId="77777777" w:rsidR="002B622F" w:rsidRDefault="00670515">
          <w:pPr>
            <w:pStyle w:val="TOC1"/>
            <w:tabs>
              <w:tab w:val="right" w:leader="dot" w:pos="9170"/>
            </w:tabs>
            <w:rPr>
              <w:rFonts w:eastAsiaTheme="minorEastAsia"/>
              <w:noProof/>
              <w:lang w:val="en-US"/>
            </w:rPr>
          </w:pPr>
          <w:hyperlink w:anchor="_Toc1114331" w:history="1">
            <w:r w:rsidR="002B622F" w:rsidRPr="000E655A">
              <w:rPr>
                <w:rStyle w:val="Hyperlink"/>
                <w:rFonts w:ascii="Times New Roman" w:hAnsi="Times New Roman" w:cs="Times New Roman"/>
                <w:b/>
                <w:noProof/>
              </w:rPr>
              <w:t>KAPITULLI 5: KOMUNIKIMI DHE KONSULTIMI</w:t>
            </w:r>
            <w:r w:rsidR="002B622F">
              <w:rPr>
                <w:noProof/>
                <w:webHidden/>
              </w:rPr>
              <w:tab/>
            </w:r>
            <w:r w:rsidR="002B622F">
              <w:rPr>
                <w:noProof/>
                <w:webHidden/>
              </w:rPr>
              <w:fldChar w:fldCharType="begin"/>
            </w:r>
            <w:r w:rsidR="002B622F">
              <w:rPr>
                <w:noProof/>
                <w:webHidden/>
              </w:rPr>
              <w:instrText xml:space="preserve"> PAGEREF _Toc1114331 \h </w:instrText>
            </w:r>
            <w:r w:rsidR="002B622F">
              <w:rPr>
                <w:noProof/>
                <w:webHidden/>
              </w:rPr>
            </w:r>
            <w:r w:rsidR="002B622F">
              <w:rPr>
                <w:noProof/>
                <w:webHidden/>
              </w:rPr>
              <w:fldChar w:fldCharType="separate"/>
            </w:r>
            <w:r w:rsidR="002B622F">
              <w:rPr>
                <w:noProof/>
                <w:webHidden/>
              </w:rPr>
              <w:t>59</w:t>
            </w:r>
            <w:r w:rsidR="002B622F">
              <w:rPr>
                <w:noProof/>
                <w:webHidden/>
              </w:rPr>
              <w:fldChar w:fldCharType="end"/>
            </w:r>
          </w:hyperlink>
        </w:p>
        <w:p w14:paraId="24285DDA" w14:textId="77777777" w:rsidR="002B622F" w:rsidRDefault="00670515">
          <w:pPr>
            <w:pStyle w:val="TOC1"/>
            <w:tabs>
              <w:tab w:val="right" w:leader="dot" w:pos="9170"/>
            </w:tabs>
            <w:rPr>
              <w:rFonts w:eastAsiaTheme="minorEastAsia"/>
              <w:noProof/>
              <w:lang w:val="en-US"/>
            </w:rPr>
          </w:pPr>
          <w:hyperlink w:anchor="_Toc1114332" w:history="1">
            <w:r w:rsidR="002B622F" w:rsidRPr="000E655A">
              <w:rPr>
                <w:rStyle w:val="Hyperlink"/>
                <w:rFonts w:ascii="Times New Roman" w:hAnsi="Times New Roman" w:cs="Times New Roman"/>
                <w:b/>
                <w:noProof/>
              </w:rPr>
              <w:t>KAPITULLI 6: KRAHASIMI I OPSIONEVE</w:t>
            </w:r>
            <w:r w:rsidR="002B622F">
              <w:rPr>
                <w:noProof/>
                <w:webHidden/>
              </w:rPr>
              <w:tab/>
            </w:r>
            <w:r w:rsidR="002B622F">
              <w:rPr>
                <w:noProof/>
                <w:webHidden/>
              </w:rPr>
              <w:fldChar w:fldCharType="begin"/>
            </w:r>
            <w:r w:rsidR="002B622F">
              <w:rPr>
                <w:noProof/>
                <w:webHidden/>
              </w:rPr>
              <w:instrText xml:space="preserve"> PAGEREF _Toc1114332 \h </w:instrText>
            </w:r>
            <w:r w:rsidR="002B622F">
              <w:rPr>
                <w:noProof/>
                <w:webHidden/>
              </w:rPr>
            </w:r>
            <w:r w:rsidR="002B622F">
              <w:rPr>
                <w:noProof/>
                <w:webHidden/>
              </w:rPr>
              <w:fldChar w:fldCharType="separate"/>
            </w:r>
            <w:r w:rsidR="002B622F">
              <w:rPr>
                <w:noProof/>
                <w:webHidden/>
              </w:rPr>
              <w:t>61</w:t>
            </w:r>
            <w:r w:rsidR="002B622F">
              <w:rPr>
                <w:noProof/>
                <w:webHidden/>
              </w:rPr>
              <w:fldChar w:fldCharType="end"/>
            </w:r>
          </w:hyperlink>
        </w:p>
        <w:p w14:paraId="3BA53AC7" w14:textId="77777777" w:rsidR="002B622F" w:rsidRDefault="00670515">
          <w:pPr>
            <w:pStyle w:val="TOC2"/>
            <w:tabs>
              <w:tab w:val="right" w:leader="dot" w:pos="9170"/>
            </w:tabs>
            <w:rPr>
              <w:rFonts w:eastAsiaTheme="minorEastAsia"/>
              <w:noProof/>
              <w:lang w:val="en-US"/>
            </w:rPr>
          </w:pPr>
          <w:hyperlink w:anchor="_Toc1114333" w:history="1">
            <w:r w:rsidR="002B622F" w:rsidRPr="000E655A">
              <w:rPr>
                <w:rStyle w:val="Hyperlink"/>
                <w:rFonts w:cs="Times New Roman"/>
                <w:noProof/>
              </w:rPr>
              <w:t>6.1: Planet e zbatimit për opsionet e ndryshme</w:t>
            </w:r>
            <w:r w:rsidR="002B622F">
              <w:rPr>
                <w:noProof/>
                <w:webHidden/>
              </w:rPr>
              <w:tab/>
            </w:r>
            <w:r w:rsidR="002B622F">
              <w:rPr>
                <w:noProof/>
                <w:webHidden/>
              </w:rPr>
              <w:fldChar w:fldCharType="begin"/>
            </w:r>
            <w:r w:rsidR="002B622F">
              <w:rPr>
                <w:noProof/>
                <w:webHidden/>
              </w:rPr>
              <w:instrText xml:space="preserve"> PAGEREF _Toc1114333 \h </w:instrText>
            </w:r>
            <w:r w:rsidR="002B622F">
              <w:rPr>
                <w:noProof/>
                <w:webHidden/>
              </w:rPr>
            </w:r>
            <w:r w:rsidR="002B622F">
              <w:rPr>
                <w:noProof/>
                <w:webHidden/>
              </w:rPr>
              <w:fldChar w:fldCharType="separate"/>
            </w:r>
            <w:r w:rsidR="002B622F">
              <w:rPr>
                <w:noProof/>
                <w:webHidden/>
              </w:rPr>
              <w:t>62</w:t>
            </w:r>
            <w:r w:rsidR="002B622F">
              <w:rPr>
                <w:noProof/>
                <w:webHidden/>
              </w:rPr>
              <w:fldChar w:fldCharType="end"/>
            </w:r>
          </w:hyperlink>
        </w:p>
        <w:p w14:paraId="4CCCC22D" w14:textId="77777777" w:rsidR="002B622F" w:rsidRDefault="00670515">
          <w:pPr>
            <w:pStyle w:val="TOC2"/>
            <w:tabs>
              <w:tab w:val="right" w:leader="dot" w:pos="9170"/>
            </w:tabs>
            <w:rPr>
              <w:rFonts w:eastAsiaTheme="minorEastAsia"/>
              <w:noProof/>
              <w:lang w:val="en-US"/>
            </w:rPr>
          </w:pPr>
          <w:hyperlink w:anchor="_Toc1114334" w:history="1">
            <w:r w:rsidR="002B622F" w:rsidRPr="000E655A">
              <w:rPr>
                <w:rStyle w:val="Hyperlink"/>
                <w:rFonts w:cs="Times New Roman"/>
                <w:noProof/>
              </w:rPr>
              <w:t>6.2: Tabela e krahasimit me të tre opsionet</w:t>
            </w:r>
            <w:r w:rsidR="002B622F">
              <w:rPr>
                <w:noProof/>
                <w:webHidden/>
              </w:rPr>
              <w:tab/>
            </w:r>
            <w:r w:rsidR="002B622F">
              <w:rPr>
                <w:noProof/>
                <w:webHidden/>
              </w:rPr>
              <w:fldChar w:fldCharType="begin"/>
            </w:r>
            <w:r w:rsidR="002B622F">
              <w:rPr>
                <w:noProof/>
                <w:webHidden/>
              </w:rPr>
              <w:instrText xml:space="preserve"> PAGEREF _Toc1114334 \h </w:instrText>
            </w:r>
            <w:r w:rsidR="002B622F">
              <w:rPr>
                <w:noProof/>
                <w:webHidden/>
              </w:rPr>
            </w:r>
            <w:r w:rsidR="002B622F">
              <w:rPr>
                <w:noProof/>
                <w:webHidden/>
              </w:rPr>
              <w:fldChar w:fldCharType="separate"/>
            </w:r>
            <w:r w:rsidR="002B622F">
              <w:rPr>
                <w:noProof/>
                <w:webHidden/>
              </w:rPr>
              <w:t>70</w:t>
            </w:r>
            <w:r w:rsidR="002B622F">
              <w:rPr>
                <w:noProof/>
                <w:webHidden/>
              </w:rPr>
              <w:fldChar w:fldCharType="end"/>
            </w:r>
          </w:hyperlink>
        </w:p>
        <w:p w14:paraId="6642290A" w14:textId="77777777" w:rsidR="002B622F" w:rsidRDefault="00670515">
          <w:pPr>
            <w:pStyle w:val="TOC1"/>
            <w:tabs>
              <w:tab w:val="right" w:leader="dot" w:pos="9170"/>
            </w:tabs>
            <w:rPr>
              <w:rFonts w:eastAsiaTheme="minorEastAsia"/>
              <w:noProof/>
              <w:lang w:val="en-US"/>
            </w:rPr>
          </w:pPr>
          <w:hyperlink w:anchor="_Toc1114335" w:history="1">
            <w:r w:rsidR="002B622F" w:rsidRPr="000E655A">
              <w:rPr>
                <w:rStyle w:val="Hyperlink"/>
                <w:rFonts w:ascii="Times New Roman" w:hAnsi="Times New Roman" w:cs="Times New Roman"/>
                <w:b/>
                <w:noProof/>
              </w:rPr>
              <w:t>KAPITULLI 7: KONKLUZIONET DHE HAPAT E ARDHSHËM</w:t>
            </w:r>
            <w:r w:rsidR="002B622F">
              <w:rPr>
                <w:noProof/>
                <w:webHidden/>
              </w:rPr>
              <w:tab/>
            </w:r>
            <w:r w:rsidR="002B622F">
              <w:rPr>
                <w:noProof/>
                <w:webHidden/>
              </w:rPr>
              <w:fldChar w:fldCharType="begin"/>
            </w:r>
            <w:r w:rsidR="002B622F">
              <w:rPr>
                <w:noProof/>
                <w:webHidden/>
              </w:rPr>
              <w:instrText xml:space="preserve"> PAGEREF _Toc1114335 \h </w:instrText>
            </w:r>
            <w:r w:rsidR="002B622F">
              <w:rPr>
                <w:noProof/>
                <w:webHidden/>
              </w:rPr>
            </w:r>
            <w:r w:rsidR="002B622F">
              <w:rPr>
                <w:noProof/>
                <w:webHidden/>
              </w:rPr>
              <w:fldChar w:fldCharType="separate"/>
            </w:r>
            <w:r w:rsidR="002B622F">
              <w:rPr>
                <w:noProof/>
                <w:webHidden/>
              </w:rPr>
              <w:t>71</w:t>
            </w:r>
            <w:r w:rsidR="002B622F">
              <w:rPr>
                <w:noProof/>
                <w:webHidden/>
              </w:rPr>
              <w:fldChar w:fldCharType="end"/>
            </w:r>
          </w:hyperlink>
        </w:p>
        <w:p w14:paraId="132D45AB" w14:textId="77777777" w:rsidR="002B622F" w:rsidRDefault="00670515">
          <w:pPr>
            <w:pStyle w:val="TOC2"/>
            <w:tabs>
              <w:tab w:val="right" w:leader="dot" w:pos="9170"/>
            </w:tabs>
            <w:rPr>
              <w:rFonts w:eastAsiaTheme="minorEastAsia"/>
              <w:noProof/>
              <w:lang w:val="en-US"/>
            </w:rPr>
          </w:pPr>
          <w:hyperlink w:anchor="_Toc1114336" w:history="1">
            <w:r w:rsidR="002B622F" w:rsidRPr="000E655A">
              <w:rPr>
                <w:rStyle w:val="Hyperlink"/>
                <w:rFonts w:cs="Times New Roman"/>
                <w:noProof/>
              </w:rPr>
              <w:t>Kapitulli 7.1: Dispozitat për monitorimin dhe vlerësimin</w:t>
            </w:r>
            <w:r w:rsidR="002B622F">
              <w:rPr>
                <w:noProof/>
                <w:webHidden/>
              </w:rPr>
              <w:tab/>
            </w:r>
            <w:r w:rsidR="002B622F">
              <w:rPr>
                <w:noProof/>
                <w:webHidden/>
              </w:rPr>
              <w:fldChar w:fldCharType="begin"/>
            </w:r>
            <w:r w:rsidR="002B622F">
              <w:rPr>
                <w:noProof/>
                <w:webHidden/>
              </w:rPr>
              <w:instrText xml:space="preserve"> PAGEREF _Toc1114336 \h </w:instrText>
            </w:r>
            <w:r w:rsidR="002B622F">
              <w:rPr>
                <w:noProof/>
                <w:webHidden/>
              </w:rPr>
            </w:r>
            <w:r w:rsidR="002B622F">
              <w:rPr>
                <w:noProof/>
                <w:webHidden/>
              </w:rPr>
              <w:fldChar w:fldCharType="separate"/>
            </w:r>
            <w:r w:rsidR="002B622F">
              <w:rPr>
                <w:noProof/>
                <w:webHidden/>
              </w:rPr>
              <w:t>72</w:t>
            </w:r>
            <w:r w:rsidR="002B622F">
              <w:rPr>
                <w:noProof/>
                <w:webHidden/>
              </w:rPr>
              <w:fldChar w:fldCharType="end"/>
            </w:r>
          </w:hyperlink>
        </w:p>
        <w:p w14:paraId="4AD66D37" w14:textId="77777777" w:rsidR="002B622F" w:rsidRDefault="00670515">
          <w:pPr>
            <w:pStyle w:val="TOC1"/>
            <w:tabs>
              <w:tab w:val="right" w:leader="dot" w:pos="9170"/>
            </w:tabs>
            <w:rPr>
              <w:rFonts w:eastAsiaTheme="minorEastAsia"/>
              <w:noProof/>
              <w:lang w:val="en-US"/>
            </w:rPr>
          </w:pPr>
          <w:hyperlink w:anchor="_Toc1114337" w:history="1">
            <w:r w:rsidR="002B622F" w:rsidRPr="000E655A">
              <w:rPr>
                <w:rStyle w:val="Hyperlink"/>
                <w:rFonts w:ascii="Times New Roman" w:hAnsi="Times New Roman" w:cs="Times New Roman"/>
                <w:noProof/>
              </w:rPr>
              <w:t>Shtojca 1: Forma e vlerësimit për ndikimin ekonomik</w:t>
            </w:r>
            <w:r w:rsidR="002B622F">
              <w:rPr>
                <w:noProof/>
                <w:webHidden/>
              </w:rPr>
              <w:tab/>
            </w:r>
            <w:r w:rsidR="002B622F">
              <w:rPr>
                <w:noProof/>
                <w:webHidden/>
              </w:rPr>
              <w:fldChar w:fldCharType="begin"/>
            </w:r>
            <w:r w:rsidR="002B622F">
              <w:rPr>
                <w:noProof/>
                <w:webHidden/>
              </w:rPr>
              <w:instrText xml:space="preserve"> PAGEREF _Toc1114337 \h </w:instrText>
            </w:r>
            <w:r w:rsidR="002B622F">
              <w:rPr>
                <w:noProof/>
                <w:webHidden/>
              </w:rPr>
            </w:r>
            <w:r w:rsidR="002B622F">
              <w:rPr>
                <w:noProof/>
                <w:webHidden/>
              </w:rPr>
              <w:fldChar w:fldCharType="separate"/>
            </w:r>
            <w:r w:rsidR="002B622F">
              <w:rPr>
                <w:noProof/>
                <w:webHidden/>
              </w:rPr>
              <w:t>73</w:t>
            </w:r>
            <w:r w:rsidR="002B622F">
              <w:rPr>
                <w:noProof/>
                <w:webHidden/>
              </w:rPr>
              <w:fldChar w:fldCharType="end"/>
            </w:r>
          </w:hyperlink>
        </w:p>
        <w:p w14:paraId="1F28A462" w14:textId="77777777" w:rsidR="002B622F" w:rsidRDefault="00670515">
          <w:pPr>
            <w:pStyle w:val="TOC1"/>
            <w:tabs>
              <w:tab w:val="right" w:leader="dot" w:pos="9170"/>
            </w:tabs>
            <w:rPr>
              <w:rFonts w:eastAsiaTheme="minorEastAsia"/>
              <w:noProof/>
              <w:lang w:val="en-US"/>
            </w:rPr>
          </w:pPr>
          <w:hyperlink w:anchor="_Toc1114338" w:history="1">
            <w:r w:rsidR="002B622F" w:rsidRPr="000E655A">
              <w:rPr>
                <w:rStyle w:val="Hyperlink"/>
                <w:rFonts w:ascii="Times New Roman" w:hAnsi="Times New Roman" w:cs="Times New Roman"/>
                <w:noProof/>
              </w:rPr>
              <w:t>Shtojca 2: Forma e vlerësimit për ndikimet shoqërore</w:t>
            </w:r>
            <w:r w:rsidR="002B622F">
              <w:rPr>
                <w:noProof/>
                <w:webHidden/>
              </w:rPr>
              <w:tab/>
            </w:r>
            <w:r w:rsidR="002B622F">
              <w:rPr>
                <w:noProof/>
                <w:webHidden/>
              </w:rPr>
              <w:fldChar w:fldCharType="begin"/>
            </w:r>
            <w:r w:rsidR="002B622F">
              <w:rPr>
                <w:noProof/>
                <w:webHidden/>
              </w:rPr>
              <w:instrText xml:space="preserve"> PAGEREF _Toc1114338 \h </w:instrText>
            </w:r>
            <w:r w:rsidR="002B622F">
              <w:rPr>
                <w:noProof/>
                <w:webHidden/>
              </w:rPr>
            </w:r>
            <w:r w:rsidR="002B622F">
              <w:rPr>
                <w:noProof/>
                <w:webHidden/>
              </w:rPr>
              <w:fldChar w:fldCharType="separate"/>
            </w:r>
            <w:r w:rsidR="002B622F">
              <w:rPr>
                <w:noProof/>
                <w:webHidden/>
              </w:rPr>
              <w:t>77</w:t>
            </w:r>
            <w:r w:rsidR="002B622F">
              <w:rPr>
                <w:noProof/>
                <w:webHidden/>
              </w:rPr>
              <w:fldChar w:fldCharType="end"/>
            </w:r>
          </w:hyperlink>
        </w:p>
        <w:p w14:paraId="75370F6D" w14:textId="77777777" w:rsidR="002B622F" w:rsidRDefault="00670515">
          <w:pPr>
            <w:pStyle w:val="TOC1"/>
            <w:tabs>
              <w:tab w:val="right" w:leader="dot" w:pos="9170"/>
            </w:tabs>
            <w:rPr>
              <w:rFonts w:eastAsiaTheme="minorEastAsia"/>
              <w:noProof/>
              <w:lang w:val="en-US"/>
            </w:rPr>
          </w:pPr>
          <w:hyperlink w:anchor="_Toc1114339" w:history="1">
            <w:r w:rsidR="002B622F" w:rsidRPr="000E655A">
              <w:rPr>
                <w:rStyle w:val="Hyperlink"/>
                <w:rFonts w:ascii="Times New Roman" w:hAnsi="Times New Roman" w:cs="Times New Roman"/>
                <w:noProof/>
              </w:rPr>
              <w:t>Shtojca 3: Forma e vlerësimit për ndikimet mjedisore</w:t>
            </w:r>
            <w:r w:rsidR="002B622F">
              <w:rPr>
                <w:noProof/>
                <w:webHidden/>
              </w:rPr>
              <w:tab/>
            </w:r>
            <w:r w:rsidR="002B622F">
              <w:rPr>
                <w:noProof/>
                <w:webHidden/>
              </w:rPr>
              <w:fldChar w:fldCharType="begin"/>
            </w:r>
            <w:r w:rsidR="002B622F">
              <w:rPr>
                <w:noProof/>
                <w:webHidden/>
              </w:rPr>
              <w:instrText xml:space="preserve"> PAGEREF _Toc1114339 \h </w:instrText>
            </w:r>
            <w:r w:rsidR="002B622F">
              <w:rPr>
                <w:noProof/>
                <w:webHidden/>
              </w:rPr>
            </w:r>
            <w:r w:rsidR="002B622F">
              <w:rPr>
                <w:noProof/>
                <w:webHidden/>
              </w:rPr>
              <w:fldChar w:fldCharType="separate"/>
            </w:r>
            <w:r w:rsidR="002B622F">
              <w:rPr>
                <w:noProof/>
                <w:webHidden/>
              </w:rPr>
              <w:t>83</w:t>
            </w:r>
            <w:r w:rsidR="002B622F">
              <w:rPr>
                <w:noProof/>
                <w:webHidden/>
              </w:rPr>
              <w:fldChar w:fldCharType="end"/>
            </w:r>
          </w:hyperlink>
        </w:p>
        <w:p w14:paraId="5C57C1E8" w14:textId="77777777" w:rsidR="002B622F" w:rsidRDefault="00670515">
          <w:pPr>
            <w:pStyle w:val="TOC1"/>
            <w:tabs>
              <w:tab w:val="right" w:leader="dot" w:pos="9170"/>
            </w:tabs>
            <w:rPr>
              <w:rFonts w:eastAsiaTheme="minorEastAsia"/>
              <w:noProof/>
              <w:lang w:val="en-US"/>
            </w:rPr>
          </w:pPr>
          <w:hyperlink w:anchor="_Toc1114340" w:history="1">
            <w:r w:rsidR="002B622F" w:rsidRPr="000E655A">
              <w:rPr>
                <w:rStyle w:val="Hyperlink"/>
                <w:rFonts w:ascii="Times New Roman" w:hAnsi="Times New Roman" w:cs="Times New Roman"/>
                <w:noProof/>
              </w:rPr>
              <w:t>Shtojca 4: Forma e vlerësimit për ndikimin e të drejtave themelore</w:t>
            </w:r>
            <w:r w:rsidR="002B622F">
              <w:rPr>
                <w:noProof/>
                <w:webHidden/>
              </w:rPr>
              <w:tab/>
            </w:r>
            <w:r w:rsidR="002B622F">
              <w:rPr>
                <w:noProof/>
                <w:webHidden/>
              </w:rPr>
              <w:fldChar w:fldCharType="begin"/>
            </w:r>
            <w:r w:rsidR="002B622F">
              <w:rPr>
                <w:noProof/>
                <w:webHidden/>
              </w:rPr>
              <w:instrText xml:space="preserve"> PAGEREF _Toc1114340 \h </w:instrText>
            </w:r>
            <w:r w:rsidR="002B622F">
              <w:rPr>
                <w:noProof/>
                <w:webHidden/>
              </w:rPr>
            </w:r>
            <w:r w:rsidR="002B622F">
              <w:rPr>
                <w:noProof/>
                <w:webHidden/>
              </w:rPr>
              <w:fldChar w:fldCharType="separate"/>
            </w:r>
            <w:r w:rsidR="002B622F">
              <w:rPr>
                <w:noProof/>
                <w:webHidden/>
              </w:rPr>
              <w:t>86</w:t>
            </w:r>
            <w:r w:rsidR="002B622F">
              <w:rPr>
                <w:noProof/>
                <w:webHidden/>
              </w:rPr>
              <w:fldChar w:fldCharType="end"/>
            </w:r>
          </w:hyperlink>
        </w:p>
        <w:p w14:paraId="2DB6BE1E" w14:textId="77777777" w:rsidR="002B622F" w:rsidRDefault="00670515">
          <w:pPr>
            <w:pStyle w:val="TOC1"/>
            <w:tabs>
              <w:tab w:val="right" w:leader="dot" w:pos="9170"/>
            </w:tabs>
            <w:rPr>
              <w:rFonts w:eastAsiaTheme="minorEastAsia"/>
              <w:noProof/>
              <w:lang w:val="en-US"/>
            </w:rPr>
          </w:pPr>
          <w:hyperlink w:anchor="_Toc1114341" w:history="1">
            <w:r w:rsidR="002B622F" w:rsidRPr="000E655A">
              <w:rPr>
                <w:rStyle w:val="Hyperlink"/>
                <w:rFonts w:ascii="Times New Roman" w:hAnsi="Times New Roman" w:cs="Times New Roman"/>
                <w:noProof/>
              </w:rPr>
              <w:t>Shtojca 5: Takimi publik me palët e interesit</w:t>
            </w:r>
            <w:r w:rsidR="002B622F">
              <w:rPr>
                <w:noProof/>
                <w:webHidden/>
              </w:rPr>
              <w:tab/>
            </w:r>
            <w:r w:rsidR="002B622F">
              <w:rPr>
                <w:noProof/>
                <w:webHidden/>
              </w:rPr>
              <w:fldChar w:fldCharType="begin"/>
            </w:r>
            <w:r w:rsidR="002B622F">
              <w:rPr>
                <w:noProof/>
                <w:webHidden/>
              </w:rPr>
              <w:instrText xml:space="preserve"> PAGEREF _Toc1114341 \h </w:instrText>
            </w:r>
            <w:r w:rsidR="002B622F">
              <w:rPr>
                <w:noProof/>
                <w:webHidden/>
              </w:rPr>
            </w:r>
            <w:r w:rsidR="002B622F">
              <w:rPr>
                <w:noProof/>
                <w:webHidden/>
              </w:rPr>
              <w:fldChar w:fldCharType="separate"/>
            </w:r>
            <w:r w:rsidR="002B622F">
              <w:rPr>
                <w:noProof/>
                <w:webHidden/>
              </w:rPr>
              <w:t>90</w:t>
            </w:r>
            <w:r w:rsidR="002B622F">
              <w:rPr>
                <w:noProof/>
                <w:webHidden/>
              </w:rPr>
              <w:fldChar w:fldCharType="end"/>
            </w:r>
          </w:hyperlink>
        </w:p>
        <w:p w14:paraId="2DA04444" w14:textId="77777777" w:rsidR="002B1BC6" w:rsidRDefault="004979D2" w:rsidP="002B1BC6">
          <w:pPr>
            <w:spacing w:line="240" w:lineRule="auto"/>
            <w:rPr>
              <w:rFonts w:ascii="Times New Roman" w:hAnsi="Times New Roman" w:cs="Times New Roman"/>
              <w:b/>
              <w:bCs/>
              <w:sz w:val="24"/>
              <w:szCs w:val="24"/>
            </w:rPr>
          </w:pPr>
          <w:r w:rsidRPr="004979D2">
            <w:rPr>
              <w:rFonts w:ascii="Times New Roman" w:hAnsi="Times New Roman" w:cs="Times New Roman"/>
              <w:b/>
              <w:bCs/>
              <w:sz w:val="24"/>
              <w:szCs w:val="24"/>
            </w:rPr>
            <w:fldChar w:fldCharType="end"/>
          </w:r>
        </w:p>
        <w:p w14:paraId="09FF0370" w14:textId="7867BC71" w:rsidR="004979D2" w:rsidRDefault="00670515" w:rsidP="002B1BC6">
          <w:pPr>
            <w:spacing w:line="240" w:lineRule="auto"/>
            <w:rPr>
              <w:rFonts w:ascii="Times New Roman" w:hAnsi="Times New Roman" w:cs="Times New Roman"/>
              <w:b/>
              <w:bCs/>
              <w:sz w:val="24"/>
              <w:szCs w:val="24"/>
            </w:rPr>
          </w:pPr>
        </w:p>
      </w:sdtContent>
    </w:sdt>
    <w:tbl>
      <w:tblPr>
        <w:tblStyle w:val="TableGrid"/>
        <w:tblW w:w="9468" w:type="dxa"/>
        <w:tblLook w:val="04A0" w:firstRow="1" w:lastRow="0" w:firstColumn="1" w:lastColumn="0" w:noHBand="0" w:noVBand="1"/>
      </w:tblPr>
      <w:tblGrid>
        <w:gridCol w:w="1795"/>
        <w:gridCol w:w="7673"/>
      </w:tblGrid>
      <w:tr w:rsidR="00C966E4" w:rsidRPr="004979D2" w14:paraId="39740469" w14:textId="77777777" w:rsidTr="00B11DC4">
        <w:tc>
          <w:tcPr>
            <w:tcW w:w="9468" w:type="dxa"/>
            <w:gridSpan w:val="2"/>
          </w:tcPr>
          <w:p w14:paraId="4B6D416E" w14:textId="77777777" w:rsidR="00C966E4" w:rsidRPr="004979D2" w:rsidRDefault="00DF497F" w:rsidP="002B1BC6">
            <w:pPr>
              <w:rPr>
                <w:rFonts w:ascii="Times New Roman" w:hAnsi="Times New Roman" w:cs="Times New Roman"/>
                <w:b/>
                <w:sz w:val="24"/>
                <w:szCs w:val="24"/>
              </w:rPr>
            </w:pPr>
            <w:r w:rsidRPr="004979D2">
              <w:rPr>
                <w:rFonts w:ascii="Times New Roman" w:hAnsi="Times New Roman" w:cs="Times New Roman"/>
                <w:b/>
                <w:sz w:val="24"/>
                <w:szCs w:val="24"/>
              </w:rPr>
              <w:lastRenderedPageBreak/>
              <w:t>INFORMACIONET E PËRGJITHSHME</w:t>
            </w:r>
          </w:p>
        </w:tc>
      </w:tr>
      <w:tr w:rsidR="00C966E4" w:rsidRPr="004979D2" w14:paraId="4D25C141" w14:textId="77777777" w:rsidTr="00B11DC4">
        <w:tc>
          <w:tcPr>
            <w:tcW w:w="1795" w:type="dxa"/>
          </w:tcPr>
          <w:p w14:paraId="32D9F5C1" w14:textId="77777777" w:rsidR="00C966E4" w:rsidRPr="004979D2" w:rsidRDefault="00AE5FC2" w:rsidP="002B1BC6">
            <w:pPr>
              <w:rPr>
                <w:rFonts w:ascii="Times New Roman" w:hAnsi="Times New Roman" w:cs="Times New Roman"/>
                <w:b/>
                <w:sz w:val="24"/>
                <w:szCs w:val="24"/>
              </w:rPr>
            </w:pPr>
            <w:r w:rsidRPr="004979D2">
              <w:rPr>
                <w:rFonts w:ascii="Times New Roman" w:hAnsi="Times New Roman" w:cs="Times New Roman"/>
                <w:b/>
                <w:sz w:val="24"/>
                <w:szCs w:val="24"/>
              </w:rPr>
              <w:t>Titulli</w:t>
            </w:r>
          </w:p>
        </w:tc>
        <w:tc>
          <w:tcPr>
            <w:tcW w:w="7673" w:type="dxa"/>
          </w:tcPr>
          <w:p w14:paraId="6EB5BD22" w14:textId="16517EC9" w:rsidR="00C966E4" w:rsidRPr="004979D2" w:rsidRDefault="00C0306A" w:rsidP="002B1BC6">
            <w:pPr>
              <w:jc w:val="both"/>
              <w:rPr>
                <w:rFonts w:ascii="Times New Roman" w:hAnsi="Times New Roman" w:cs="Times New Roman"/>
                <w:sz w:val="24"/>
                <w:szCs w:val="24"/>
              </w:rPr>
            </w:pPr>
            <w:r w:rsidRPr="004979D2">
              <w:rPr>
                <w:rFonts w:ascii="Times New Roman" w:hAnsi="Times New Roman" w:cs="Times New Roman"/>
                <w:sz w:val="24"/>
                <w:szCs w:val="24"/>
              </w:rPr>
              <w:t xml:space="preserve">Koncept Dokumenti </w:t>
            </w:r>
            <w:r w:rsidR="000A0F07" w:rsidRPr="004979D2">
              <w:rPr>
                <w:rFonts w:ascii="Times New Roman" w:hAnsi="Times New Roman" w:cs="Times New Roman"/>
                <w:sz w:val="24"/>
                <w:szCs w:val="24"/>
              </w:rPr>
              <w:t>p</w:t>
            </w:r>
            <w:r w:rsidRPr="004979D2">
              <w:rPr>
                <w:rFonts w:ascii="Times New Roman" w:hAnsi="Times New Roman" w:cs="Times New Roman"/>
                <w:sz w:val="24"/>
                <w:szCs w:val="24"/>
              </w:rPr>
              <w:t>ë</w:t>
            </w:r>
            <w:r w:rsidR="000A0F07" w:rsidRPr="004979D2">
              <w:rPr>
                <w:rFonts w:ascii="Times New Roman" w:hAnsi="Times New Roman" w:cs="Times New Roman"/>
                <w:sz w:val="24"/>
                <w:szCs w:val="24"/>
              </w:rPr>
              <w:t>r</w:t>
            </w:r>
            <w:r w:rsidR="00440A4F" w:rsidRPr="004979D2">
              <w:rPr>
                <w:rFonts w:ascii="Times New Roman" w:hAnsi="Times New Roman" w:cs="Times New Roman"/>
                <w:sz w:val="24"/>
                <w:szCs w:val="24"/>
              </w:rPr>
              <w:t xml:space="preserve"> </w:t>
            </w:r>
            <w:r w:rsidRPr="004979D2">
              <w:rPr>
                <w:rFonts w:ascii="Times New Roman" w:hAnsi="Times New Roman" w:cs="Times New Roman"/>
                <w:sz w:val="24"/>
                <w:szCs w:val="24"/>
              </w:rPr>
              <w:t>fushën</w:t>
            </w:r>
            <w:r w:rsidR="00440A4F" w:rsidRPr="004979D2">
              <w:rPr>
                <w:rFonts w:ascii="Times New Roman" w:hAnsi="Times New Roman" w:cs="Times New Roman"/>
                <w:sz w:val="24"/>
                <w:szCs w:val="24"/>
              </w:rPr>
              <w:t xml:space="preserve"> e </w:t>
            </w:r>
            <w:r w:rsidRPr="004979D2">
              <w:rPr>
                <w:rFonts w:ascii="Times New Roman" w:hAnsi="Times New Roman" w:cs="Times New Roman"/>
                <w:sz w:val="24"/>
                <w:szCs w:val="24"/>
              </w:rPr>
              <w:t>Konkurrencës</w:t>
            </w:r>
          </w:p>
        </w:tc>
      </w:tr>
      <w:tr w:rsidR="00C966E4" w:rsidRPr="004979D2" w14:paraId="68401C73" w14:textId="77777777" w:rsidTr="00B11DC4">
        <w:tc>
          <w:tcPr>
            <w:tcW w:w="1795" w:type="dxa"/>
          </w:tcPr>
          <w:p w14:paraId="3C73B6DA" w14:textId="77777777" w:rsidR="00C966E4" w:rsidRPr="004979D2" w:rsidRDefault="00AE5FC2" w:rsidP="002B1BC6">
            <w:pPr>
              <w:rPr>
                <w:rFonts w:ascii="Times New Roman" w:hAnsi="Times New Roman" w:cs="Times New Roman"/>
                <w:b/>
                <w:sz w:val="24"/>
                <w:szCs w:val="24"/>
              </w:rPr>
            </w:pPr>
            <w:r w:rsidRPr="004979D2">
              <w:rPr>
                <w:rFonts w:ascii="Times New Roman" w:hAnsi="Times New Roman" w:cs="Times New Roman"/>
                <w:b/>
                <w:sz w:val="24"/>
                <w:szCs w:val="24"/>
              </w:rPr>
              <w:t>Ministria bartëse</w:t>
            </w:r>
          </w:p>
        </w:tc>
        <w:tc>
          <w:tcPr>
            <w:tcW w:w="7673" w:type="dxa"/>
          </w:tcPr>
          <w:p w14:paraId="3E3A93AD" w14:textId="77777777" w:rsidR="00C966E4" w:rsidRPr="004979D2" w:rsidRDefault="00272062" w:rsidP="002B1BC6">
            <w:pPr>
              <w:jc w:val="both"/>
              <w:rPr>
                <w:rFonts w:ascii="Times New Roman" w:hAnsi="Times New Roman" w:cs="Times New Roman"/>
                <w:sz w:val="24"/>
                <w:szCs w:val="24"/>
              </w:rPr>
            </w:pPr>
            <w:r w:rsidRPr="004979D2">
              <w:rPr>
                <w:rFonts w:ascii="Times New Roman" w:hAnsi="Times New Roman" w:cs="Times New Roman"/>
                <w:sz w:val="24"/>
                <w:szCs w:val="24"/>
              </w:rPr>
              <w:t xml:space="preserve">Ministria e </w:t>
            </w:r>
            <w:r w:rsidR="00C0306A" w:rsidRPr="004979D2">
              <w:rPr>
                <w:rFonts w:ascii="Times New Roman" w:hAnsi="Times New Roman" w:cs="Times New Roman"/>
                <w:sz w:val="24"/>
                <w:szCs w:val="24"/>
              </w:rPr>
              <w:t>Tregtisë</w:t>
            </w:r>
            <w:r w:rsidRPr="004979D2">
              <w:rPr>
                <w:rFonts w:ascii="Times New Roman" w:hAnsi="Times New Roman" w:cs="Times New Roman"/>
                <w:sz w:val="24"/>
                <w:szCs w:val="24"/>
              </w:rPr>
              <w:t xml:space="preserve"> dhe </w:t>
            </w:r>
            <w:r w:rsidR="00C0306A" w:rsidRPr="004979D2">
              <w:rPr>
                <w:rFonts w:ascii="Times New Roman" w:hAnsi="Times New Roman" w:cs="Times New Roman"/>
                <w:sz w:val="24"/>
                <w:szCs w:val="24"/>
              </w:rPr>
              <w:t>Industrisë</w:t>
            </w:r>
          </w:p>
        </w:tc>
      </w:tr>
      <w:tr w:rsidR="00C966E4" w:rsidRPr="004979D2" w14:paraId="749F9179" w14:textId="77777777" w:rsidTr="00B11DC4">
        <w:tc>
          <w:tcPr>
            <w:tcW w:w="1795" w:type="dxa"/>
          </w:tcPr>
          <w:p w14:paraId="7E90685A" w14:textId="77777777" w:rsidR="00C966E4" w:rsidRPr="004979D2" w:rsidRDefault="00AE5FC2" w:rsidP="002B1BC6">
            <w:pPr>
              <w:rPr>
                <w:rFonts w:ascii="Times New Roman" w:hAnsi="Times New Roman" w:cs="Times New Roman"/>
                <w:b/>
                <w:sz w:val="24"/>
                <w:szCs w:val="24"/>
              </w:rPr>
            </w:pPr>
            <w:r w:rsidRPr="004979D2">
              <w:rPr>
                <w:rFonts w:ascii="Times New Roman" w:hAnsi="Times New Roman" w:cs="Times New Roman"/>
                <w:b/>
                <w:sz w:val="24"/>
                <w:szCs w:val="24"/>
              </w:rPr>
              <w:t>Personi kontaktues</w:t>
            </w:r>
          </w:p>
        </w:tc>
        <w:tc>
          <w:tcPr>
            <w:tcW w:w="7673" w:type="dxa"/>
          </w:tcPr>
          <w:p w14:paraId="05003936" w14:textId="77777777" w:rsidR="00C966E4" w:rsidRPr="004979D2" w:rsidRDefault="00272062" w:rsidP="002B1BC6">
            <w:pPr>
              <w:jc w:val="both"/>
              <w:rPr>
                <w:rFonts w:ascii="Times New Roman" w:hAnsi="Times New Roman" w:cs="Times New Roman"/>
                <w:sz w:val="24"/>
                <w:szCs w:val="24"/>
              </w:rPr>
            </w:pPr>
            <w:r w:rsidRPr="004979D2">
              <w:rPr>
                <w:rFonts w:ascii="Times New Roman" w:hAnsi="Times New Roman" w:cs="Times New Roman"/>
                <w:sz w:val="24"/>
                <w:szCs w:val="24"/>
              </w:rPr>
              <w:t xml:space="preserve">Bleron Menzelxhiu, </w:t>
            </w:r>
            <w:r w:rsidR="00AA1ECC" w:rsidRPr="004979D2">
              <w:rPr>
                <w:rFonts w:ascii="Times New Roman" w:hAnsi="Times New Roman" w:cs="Times New Roman"/>
                <w:sz w:val="24"/>
                <w:szCs w:val="24"/>
              </w:rPr>
              <w:t>Udhëheqës</w:t>
            </w:r>
            <w:r w:rsidRPr="004979D2">
              <w:rPr>
                <w:rFonts w:ascii="Times New Roman" w:hAnsi="Times New Roman" w:cs="Times New Roman"/>
                <w:sz w:val="24"/>
                <w:szCs w:val="24"/>
              </w:rPr>
              <w:t xml:space="preserve"> i Divizionit </w:t>
            </w:r>
            <w:r w:rsidR="00AA1ECC" w:rsidRPr="004979D2">
              <w:rPr>
                <w:rFonts w:ascii="Times New Roman" w:hAnsi="Times New Roman" w:cs="Times New Roman"/>
                <w:sz w:val="24"/>
                <w:szCs w:val="24"/>
              </w:rPr>
              <w:t>për</w:t>
            </w:r>
            <w:r w:rsidRPr="004979D2">
              <w:rPr>
                <w:rFonts w:ascii="Times New Roman" w:hAnsi="Times New Roman" w:cs="Times New Roman"/>
                <w:sz w:val="24"/>
                <w:szCs w:val="24"/>
              </w:rPr>
              <w:t xml:space="preserve"> Koordinim</w:t>
            </w:r>
            <w:r w:rsidR="008753CB" w:rsidRPr="004979D2">
              <w:rPr>
                <w:rFonts w:ascii="Times New Roman" w:hAnsi="Times New Roman" w:cs="Times New Roman"/>
                <w:sz w:val="24"/>
                <w:szCs w:val="24"/>
              </w:rPr>
              <w:t xml:space="preserve"> të </w:t>
            </w:r>
            <w:r w:rsidRPr="004979D2">
              <w:rPr>
                <w:rFonts w:ascii="Times New Roman" w:hAnsi="Times New Roman" w:cs="Times New Roman"/>
                <w:sz w:val="24"/>
                <w:szCs w:val="24"/>
              </w:rPr>
              <w:t>Politikave n</w:t>
            </w:r>
            <w:r w:rsidR="00806A74" w:rsidRPr="004979D2">
              <w:rPr>
                <w:rFonts w:ascii="Times New Roman" w:hAnsi="Times New Roman" w:cs="Times New Roman"/>
                <w:sz w:val="24"/>
                <w:szCs w:val="24"/>
              </w:rPr>
              <w:t>ë</w:t>
            </w:r>
            <w:r w:rsidRPr="004979D2">
              <w:rPr>
                <w:rFonts w:ascii="Times New Roman" w:hAnsi="Times New Roman" w:cs="Times New Roman"/>
                <w:sz w:val="24"/>
                <w:szCs w:val="24"/>
              </w:rPr>
              <w:t xml:space="preserve"> Departamentin e Integrimeve Evropiane dhe Koordinim</w:t>
            </w:r>
            <w:r w:rsidR="008753CB" w:rsidRPr="004979D2">
              <w:rPr>
                <w:rFonts w:ascii="Times New Roman" w:hAnsi="Times New Roman" w:cs="Times New Roman"/>
                <w:sz w:val="24"/>
                <w:szCs w:val="24"/>
              </w:rPr>
              <w:t xml:space="preserve"> të </w:t>
            </w:r>
            <w:r w:rsidRPr="004979D2">
              <w:rPr>
                <w:rFonts w:ascii="Times New Roman" w:hAnsi="Times New Roman" w:cs="Times New Roman"/>
                <w:sz w:val="24"/>
                <w:szCs w:val="24"/>
              </w:rPr>
              <w:t>Politikave; bleron.menzelxhiu@rks-gov.net</w:t>
            </w:r>
          </w:p>
        </w:tc>
      </w:tr>
      <w:tr w:rsidR="00C966E4" w:rsidRPr="004979D2" w14:paraId="6A53EADA" w14:textId="77777777" w:rsidTr="00B11DC4">
        <w:tc>
          <w:tcPr>
            <w:tcW w:w="1795" w:type="dxa"/>
          </w:tcPr>
          <w:p w14:paraId="289CCC64" w14:textId="77777777" w:rsidR="00C966E4" w:rsidRPr="004979D2" w:rsidRDefault="00AE5FC2" w:rsidP="002B1BC6">
            <w:pPr>
              <w:rPr>
                <w:rFonts w:ascii="Times New Roman" w:hAnsi="Times New Roman" w:cs="Times New Roman"/>
                <w:b/>
                <w:sz w:val="24"/>
                <w:szCs w:val="24"/>
              </w:rPr>
            </w:pPr>
            <w:r w:rsidRPr="004979D2">
              <w:rPr>
                <w:rFonts w:ascii="Times New Roman" w:hAnsi="Times New Roman" w:cs="Times New Roman"/>
                <w:b/>
                <w:sz w:val="24"/>
                <w:szCs w:val="24"/>
              </w:rPr>
              <w:t>PVPQ</w:t>
            </w:r>
          </w:p>
        </w:tc>
        <w:tc>
          <w:tcPr>
            <w:tcW w:w="7673" w:type="dxa"/>
          </w:tcPr>
          <w:p w14:paraId="2259CE81" w14:textId="3ACEBE9A" w:rsidR="00C966E4" w:rsidRPr="004979D2" w:rsidRDefault="00F038EE" w:rsidP="002B1BC6">
            <w:pPr>
              <w:jc w:val="both"/>
              <w:rPr>
                <w:rFonts w:ascii="Times New Roman" w:hAnsi="Times New Roman" w:cs="Times New Roman"/>
                <w:sz w:val="24"/>
                <w:szCs w:val="24"/>
              </w:rPr>
            </w:pPr>
            <w:r w:rsidRPr="004979D2">
              <w:rPr>
                <w:rFonts w:ascii="Times New Roman" w:hAnsi="Times New Roman" w:cs="Times New Roman"/>
                <w:sz w:val="24"/>
                <w:szCs w:val="24"/>
              </w:rPr>
              <w:t>N</w:t>
            </w:r>
            <w:r w:rsidR="0086590D" w:rsidRPr="004979D2">
              <w:rPr>
                <w:rFonts w:ascii="Times New Roman" w:hAnsi="Times New Roman" w:cs="Times New Roman"/>
                <w:sz w:val="24"/>
                <w:szCs w:val="24"/>
              </w:rPr>
              <w:t>dërlidhet</w:t>
            </w:r>
            <w:r w:rsidR="00C0306A" w:rsidRPr="004979D2">
              <w:rPr>
                <w:rFonts w:ascii="Times New Roman" w:hAnsi="Times New Roman" w:cs="Times New Roman"/>
                <w:sz w:val="24"/>
                <w:szCs w:val="24"/>
              </w:rPr>
              <w:t xml:space="preserve"> me </w:t>
            </w:r>
            <w:r w:rsidRPr="004979D2">
              <w:rPr>
                <w:rFonts w:ascii="Times New Roman" w:hAnsi="Times New Roman" w:cs="Times New Roman"/>
                <w:sz w:val="24"/>
                <w:szCs w:val="24"/>
              </w:rPr>
              <w:t>Objektivin e 1 (</w:t>
            </w:r>
            <w:proofErr w:type="spellStart"/>
            <w:r w:rsidRPr="004979D2">
              <w:rPr>
                <w:rFonts w:ascii="Times New Roman" w:hAnsi="Times New Roman" w:cs="Times New Roman"/>
                <w:sz w:val="24"/>
                <w:szCs w:val="24"/>
              </w:rPr>
              <w:t>Ritja</w:t>
            </w:r>
            <w:proofErr w:type="spellEnd"/>
            <w:r w:rsidRPr="004979D2">
              <w:rPr>
                <w:rFonts w:ascii="Times New Roman" w:hAnsi="Times New Roman" w:cs="Times New Roman"/>
                <w:sz w:val="24"/>
                <w:szCs w:val="24"/>
              </w:rPr>
              <w:t xml:space="preserve"> e efikasiteti të mbikëqyrjes së </w:t>
            </w:r>
            <w:proofErr w:type="spellStart"/>
            <w:r w:rsidRPr="004979D2">
              <w:rPr>
                <w:rFonts w:ascii="Times New Roman" w:hAnsi="Times New Roman" w:cs="Times New Roman"/>
                <w:sz w:val="24"/>
                <w:szCs w:val="24"/>
              </w:rPr>
              <w:t>tegut</w:t>
            </w:r>
            <w:proofErr w:type="spellEnd"/>
            <w:r w:rsidRPr="004979D2">
              <w:rPr>
                <w:rFonts w:ascii="Times New Roman" w:hAnsi="Times New Roman" w:cs="Times New Roman"/>
                <w:sz w:val="24"/>
                <w:szCs w:val="24"/>
              </w:rPr>
              <w:t xml:space="preserve"> dhe mbrojtjes së k</w:t>
            </w:r>
            <w:r w:rsidR="0099757A" w:rsidRPr="004979D2">
              <w:rPr>
                <w:rFonts w:ascii="Times New Roman" w:hAnsi="Times New Roman" w:cs="Times New Roman"/>
                <w:sz w:val="24"/>
                <w:szCs w:val="24"/>
              </w:rPr>
              <w:t>onsumatorit), Aktiviteti 1.1 (</w:t>
            </w:r>
            <w:proofErr w:type="spellStart"/>
            <w:r w:rsidR="0099757A" w:rsidRPr="004979D2">
              <w:rPr>
                <w:rFonts w:ascii="Times New Roman" w:hAnsi="Times New Roman" w:cs="Times New Roman"/>
                <w:sz w:val="24"/>
                <w:szCs w:val="24"/>
              </w:rPr>
              <w:t>Pë</w:t>
            </w:r>
            <w:r w:rsidRPr="004979D2">
              <w:rPr>
                <w:rFonts w:ascii="Times New Roman" w:hAnsi="Times New Roman" w:cs="Times New Roman"/>
                <w:sz w:val="24"/>
                <w:szCs w:val="24"/>
              </w:rPr>
              <w:t>rmiresimi</w:t>
            </w:r>
            <w:proofErr w:type="spellEnd"/>
            <w:r w:rsidRPr="004979D2">
              <w:rPr>
                <w:rFonts w:ascii="Times New Roman" w:hAnsi="Times New Roman" w:cs="Times New Roman"/>
                <w:sz w:val="24"/>
                <w:szCs w:val="24"/>
              </w:rPr>
              <w:t xml:space="preserve"> i rregullatorit </w:t>
            </w:r>
            <w:r w:rsidR="0099757A" w:rsidRPr="004979D2">
              <w:rPr>
                <w:rFonts w:ascii="Times New Roman" w:hAnsi="Times New Roman" w:cs="Times New Roman"/>
                <w:sz w:val="24"/>
                <w:szCs w:val="24"/>
              </w:rPr>
              <w:t>të</w:t>
            </w:r>
            <w:r w:rsidRPr="004979D2">
              <w:rPr>
                <w:rFonts w:ascii="Times New Roman" w:hAnsi="Times New Roman" w:cs="Times New Roman"/>
                <w:sz w:val="24"/>
                <w:szCs w:val="24"/>
              </w:rPr>
              <w:t xml:space="preserve"> tr</w:t>
            </w:r>
            <w:r w:rsidR="0099757A" w:rsidRPr="004979D2">
              <w:rPr>
                <w:rFonts w:ascii="Times New Roman" w:hAnsi="Times New Roman" w:cs="Times New Roman"/>
                <w:sz w:val="24"/>
                <w:szCs w:val="24"/>
              </w:rPr>
              <w:t>egut) të</w:t>
            </w:r>
            <w:r w:rsidRPr="004979D2">
              <w:rPr>
                <w:rFonts w:ascii="Times New Roman" w:hAnsi="Times New Roman" w:cs="Times New Roman"/>
                <w:sz w:val="24"/>
                <w:szCs w:val="24"/>
              </w:rPr>
              <w:t xml:space="preserve"> PVPQ 2019. </w:t>
            </w:r>
            <w:proofErr w:type="spellStart"/>
            <w:r w:rsidRPr="004979D2">
              <w:rPr>
                <w:rFonts w:ascii="Times New Roman" w:hAnsi="Times New Roman" w:cs="Times New Roman"/>
                <w:sz w:val="24"/>
                <w:szCs w:val="24"/>
              </w:rPr>
              <w:t>GJithashtu</w:t>
            </w:r>
            <w:proofErr w:type="spellEnd"/>
            <w:r w:rsidR="0086590D" w:rsidRPr="004979D2">
              <w:rPr>
                <w:rFonts w:ascii="Times New Roman" w:hAnsi="Times New Roman" w:cs="Times New Roman"/>
                <w:sz w:val="24"/>
                <w:szCs w:val="24"/>
              </w:rPr>
              <w:t xml:space="preserve"> </w:t>
            </w:r>
            <w:r w:rsidRPr="004979D2">
              <w:rPr>
                <w:rFonts w:ascii="Times New Roman" w:hAnsi="Times New Roman" w:cs="Times New Roman"/>
                <w:sz w:val="24"/>
                <w:szCs w:val="24"/>
              </w:rPr>
              <w:t xml:space="preserve">ky dokument </w:t>
            </w:r>
            <w:r w:rsidR="008E2877" w:rsidRPr="004979D2">
              <w:rPr>
                <w:rFonts w:ascii="Times New Roman" w:hAnsi="Times New Roman" w:cs="Times New Roman"/>
                <w:sz w:val="24"/>
                <w:szCs w:val="24"/>
              </w:rPr>
              <w:t>është pjes</w:t>
            </w:r>
            <w:r w:rsidR="00806A74" w:rsidRPr="004979D2">
              <w:rPr>
                <w:rFonts w:ascii="Times New Roman" w:hAnsi="Times New Roman" w:cs="Times New Roman"/>
                <w:sz w:val="24"/>
                <w:szCs w:val="24"/>
              </w:rPr>
              <w:t>ë</w:t>
            </w:r>
            <w:r w:rsidR="008E2877" w:rsidRPr="004979D2">
              <w:rPr>
                <w:rFonts w:ascii="Times New Roman" w:hAnsi="Times New Roman" w:cs="Times New Roman"/>
                <w:sz w:val="24"/>
                <w:szCs w:val="24"/>
              </w:rPr>
              <w:t xml:space="preserve"> e listës s</w:t>
            </w:r>
            <w:r w:rsidR="00806A74" w:rsidRPr="004979D2">
              <w:rPr>
                <w:rFonts w:ascii="Times New Roman" w:hAnsi="Times New Roman" w:cs="Times New Roman"/>
                <w:sz w:val="24"/>
                <w:szCs w:val="24"/>
              </w:rPr>
              <w:t>ë</w:t>
            </w:r>
            <w:r w:rsidR="008E2877" w:rsidRPr="004979D2">
              <w:rPr>
                <w:rFonts w:ascii="Times New Roman" w:hAnsi="Times New Roman" w:cs="Times New Roman"/>
                <w:sz w:val="24"/>
                <w:szCs w:val="24"/>
              </w:rPr>
              <w:t xml:space="preserve"> Koncept Dokumenteve për vitin 201</w:t>
            </w:r>
            <w:r w:rsidR="000A0F07" w:rsidRPr="004979D2">
              <w:rPr>
                <w:rFonts w:ascii="Times New Roman" w:hAnsi="Times New Roman" w:cs="Times New Roman"/>
                <w:sz w:val="24"/>
                <w:szCs w:val="24"/>
              </w:rPr>
              <w:t>9</w:t>
            </w:r>
            <w:r w:rsidR="008E2877" w:rsidRPr="004979D2">
              <w:rPr>
                <w:rFonts w:ascii="Times New Roman" w:hAnsi="Times New Roman" w:cs="Times New Roman"/>
                <w:sz w:val="24"/>
                <w:szCs w:val="24"/>
              </w:rPr>
              <w:t xml:space="preserve"> si dhe</w:t>
            </w:r>
            <w:r w:rsidR="0086590D" w:rsidRPr="004979D2">
              <w:rPr>
                <w:rFonts w:ascii="Times New Roman" w:hAnsi="Times New Roman" w:cs="Times New Roman"/>
                <w:sz w:val="24"/>
                <w:szCs w:val="24"/>
              </w:rPr>
              <w:t xml:space="preserve"> në</w:t>
            </w:r>
            <w:r w:rsidR="00C0306A" w:rsidRPr="004979D2">
              <w:rPr>
                <w:rFonts w:ascii="Times New Roman" w:hAnsi="Times New Roman" w:cs="Times New Roman"/>
                <w:sz w:val="24"/>
                <w:szCs w:val="24"/>
              </w:rPr>
              <w:t xml:space="preserve"> </w:t>
            </w:r>
            <w:r w:rsidR="0086590D" w:rsidRPr="004979D2">
              <w:rPr>
                <w:rFonts w:ascii="Times New Roman" w:hAnsi="Times New Roman" w:cs="Times New Roman"/>
                <w:sz w:val="24"/>
                <w:szCs w:val="24"/>
              </w:rPr>
              <w:t>mënyrë</w:t>
            </w:r>
            <w:r w:rsidR="00C0306A" w:rsidRPr="004979D2">
              <w:rPr>
                <w:rFonts w:ascii="Times New Roman" w:hAnsi="Times New Roman" w:cs="Times New Roman"/>
                <w:sz w:val="24"/>
                <w:szCs w:val="24"/>
              </w:rPr>
              <w:t xml:space="preserve"> indirekte nd</w:t>
            </w:r>
            <w:r w:rsidR="0086590D" w:rsidRPr="004979D2">
              <w:rPr>
                <w:rFonts w:ascii="Times New Roman" w:hAnsi="Times New Roman" w:cs="Times New Roman"/>
                <w:sz w:val="24"/>
                <w:szCs w:val="24"/>
              </w:rPr>
              <w:t>ihmon në</w:t>
            </w:r>
            <w:r w:rsidR="00C0306A" w:rsidRPr="004979D2">
              <w:rPr>
                <w:rFonts w:ascii="Times New Roman" w:hAnsi="Times New Roman" w:cs="Times New Roman"/>
                <w:sz w:val="24"/>
                <w:szCs w:val="24"/>
              </w:rPr>
              <w:t xml:space="preserve"> përmbushjen e </w:t>
            </w:r>
            <w:r w:rsidR="0086590D" w:rsidRPr="004979D2">
              <w:rPr>
                <w:rFonts w:ascii="Times New Roman" w:hAnsi="Times New Roman" w:cs="Times New Roman"/>
                <w:sz w:val="24"/>
                <w:szCs w:val="24"/>
              </w:rPr>
              <w:t>veprimeve që ndërlidhen</w:t>
            </w:r>
            <w:r w:rsidR="001907D7" w:rsidRPr="004979D2">
              <w:rPr>
                <w:rFonts w:ascii="Times New Roman" w:hAnsi="Times New Roman" w:cs="Times New Roman"/>
                <w:sz w:val="24"/>
                <w:szCs w:val="24"/>
              </w:rPr>
              <w:t xml:space="preserve"> me </w:t>
            </w:r>
            <w:r w:rsidR="0086590D" w:rsidRPr="004979D2">
              <w:rPr>
                <w:rFonts w:ascii="Times New Roman" w:hAnsi="Times New Roman" w:cs="Times New Roman"/>
                <w:sz w:val="24"/>
                <w:szCs w:val="24"/>
              </w:rPr>
              <w:t>zhvillimin e afarizmi</w:t>
            </w:r>
            <w:r w:rsidR="00E01D85" w:rsidRPr="004979D2">
              <w:rPr>
                <w:rFonts w:ascii="Times New Roman" w:hAnsi="Times New Roman" w:cs="Times New Roman"/>
                <w:sz w:val="24"/>
                <w:szCs w:val="24"/>
              </w:rPr>
              <w:t>t</w:t>
            </w:r>
            <w:r w:rsidR="0086590D" w:rsidRPr="004979D2">
              <w:rPr>
                <w:rFonts w:ascii="Times New Roman" w:hAnsi="Times New Roman" w:cs="Times New Roman"/>
                <w:sz w:val="24"/>
                <w:szCs w:val="24"/>
              </w:rPr>
              <w:t xml:space="preserve"> dhe tregu</w:t>
            </w:r>
            <w:r w:rsidR="000A0F07" w:rsidRPr="004979D2">
              <w:rPr>
                <w:rFonts w:ascii="Times New Roman" w:hAnsi="Times New Roman" w:cs="Times New Roman"/>
                <w:sz w:val="24"/>
                <w:szCs w:val="24"/>
              </w:rPr>
              <w:t>t të</w:t>
            </w:r>
            <w:r w:rsidR="0086590D" w:rsidRPr="004979D2">
              <w:rPr>
                <w:rFonts w:ascii="Times New Roman" w:hAnsi="Times New Roman" w:cs="Times New Roman"/>
                <w:sz w:val="24"/>
                <w:szCs w:val="24"/>
              </w:rPr>
              <w:t xml:space="preserve"> lir</w:t>
            </w:r>
            <w:r w:rsidR="00D75A58" w:rsidRPr="004979D2">
              <w:rPr>
                <w:rFonts w:ascii="Times New Roman" w:hAnsi="Times New Roman" w:cs="Times New Roman"/>
                <w:sz w:val="24"/>
                <w:szCs w:val="24"/>
              </w:rPr>
              <w:t>ë</w:t>
            </w:r>
            <w:r w:rsidR="0086590D" w:rsidRPr="004979D2">
              <w:rPr>
                <w:rFonts w:ascii="Times New Roman" w:hAnsi="Times New Roman" w:cs="Times New Roman"/>
                <w:sz w:val="24"/>
                <w:szCs w:val="24"/>
              </w:rPr>
              <w:t xml:space="preserve">. </w:t>
            </w:r>
          </w:p>
        </w:tc>
      </w:tr>
      <w:tr w:rsidR="00C966E4" w:rsidRPr="004979D2" w14:paraId="546C8847" w14:textId="77777777" w:rsidTr="00B11DC4">
        <w:tc>
          <w:tcPr>
            <w:tcW w:w="1795" w:type="dxa"/>
          </w:tcPr>
          <w:p w14:paraId="30658BAE" w14:textId="77777777" w:rsidR="00C966E4" w:rsidRPr="004979D2" w:rsidRDefault="00AE5FC2" w:rsidP="002B1BC6">
            <w:pPr>
              <w:rPr>
                <w:rFonts w:ascii="Times New Roman" w:hAnsi="Times New Roman" w:cs="Times New Roman"/>
                <w:b/>
                <w:sz w:val="24"/>
                <w:szCs w:val="24"/>
              </w:rPr>
            </w:pPr>
            <w:r w:rsidRPr="004979D2">
              <w:rPr>
                <w:rFonts w:ascii="Times New Roman" w:hAnsi="Times New Roman" w:cs="Times New Roman"/>
                <w:b/>
                <w:sz w:val="24"/>
                <w:szCs w:val="24"/>
              </w:rPr>
              <w:t>Prioriteti strategjik</w:t>
            </w:r>
          </w:p>
        </w:tc>
        <w:tc>
          <w:tcPr>
            <w:tcW w:w="7673" w:type="dxa"/>
          </w:tcPr>
          <w:p w14:paraId="42AC6DEC" w14:textId="77777777" w:rsidR="008B0AF8" w:rsidRPr="004979D2" w:rsidRDefault="008B0AF8" w:rsidP="002B1BC6">
            <w:pPr>
              <w:pStyle w:val="ListParagraph"/>
              <w:numPr>
                <w:ilvl w:val="0"/>
                <w:numId w:val="2"/>
              </w:numPr>
              <w:jc w:val="both"/>
              <w:rPr>
                <w:rFonts w:ascii="Times New Roman" w:hAnsi="Times New Roman" w:cs="Times New Roman"/>
                <w:sz w:val="24"/>
                <w:szCs w:val="24"/>
              </w:rPr>
            </w:pPr>
            <w:r w:rsidRPr="004979D2">
              <w:rPr>
                <w:rFonts w:ascii="Times New Roman" w:hAnsi="Times New Roman" w:cs="Times New Roman"/>
                <w:sz w:val="24"/>
                <w:szCs w:val="24"/>
              </w:rPr>
              <w:t>Strategjia Kombëtare për Zhvillim 2016-2021 (Shtylla 2, Shtylla 3)</w:t>
            </w:r>
          </w:p>
          <w:p w14:paraId="6C01DD29" w14:textId="77777777" w:rsidR="008B0AF8" w:rsidRPr="004979D2" w:rsidRDefault="008B0AF8" w:rsidP="002B1BC6">
            <w:pPr>
              <w:pStyle w:val="ListParagraph"/>
              <w:numPr>
                <w:ilvl w:val="0"/>
                <w:numId w:val="2"/>
              </w:numPr>
              <w:jc w:val="both"/>
              <w:rPr>
                <w:rFonts w:ascii="Times New Roman" w:hAnsi="Times New Roman" w:cs="Times New Roman"/>
                <w:sz w:val="24"/>
                <w:szCs w:val="24"/>
              </w:rPr>
            </w:pPr>
            <w:r w:rsidRPr="004979D2">
              <w:rPr>
                <w:rFonts w:ascii="Times New Roman" w:hAnsi="Times New Roman" w:cs="Times New Roman"/>
                <w:sz w:val="24"/>
                <w:szCs w:val="24"/>
              </w:rPr>
              <w:t>A</w:t>
            </w:r>
            <w:r w:rsidR="008420CE" w:rsidRPr="004979D2">
              <w:rPr>
                <w:rFonts w:ascii="Times New Roman" w:hAnsi="Times New Roman" w:cs="Times New Roman"/>
                <w:sz w:val="24"/>
                <w:szCs w:val="24"/>
              </w:rPr>
              <w:t>gj</w:t>
            </w:r>
            <w:r w:rsidRPr="004979D2">
              <w:rPr>
                <w:rFonts w:ascii="Times New Roman" w:hAnsi="Times New Roman" w:cs="Times New Roman"/>
                <w:sz w:val="24"/>
                <w:szCs w:val="24"/>
              </w:rPr>
              <w:t>enda për Reforma Evropiane 2016 (ERA -</w:t>
            </w:r>
            <w:r w:rsidR="00F9443B" w:rsidRPr="004979D2">
              <w:rPr>
                <w:rFonts w:ascii="Times New Roman" w:hAnsi="Times New Roman" w:cs="Times New Roman"/>
                <w:sz w:val="24"/>
                <w:szCs w:val="24"/>
              </w:rPr>
              <w:t>e</w:t>
            </w:r>
            <w:r w:rsidRPr="004979D2">
              <w:rPr>
                <w:rFonts w:ascii="Times New Roman" w:hAnsi="Times New Roman" w:cs="Times New Roman"/>
                <w:sz w:val="24"/>
                <w:szCs w:val="24"/>
              </w:rPr>
              <w:t xml:space="preserve">1, </w:t>
            </w:r>
            <w:r w:rsidR="00F9443B" w:rsidRPr="004979D2">
              <w:rPr>
                <w:rFonts w:ascii="Times New Roman" w:hAnsi="Times New Roman" w:cs="Times New Roman"/>
                <w:sz w:val="24"/>
                <w:szCs w:val="24"/>
              </w:rPr>
              <w:t>e</w:t>
            </w:r>
            <w:r w:rsidRPr="004979D2">
              <w:rPr>
                <w:rFonts w:ascii="Times New Roman" w:hAnsi="Times New Roman" w:cs="Times New Roman"/>
                <w:sz w:val="24"/>
                <w:szCs w:val="24"/>
              </w:rPr>
              <w:t>2)</w:t>
            </w:r>
          </w:p>
          <w:p w14:paraId="1E8E535A" w14:textId="77777777" w:rsidR="008B0AF8" w:rsidRPr="004979D2" w:rsidRDefault="008B0AF8" w:rsidP="002B1BC6">
            <w:pPr>
              <w:pStyle w:val="ListParagraph"/>
              <w:numPr>
                <w:ilvl w:val="0"/>
                <w:numId w:val="2"/>
              </w:numPr>
              <w:jc w:val="both"/>
              <w:rPr>
                <w:rFonts w:ascii="Times New Roman" w:hAnsi="Times New Roman" w:cs="Times New Roman"/>
                <w:sz w:val="24"/>
                <w:szCs w:val="24"/>
              </w:rPr>
            </w:pPr>
            <w:r w:rsidRPr="004979D2">
              <w:rPr>
                <w:rFonts w:ascii="Times New Roman" w:hAnsi="Times New Roman" w:cs="Times New Roman"/>
                <w:sz w:val="24"/>
                <w:szCs w:val="24"/>
              </w:rPr>
              <w:t xml:space="preserve">Marrëveshja e Stabilizim </w:t>
            </w:r>
            <w:proofErr w:type="spellStart"/>
            <w:r w:rsidRPr="004979D2">
              <w:rPr>
                <w:rFonts w:ascii="Times New Roman" w:hAnsi="Times New Roman" w:cs="Times New Roman"/>
                <w:sz w:val="24"/>
                <w:szCs w:val="24"/>
              </w:rPr>
              <w:t>Associmit</w:t>
            </w:r>
            <w:proofErr w:type="spellEnd"/>
            <w:r w:rsidRPr="004979D2">
              <w:rPr>
                <w:rFonts w:ascii="Times New Roman" w:hAnsi="Times New Roman" w:cs="Times New Roman"/>
                <w:sz w:val="24"/>
                <w:szCs w:val="24"/>
              </w:rPr>
              <w:t xml:space="preserve"> (Kapitulli 8 – Politikat e Konkurrencës)</w:t>
            </w:r>
          </w:p>
          <w:p w14:paraId="55205512" w14:textId="77777777" w:rsidR="00C966E4" w:rsidRPr="004979D2" w:rsidRDefault="008B0AF8" w:rsidP="002B1BC6">
            <w:pPr>
              <w:jc w:val="both"/>
              <w:rPr>
                <w:rFonts w:ascii="Times New Roman" w:hAnsi="Times New Roman" w:cs="Times New Roman"/>
                <w:sz w:val="24"/>
                <w:szCs w:val="24"/>
              </w:rPr>
            </w:pPr>
            <w:r w:rsidRPr="004979D2" w:rsidDel="008B0AF8">
              <w:rPr>
                <w:rFonts w:ascii="Times New Roman" w:hAnsi="Times New Roman" w:cs="Times New Roman"/>
                <w:sz w:val="24"/>
                <w:szCs w:val="24"/>
              </w:rPr>
              <w:t xml:space="preserve"> </w:t>
            </w:r>
          </w:p>
        </w:tc>
      </w:tr>
    </w:tbl>
    <w:p w14:paraId="62B4E57B" w14:textId="77777777" w:rsidR="00C966E4" w:rsidRPr="004979D2" w:rsidRDefault="00C966E4" w:rsidP="002B1BC6">
      <w:pPr>
        <w:spacing w:line="360" w:lineRule="auto"/>
        <w:rPr>
          <w:rFonts w:ascii="Times New Roman" w:hAnsi="Times New Roman" w:cs="Times New Roman"/>
          <w:sz w:val="24"/>
          <w:szCs w:val="24"/>
        </w:rPr>
      </w:pPr>
    </w:p>
    <w:tbl>
      <w:tblPr>
        <w:tblStyle w:val="TableGrid"/>
        <w:tblW w:w="9468" w:type="dxa"/>
        <w:tblLook w:val="04A0" w:firstRow="1" w:lastRow="0" w:firstColumn="1" w:lastColumn="0" w:noHBand="0" w:noVBand="1"/>
      </w:tblPr>
      <w:tblGrid>
        <w:gridCol w:w="1728"/>
        <w:gridCol w:w="7740"/>
      </w:tblGrid>
      <w:tr w:rsidR="00C966E4" w:rsidRPr="004979D2" w14:paraId="04B69F4B" w14:textId="77777777" w:rsidTr="00B11DC4">
        <w:tc>
          <w:tcPr>
            <w:tcW w:w="9468" w:type="dxa"/>
            <w:gridSpan w:val="2"/>
          </w:tcPr>
          <w:p w14:paraId="50D489C8" w14:textId="77777777" w:rsidR="00C966E4" w:rsidRPr="004979D2" w:rsidRDefault="00DF497F" w:rsidP="002B1BC6">
            <w:pPr>
              <w:rPr>
                <w:rFonts w:ascii="Times New Roman" w:hAnsi="Times New Roman" w:cs="Times New Roman"/>
                <w:b/>
                <w:sz w:val="24"/>
                <w:szCs w:val="24"/>
              </w:rPr>
            </w:pPr>
            <w:r w:rsidRPr="004979D2">
              <w:rPr>
                <w:rFonts w:ascii="Times New Roman" w:hAnsi="Times New Roman" w:cs="Times New Roman"/>
                <w:b/>
                <w:sz w:val="24"/>
                <w:szCs w:val="24"/>
              </w:rPr>
              <w:t>VENDIMI</w:t>
            </w:r>
          </w:p>
        </w:tc>
      </w:tr>
      <w:tr w:rsidR="00C966E4" w:rsidRPr="004979D2" w14:paraId="3CC6FE3E" w14:textId="77777777" w:rsidTr="002B1BC6">
        <w:tc>
          <w:tcPr>
            <w:tcW w:w="1728" w:type="dxa"/>
          </w:tcPr>
          <w:p w14:paraId="6D09A75B" w14:textId="77777777" w:rsidR="00C966E4" w:rsidRPr="004979D2" w:rsidRDefault="00AE5FC2" w:rsidP="002B1BC6">
            <w:pPr>
              <w:rPr>
                <w:rFonts w:ascii="Times New Roman" w:hAnsi="Times New Roman" w:cs="Times New Roman"/>
                <w:b/>
                <w:sz w:val="24"/>
                <w:szCs w:val="24"/>
              </w:rPr>
            </w:pPr>
            <w:r w:rsidRPr="004979D2">
              <w:rPr>
                <w:rFonts w:ascii="Times New Roman" w:hAnsi="Times New Roman" w:cs="Times New Roman"/>
                <w:b/>
                <w:sz w:val="24"/>
                <w:szCs w:val="24"/>
              </w:rPr>
              <w:t>Çështja kryesore</w:t>
            </w:r>
          </w:p>
        </w:tc>
        <w:tc>
          <w:tcPr>
            <w:tcW w:w="7740" w:type="dxa"/>
          </w:tcPr>
          <w:p w14:paraId="26664738" w14:textId="2872F92E" w:rsidR="00C966E4" w:rsidRPr="004979D2" w:rsidRDefault="00202656" w:rsidP="002B1BC6">
            <w:pPr>
              <w:spacing w:after="160"/>
              <w:jc w:val="both"/>
              <w:rPr>
                <w:rFonts w:ascii="Times New Roman" w:hAnsi="Times New Roman" w:cs="Times New Roman"/>
                <w:sz w:val="24"/>
                <w:szCs w:val="24"/>
              </w:rPr>
            </w:pPr>
            <w:r w:rsidRPr="004979D2">
              <w:rPr>
                <w:rFonts w:ascii="Times New Roman" w:hAnsi="Times New Roman" w:cs="Times New Roman"/>
                <w:sz w:val="24"/>
                <w:szCs w:val="24"/>
              </w:rPr>
              <w:t>Përafrimi  i</w:t>
            </w:r>
            <w:r w:rsidR="00A56362" w:rsidRPr="004979D2">
              <w:rPr>
                <w:rFonts w:ascii="Times New Roman" w:hAnsi="Times New Roman" w:cs="Times New Roman"/>
                <w:sz w:val="24"/>
                <w:szCs w:val="24"/>
              </w:rPr>
              <w:t xml:space="preserve"> pjessh</w:t>
            </w:r>
            <w:r w:rsidR="00950C24" w:rsidRPr="004979D2">
              <w:rPr>
                <w:rFonts w:ascii="Times New Roman" w:hAnsi="Times New Roman" w:cs="Times New Roman"/>
                <w:sz w:val="24"/>
                <w:szCs w:val="24"/>
              </w:rPr>
              <w:t>ë</w:t>
            </w:r>
            <w:r w:rsidR="00A56362" w:rsidRPr="004979D2">
              <w:rPr>
                <w:rFonts w:ascii="Times New Roman" w:hAnsi="Times New Roman" w:cs="Times New Roman"/>
                <w:sz w:val="24"/>
                <w:szCs w:val="24"/>
              </w:rPr>
              <w:t>m</w:t>
            </w:r>
            <w:r w:rsidR="00224433" w:rsidRPr="004979D2">
              <w:rPr>
                <w:rFonts w:ascii="Times New Roman" w:hAnsi="Times New Roman" w:cs="Times New Roman"/>
                <w:sz w:val="24"/>
                <w:szCs w:val="24"/>
              </w:rPr>
              <w:t xml:space="preserve"> </w:t>
            </w:r>
            <w:r w:rsidRPr="004979D2">
              <w:rPr>
                <w:rFonts w:ascii="Times New Roman" w:hAnsi="Times New Roman" w:cs="Times New Roman"/>
                <w:sz w:val="24"/>
                <w:szCs w:val="24"/>
              </w:rPr>
              <w:t xml:space="preserve">i Ligjit për Mbrojtjen e Konkurrencës </w:t>
            </w:r>
            <w:r w:rsidR="00674E05" w:rsidRPr="004979D2">
              <w:rPr>
                <w:rFonts w:ascii="Times New Roman" w:hAnsi="Times New Roman" w:cs="Times New Roman"/>
                <w:sz w:val="24"/>
                <w:szCs w:val="24"/>
              </w:rPr>
              <w:t>me rregullat e BE-së</w:t>
            </w:r>
            <w:r w:rsidRPr="004979D2">
              <w:rPr>
                <w:rFonts w:ascii="Times New Roman" w:hAnsi="Times New Roman" w:cs="Times New Roman"/>
                <w:sz w:val="24"/>
                <w:szCs w:val="24"/>
              </w:rPr>
              <w:t>, përmbajt</w:t>
            </w:r>
            <w:r w:rsidR="004D3053" w:rsidRPr="004979D2">
              <w:rPr>
                <w:rFonts w:ascii="Times New Roman" w:hAnsi="Times New Roman" w:cs="Times New Roman"/>
                <w:sz w:val="24"/>
                <w:szCs w:val="24"/>
              </w:rPr>
              <w:t>j</w:t>
            </w:r>
            <w:r w:rsidRPr="004979D2">
              <w:rPr>
                <w:rFonts w:ascii="Times New Roman" w:hAnsi="Times New Roman" w:cs="Times New Roman"/>
                <w:sz w:val="24"/>
                <w:szCs w:val="24"/>
              </w:rPr>
              <w:t xml:space="preserve">a e rregullave kontradiktore, mos përcaktimi  i kritereve specifike, si dhe prezenca </w:t>
            </w:r>
            <w:r w:rsidR="00674E05" w:rsidRPr="004979D2">
              <w:rPr>
                <w:rFonts w:ascii="Times New Roman" w:hAnsi="Times New Roman" w:cs="Times New Roman"/>
                <w:sz w:val="24"/>
                <w:szCs w:val="24"/>
              </w:rPr>
              <w:t>e dispozitave të panevojshme kanë ndikuar në</w:t>
            </w:r>
            <w:r w:rsidRPr="004979D2">
              <w:rPr>
                <w:rFonts w:ascii="Times New Roman" w:hAnsi="Times New Roman" w:cs="Times New Roman"/>
                <w:sz w:val="24"/>
                <w:szCs w:val="24"/>
              </w:rPr>
              <w:t xml:space="preserve"> efikasitetin e</w:t>
            </w:r>
            <w:r w:rsidR="00674E05" w:rsidRPr="004979D2">
              <w:rPr>
                <w:rFonts w:ascii="Times New Roman" w:hAnsi="Times New Roman" w:cs="Times New Roman"/>
                <w:sz w:val="24"/>
                <w:szCs w:val="24"/>
              </w:rPr>
              <w:t xml:space="preserve"> Autoritetit në</w:t>
            </w:r>
            <w:r w:rsidRPr="004979D2">
              <w:rPr>
                <w:rFonts w:ascii="Times New Roman" w:hAnsi="Times New Roman" w:cs="Times New Roman"/>
                <w:sz w:val="24"/>
                <w:szCs w:val="24"/>
              </w:rPr>
              <w:t xml:space="preserve"> implementimin e ligjit, rrjedhimisht duke vështirësuar</w:t>
            </w:r>
            <w:r w:rsidR="00674E05" w:rsidRPr="004979D2">
              <w:rPr>
                <w:rFonts w:ascii="Times New Roman" w:hAnsi="Times New Roman" w:cs="Times New Roman"/>
                <w:sz w:val="24"/>
                <w:szCs w:val="24"/>
              </w:rPr>
              <w:t xml:space="preserve"> funksionimin e lirë të</w:t>
            </w:r>
            <w:r w:rsidRPr="004979D2">
              <w:rPr>
                <w:rFonts w:ascii="Times New Roman" w:hAnsi="Times New Roman" w:cs="Times New Roman"/>
                <w:sz w:val="24"/>
                <w:szCs w:val="24"/>
              </w:rPr>
              <w:t xml:space="preserve"> tregut dhe konkurrencës.            </w:t>
            </w:r>
          </w:p>
        </w:tc>
      </w:tr>
      <w:tr w:rsidR="00C966E4" w:rsidRPr="004979D2" w14:paraId="3AEA4155" w14:textId="77777777" w:rsidTr="002B1BC6">
        <w:tc>
          <w:tcPr>
            <w:tcW w:w="1728" w:type="dxa"/>
          </w:tcPr>
          <w:p w14:paraId="391474A1" w14:textId="77777777" w:rsidR="00C966E4" w:rsidRPr="004979D2" w:rsidRDefault="00AE5FC2" w:rsidP="002B1BC6">
            <w:pPr>
              <w:rPr>
                <w:rFonts w:ascii="Times New Roman" w:hAnsi="Times New Roman" w:cs="Times New Roman"/>
                <w:b/>
                <w:sz w:val="24"/>
                <w:szCs w:val="24"/>
              </w:rPr>
            </w:pPr>
            <w:r w:rsidRPr="004979D2">
              <w:rPr>
                <w:rFonts w:ascii="Times New Roman" w:hAnsi="Times New Roman" w:cs="Times New Roman"/>
                <w:b/>
                <w:sz w:val="24"/>
                <w:szCs w:val="24"/>
              </w:rPr>
              <w:t>Përmbledhje e konsultimeve</w:t>
            </w:r>
          </w:p>
        </w:tc>
        <w:tc>
          <w:tcPr>
            <w:tcW w:w="7740" w:type="dxa"/>
          </w:tcPr>
          <w:p w14:paraId="01E93954" w14:textId="459AF7EA" w:rsidR="00973B40" w:rsidRPr="004979D2" w:rsidRDefault="00DE6130" w:rsidP="002B1BC6">
            <w:pPr>
              <w:jc w:val="both"/>
              <w:rPr>
                <w:rFonts w:ascii="Times New Roman" w:hAnsi="Times New Roman" w:cs="Times New Roman"/>
                <w:sz w:val="24"/>
                <w:szCs w:val="24"/>
              </w:rPr>
            </w:pPr>
            <w:r w:rsidRPr="004979D2">
              <w:rPr>
                <w:rFonts w:ascii="Times New Roman" w:hAnsi="Times New Roman" w:cs="Times New Roman"/>
                <w:sz w:val="24"/>
                <w:szCs w:val="24"/>
              </w:rPr>
              <w:t>Gjat</w:t>
            </w:r>
            <w:r w:rsidR="00817EE0" w:rsidRPr="004979D2">
              <w:rPr>
                <w:rFonts w:ascii="Times New Roman" w:hAnsi="Times New Roman" w:cs="Times New Roman"/>
                <w:sz w:val="24"/>
                <w:szCs w:val="24"/>
              </w:rPr>
              <w:t>ë</w:t>
            </w:r>
            <w:r w:rsidRPr="004979D2">
              <w:rPr>
                <w:rFonts w:ascii="Times New Roman" w:hAnsi="Times New Roman" w:cs="Times New Roman"/>
                <w:sz w:val="24"/>
                <w:szCs w:val="24"/>
              </w:rPr>
              <w:t xml:space="preserve"> hartimit t</w:t>
            </w:r>
            <w:r w:rsidR="00817EE0" w:rsidRPr="004979D2">
              <w:rPr>
                <w:rFonts w:ascii="Times New Roman" w:hAnsi="Times New Roman" w:cs="Times New Roman"/>
                <w:sz w:val="24"/>
                <w:szCs w:val="24"/>
              </w:rPr>
              <w:t>ë</w:t>
            </w:r>
            <w:r w:rsidRPr="004979D2">
              <w:rPr>
                <w:rFonts w:ascii="Times New Roman" w:hAnsi="Times New Roman" w:cs="Times New Roman"/>
                <w:sz w:val="24"/>
                <w:szCs w:val="24"/>
              </w:rPr>
              <w:t xml:space="preserve"> Koncept Doku</w:t>
            </w:r>
            <w:r w:rsidR="00BC45AC" w:rsidRPr="004979D2">
              <w:rPr>
                <w:rFonts w:ascii="Times New Roman" w:hAnsi="Times New Roman" w:cs="Times New Roman"/>
                <w:sz w:val="24"/>
                <w:szCs w:val="24"/>
              </w:rPr>
              <w:t>mentit n</w:t>
            </w:r>
            <w:r w:rsidR="00817EE0" w:rsidRPr="004979D2">
              <w:rPr>
                <w:rFonts w:ascii="Times New Roman" w:hAnsi="Times New Roman" w:cs="Times New Roman"/>
                <w:sz w:val="24"/>
                <w:szCs w:val="24"/>
              </w:rPr>
              <w:t>ë</w:t>
            </w:r>
            <w:r w:rsidR="00BC45AC" w:rsidRPr="004979D2">
              <w:rPr>
                <w:rFonts w:ascii="Times New Roman" w:hAnsi="Times New Roman" w:cs="Times New Roman"/>
                <w:sz w:val="24"/>
                <w:szCs w:val="24"/>
              </w:rPr>
              <w:t xml:space="preserve"> Fush</w:t>
            </w:r>
            <w:r w:rsidR="00817EE0" w:rsidRPr="004979D2">
              <w:rPr>
                <w:rFonts w:ascii="Times New Roman" w:hAnsi="Times New Roman" w:cs="Times New Roman"/>
                <w:sz w:val="24"/>
                <w:szCs w:val="24"/>
              </w:rPr>
              <w:t>ë</w:t>
            </w:r>
            <w:r w:rsidR="00BC45AC" w:rsidRPr="004979D2">
              <w:rPr>
                <w:rFonts w:ascii="Times New Roman" w:hAnsi="Times New Roman" w:cs="Times New Roman"/>
                <w:sz w:val="24"/>
                <w:szCs w:val="24"/>
              </w:rPr>
              <w:t>n e Konkurrenc</w:t>
            </w:r>
            <w:r w:rsidR="00817EE0" w:rsidRPr="004979D2">
              <w:rPr>
                <w:rFonts w:ascii="Times New Roman" w:hAnsi="Times New Roman" w:cs="Times New Roman"/>
                <w:sz w:val="24"/>
                <w:szCs w:val="24"/>
              </w:rPr>
              <w:t>ë</w:t>
            </w:r>
            <w:r w:rsidR="00BC45AC" w:rsidRPr="004979D2">
              <w:rPr>
                <w:rFonts w:ascii="Times New Roman" w:hAnsi="Times New Roman" w:cs="Times New Roman"/>
                <w:sz w:val="24"/>
                <w:szCs w:val="24"/>
              </w:rPr>
              <w:t>s, grupi punues ka mbajtur takimin publik me pal</w:t>
            </w:r>
            <w:r w:rsidR="00817EE0" w:rsidRPr="004979D2">
              <w:rPr>
                <w:rFonts w:ascii="Times New Roman" w:hAnsi="Times New Roman" w:cs="Times New Roman"/>
                <w:sz w:val="24"/>
                <w:szCs w:val="24"/>
              </w:rPr>
              <w:t>ë</w:t>
            </w:r>
            <w:r w:rsidR="00BC45AC" w:rsidRPr="004979D2">
              <w:rPr>
                <w:rFonts w:ascii="Times New Roman" w:hAnsi="Times New Roman" w:cs="Times New Roman"/>
                <w:sz w:val="24"/>
                <w:szCs w:val="24"/>
              </w:rPr>
              <w:t>t e interesit ku mor</w:t>
            </w:r>
            <w:r w:rsidR="00817EE0" w:rsidRPr="004979D2">
              <w:rPr>
                <w:rFonts w:ascii="Times New Roman" w:hAnsi="Times New Roman" w:cs="Times New Roman"/>
                <w:sz w:val="24"/>
                <w:szCs w:val="24"/>
              </w:rPr>
              <w:t>ë</w:t>
            </w:r>
            <w:r w:rsidR="00BC45AC" w:rsidRPr="004979D2">
              <w:rPr>
                <w:rFonts w:ascii="Times New Roman" w:hAnsi="Times New Roman" w:cs="Times New Roman"/>
                <w:sz w:val="24"/>
                <w:szCs w:val="24"/>
              </w:rPr>
              <w:t>n pjes</w:t>
            </w:r>
            <w:r w:rsidR="00817EE0" w:rsidRPr="004979D2">
              <w:rPr>
                <w:rFonts w:ascii="Times New Roman" w:hAnsi="Times New Roman" w:cs="Times New Roman"/>
                <w:sz w:val="24"/>
                <w:szCs w:val="24"/>
              </w:rPr>
              <w:t>ë</w:t>
            </w:r>
            <w:r w:rsidR="00BC45AC" w:rsidRPr="004979D2">
              <w:rPr>
                <w:rFonts w:ascii="Times New Roman" w:hAnsi="Times New Roman" w:cs="Times New Roman"/>
                <w:sz w:val="24"/>
                <w:szCs w:val="24"/>
              </w:rPr>
              <w:t xml:space="preserve"> 33 p</w:t>
            </w:r>
            <w:r w:rsidR="00817EE0" w:rsidRPr="004979D2">
              <w:rPr>
                <w:rFonts w:ascii="Times New Roman" w:hAnsi="Times New Roman" w:cs="Times New Roman"/>
                <w:sz w:val="24"/>
                <w:szCs w:val="24"/>
              </w:rPr>
              <w:t>ë</w:t>
            </w:r>
            <w:r w:rsidR="00BC45AC" w:rsidRPr="004979D2">
              <w:rPr>
                <w:rFonts w:ascii="Times New Roman" w:hAnsi="Times New Roman" w:cs="Times New Roman"/>
                <w:sz w:val="24"/>
                <w:szCs w:val="24"/>
              </w:rPr>
              <w:t>rfaq</w:t>
            </w:r>
            <w:r w:rsidR="00817EE0" w:rsidRPr="004979D2">
              <w:rPr>
                <w:rFonts w:ascii="Times New Roman" w:hAnsi="Times New Roman" w:cs="Times New Roman"/>
                <w:sz w:val="24"/>
                <w:szCs w:val="24"/>
              </w:rPr>
              <w:t>ë</w:t>
            </w:r>
            <w:r w:rsidR="00BC45AC" w:rsidRPr="004979D2">
              <w:rPr>
                <w:rFonts w:ascii="Times New Roman" w:hAnsi="Times New Roman" w:cs="Times New Roman"/>
                <w:sz w:val="24"/>
                <w:szCs w:val="24"/>
              </w:rPr>
              <w:t>sues t</w:t>
            </w:r>
            <w:r w:rsidR="00817EE0" w:rsidRPr="004979D2">
              <w:rPr>
                <w:rFonts w:ascii="Times New Roman" w:hAnsi="Times New Roman" w:cs="Times New Roman"/>
                <w:sz w:val="24"/>
                <w:szCs w:val="24"/>
              </w:rPr>
              <w:t>ë</w:t>
            </w:r>
            <w:r w:rsidR="00BC45AC" w:rsidRPr="004979D2">
              <w:rPr>
                <w:rFonts w:ascii="Times New Roman" w:hAnsi="Times New Roman" w:cs="Times New Roman"/>
                <w:sz w:val="24"/>
                <w:szCs w:val="24"/>
              </w:rPr>
              <w:t xml:space="preserve"> bizneseve</w:t>
            </w:r>
            <w:r w:rsidR="00CB37AA" w:rsidRPr="004979D2">
              <w:rPr>
                <w:rFonts w:ascii="Times New Roman" w:hAnsi="Times New Roman" w:cs="Times New Roman"/>
                <w:sz w:val="24"/>
                <w:szCs w:val="24"/>
              </w:rPr>
              <w:t>, shoq</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ris</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 xml:space="preserve"> civile</w:t>
            </w:r>
            <w:r w:rsidR="00BC45AC" w:rsidRPr="004979D2">
              <w:rPr>
                <w:rFonts w:ascii="Times New Roman" w:hAnsi="Times New Roman" w:cs="Times New Roman"/>
                <w:sz w:val="24"/>
                <w:szCs w:val="24"/>
              </w:rPr>
              <w:t xml:space="preserve"> dhe </w:t>
            </w:r>
            <w:r w:rsidR="00CB37AA" w:rsidRPr="004979D2">
              <w:rPr>
                <w:rFonts w:ascii="Times New Roman" w:hAnsi="Times New Roman" w:cs="Times New Roman"/>
                <w:sz w:val="24"/>
                <w:szCs w:val="24"/>
              </w:rPr>
              <w:t>institucioneve. Shumica e pjes</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marr</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sve rekomanduan q</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 xml:space="preserve"> pragu i p</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rqindjes s</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 xml:space="preserve"> pozit</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s dominuese t</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 xml:space="preserve"> rritet nga 25% sa </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sht</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 xml:space="preserve"> me ligjin aktual n</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 xml:space="preserve"> 40%, t</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 xml:space="preserve"> shkurtohen afatet procedurale p</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r vendimmarrje n</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 xml:space="preserve"> AKK, t</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 xml:space="preserve"> shikohet mund</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sia e krijimit t</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 xml:space="preserve"> </w:t>
            </w:r>
            <w:proofErr w:type="spellStart"/>
            <w:r w:rsidR="00CB37AA" w:rsidRPr="004979D2">
              <w:rPr>
                <w:rFonts w:ascii="Times New Roman" w:hAnsi="Times New Roman" w:cs="Times New Roman"/>
                <w:sz w:val="24"/>
                <w:szCs w:val="24"/>
              </w:rPr>
              <w:t>dyshkallshm</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ris</w:t>
            </w:r>
            <w:r w:rsidR="00817EE0" w:rsidRPr="004979D2">
              <w:rPr>
                <w:rFonts w:ascii="Times New Roman" w:hAnsi="Times New Roman" w:cs="Times New Roman"/>
                <w:sz w:val="24"/>
                <w:szCs w:val="24"/>
              </w:rPr>
              <w:t>ë</w:t>
            </w:r>
            <w:proofErr w:type="spellEnd"/>
            <w:r w:rsidR="00CB37AA" w:rsidRPr="004979D2">
              <w:rPr>
                <w:rFonts w:ascii="Times New Roman" w:hAnsi="Times New Roman" w:cs="Times New Roman"/>
                <w:sz w:val="24"/>
                <w:szCs w:val="24"/>
              </w:rPr>
              <w:t xml:space="preserve"> n</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 xml:space="preserve"> k</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t</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 xml:space="preserve"> institucion dhe q</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 xml:space="preserve"> an</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tar</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t e Komisionit t</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 xml:space="preserve"> vazhdojn</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 xml:space="preserve"> pun</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n deri n</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 xml:space="preserve"> p</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rzgjedhjen e an</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tar</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ve t</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 xml:space="preserve"> ri t</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 xml:space="preserve"> Komisionit nga Kuvendi i Kosov</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s, me q</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llim q</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 xml:space="preserve"> t</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 xml:space="preserve"> mos bllokohet puna e AKK-s</w:t>
            </w:r>
            <w:r w:rsidR="00817EE0" w:rsidRPr="004979D2">
              <w:rPr>
                <w:rFonts w:ascii="Times New Roman" w:hAnsi="Times New Roman" w:cs="Times New Roman"/>
                <w:sz w:val="24"/>
                <w:szCs w:val="24"/>
              </w:rPr>
              <w:t>ë</w:t>
            </w:r>
            <w:r w:rsidR="00CB37AA" w:rsidRPr="004979D2">
              <w:rPr>
                <w:rFonts w:ascii="Times New Roman" w:hAnsi="Times New Roman" w:cs="Times New Roman"/>
                <w:sz w:val="24"/>
                <w:szCs w:val="24"/>
              </w:rPr>
              <w:t xml:space="preserve">. </w:t>
            </w:r>
          </w:p>
          <w:p w14:paraId="4A45F210" w14:textId="77777777" w:rsidR="0080324C" w:rsidRPr="004979D2" w:rsidRDefault="0080324C" w:rsidP="002B1BC6">
            <w:pPr>
              <w:jc w:val="both"/>
              <w:rPr>
                <w:rFonts w:ascii="Times New Roman" w:hAnsi="Times New Roman" w:cs="Times New Roman"/>
                <w:sz w:val="24"/>
                <w:szCs w:val="24"/>
              </w:rPr>
            </w:pPr>
          </w:p>
          <w:p w14:paraId="7864283A" w14:textId="1E4DA325" w:rsidR="003D739C" w:rsidRPr="004979D2" w:rsidRDefault="00CB37AA" w:rsidP="002B1BC6">
            <w:pPr>
              <w:jc w:val="both"/>
              <w:rPr>
                <w:rFonts w:ascii="Times New Roman" w:hAnsi="Times New Roman" w:cs="Times New Roman"/>
                <w:sz w:val="24"/>
                <w:szCs w:val="24"/>
              </w:rPr>
            </w:pPr>
            <w:r w:rsidRPr="004979D2">
              <w:rPr>
                <w:rFonts w:ascii="Times New Roman" w:hAnsi="Times New Roman" w:cs="Times New Roman"/>
                <w:sz w:val="24"/>
                <w:szCs w:val="24"/>
              </w:rPr>
              <w:t>Konsultimet nd</w:t>
            </w:r>
            <w:r w:rsidR="00817EE0" w:rsidRPr="004979D2">
              <w:rPr>
                <w:rFonts w:ascii="Times New Roman" w:hAnsi="Times New Roman" w:cs="Times New Roman"/>
                <w:sz w:val="24"/>
                <w:szCs w:val="24"/>
              </w:rPr>
              <w:t>ë</w:t>
            </w:r>
            <w:r w:rsidRPr="004979D2">
              <w:rPr>
                <w:rFonts w:ascii="Times New Roman" w:hAnsi="Times New Roman" w:cs="Times New Roman"/>
                <w:sz w:val="24"/>
                <w:szCs w:val="24"/>
              </w:rPr>
              <w:t>rministrore</w:t>
            </w:r>
            <w:r w:rsidR="00C04536" w:rsidRPr="004979D2">
              <w:rPr>
                <w:rFonts w:ascii="Times New Roman" w:hAnsi="Times New Roman" w:cs="Times New Roman"/>
                <w:sz w:val="24"/>
                <w:szCs w:val="24"/>
              </w:rPr>
              <w:t xml:space="preserve"> janë mbajtur nga data </w:t>
            </w:r>
            <w:r w:rsidR="00BB6F39" w:rsidRPr="004979D2">
              <w:rPr>
                <w:rFonts w:ascii="Times New Roman" w:hAnsi="Times New Roman" w:cs="Times New Roman"/>
                <w:sz w:val="24"/>
                <w:szCs w:val="24"/>
              </w:rPr>
              <w:t>12.12.2018</w:t>
            </w:r>
            <w:r w:rsidR="00C04536" w:rsidRPr="004979D2">
              <w:rPr>
                <w:rFonts w:ascii="Times New Roman" w:hAnsi="Times New Roman" w:cs="Times New Roman"/>
                <w:sz w:val="24"/>
                <w:szCs w:val="24"/>
              </w:rPr>
              <w:t xml:space="preserve"> deri më </w:t>
            </w:r>
            <w:r w:rsidR="00BB6F39" w:rsidRPr="004979D2">
              <w:rPr>
                <w:rFonts w:ascii="Times New Roman" w:hAnsi="Times New Roman" w:cs="Times New Roman"/>
                <w:sz w:val="24"/>
                <w:szCs w:val="24"/>
              </w:rPr>
              <w:t>08.01.2019</w:t>
            </w:r>
            <w:r w:rsidR="00C04536" w:rsidRPr="004979D2">
              <w:rPr>
                <w:rFonts w:ascii="Times New Roman" w:hAnsi="Times New Roman" w:cs="Times New Roman"/>
                <w:sz w:val="24"/>
                <w:szCs w:val="24"/>
              </w:rPr>
              <w:t xml:space="preserve">, </w:t>
            </w:r>
            <w:r w:rsidRPr="004979D2">
              <w:rPr>
                <w:rFonts w:ascii="Times New Roman" w:hAnsi="Times New Roman" w:cs="Times New Roman"/>
                <w:sz w:val="24"/>
                <w:szCs w:val="24"/>
              </w:rPr>
              <w:t xml:space="preserve">me </w:t>
            </w:r>
            <w:proofErr w:type="spellStart"/>
            <w:r w:rsidRPr="004979D2">
              <w:rPr>
                <w:rFonts w:ascii="Times New Roman" w:hAnsi="Times New Roman" w:cs="Times New Roman"/>
                <w:sz w:val="24"/>
                <w:szCs w:val="24"/>
              </w:rPr>
              <w:t>ç’rast</w:t>
            </w:r>
            <w:proofErr w:type="spellEnd"/>
            <w:r w:rsidRPr="004979D2">
              <w:rPr>
                <w:rFonts w:ascii="Times New Roman" w:hAnsi="Times New Roman" w:cs="Times New Roman"/>
                <w:sz w:val="24"/>
                <w:szCs w:val="24"/>
              </w:rPr>
              <w:t xml:space="preserve"> </w:t>
            </w:r>
            <w:r w:rsidR="00C04536" w:rsidRPr="004979D2">
              <w:rPr>
                <w:rFonts w:ascii="Times New Roman" w:hAnsi="Times New Roman" w:cs="Times New Roman"/>
                <w:sz w:val="24"/>
                <w:szCs w:val="24"/>
              </w:rPr>
              <w:t>janë</w:t>
            </w:r>
            <w:r w:rsidR="003D739C" w:rsidRPr="004979D2">
              <w:rPr>
                <w:rFonts w:ascii="Times New Roman" w:hAnsi="Times New Roman" w:cs="Times New Roman"/>
                <w:sz w:val="24"/>
                <w:szCs w:val="24"/>
              </w:rPr>
              <w:t xml:space="preserve"> pranuar komente nga Agjencia për Barazi Gjinore dhe Sekretariati Koordinues i Qever</w:t>
            </w:r>
            <w:r w:rsidR="00696524" w:rsidRPr="004979D2">
              <w:rPr>
                <w:rFonts w:ascii="Times New Roman" w:hAnsi="Times New Roman" w:cs="Times New Roman"/>
                <w:sz w:val="24"/>
                <w:szCs w:val="24"/>
              </w:rPr>
              <w:t xml:space="preserve">isë, në kuadër të </w:t>
            </w:r>
            <w:proofErr w:type="spellStart"/>
            <w:r w:rsidR="00696524" w:rsidRPr="004979D2">
              <w:rPr>
                <w:rFonts w:ascii="Times New Roman" w:hAnsi="Times New Roman" w:cs="Times New Roman"/>
                <w:sz w:val="24"/>
                <w:szCs w:val="24"/>
              </w:rPr>
              <w:t>Zyres</w:t>
            </w:r>
            <w:proofErr w:type="spellEnd"/>
            <w:r w:rsidR="00696524" w:rsidRPr="004979D2">
              <w:rPr>
                <w:rFonts w:ascii="Times New Roman" w:hAnsi="Times New Roman" w:cs="Times New Roman"/>
                <w:sz w:val="24"/>
                <w:szCs w:val="24"/>
              </w:rPr>
              <w:t xml:space="preserve"> së Kryeministrit</w:t>
            </w:r>
            <w:r w:rsidR="003D739C" w:rsidRPr="004979D2">
              <w:rPr>
                <w:rFonts w:ascii="Times New Roman" w:hAnsi="Times New Roman" w:cs="Times New Roman"/>
                <w:sz w:val="24"/>
                <w:szCs w:val="24"/>
              </w:rPr>
              <w:t xml:space="preserve"> lidhur me çështjet që kanë të bëjnë me: terminologjinë e përdorur në përcaktimin e çështjes </w:t>
            </w:r>
            <w:proofErr w:type="spellStart"/>
            <w:r w:rsidR="003D739C" w:rsidRPr="004979D2">
              <w:rPr>
                <w:rFonts w:ascii="Times New Roman" w:hAnsi="Times New Roman" w:cs="Times New Roman"/>
                <w:sz w:val="24"/>
                <w:szCs w:val="24"/>
              </w:rPr>
              <w:t>kryesore</w:t>
            </w:r>
            <w:r w:rsidRPr="004979D2">
              <w:rPr>
                <w:rFonts w:ascii="Times New Roman" w:hAnsi="Times New Roman" w:cs="Times New Roman"/>
                <w:sz w:val="24"/>
                <w:szCs w:val="24"/>
              </w:rPr>
              <w:t>dhe</w:t>
            </w:r>
            <w:proofErr w:type="spellEnd"/>
            <w:r w:rsidRPr="004979D2">
              <w:rPr>
                <w:rFonts w:ascii="Times New Roman" w:hAnsi="Times New Roman" w:cs="Times New Roman"/>
                <w:sz w:val="24"/>
                <w:szCs w:val="24"/>
              </w:rPr>
              <w:t xml:space="preserve"> </w:t>
            </w:r>
            <w:r w:rsidR="003D739C" w:rsidRPr="004979D2">
              <w:rPr>
                <w:rFonts w:ascii="Times New Roman" w:hAnsi="Times New Roman" w:cs="Times New Roman"/>
                <w:sz w:val="24"/>
                <w:szCs w:val="24"/>
              </w:rPr>
              <w:t xml:space="preserve"> termave juridik të përdorur në ligj, aspekte</w:t>
            </w:r>
            <w:r w:rsidRPr="004979D2">
              <w:rPr>
                <w:rFonts w:ascii="Times New Roman" w:hAnsi="Times New Roman" w:cs="Times New Roman"/>
                <w:sz w:val="24"/>
                <w:szCs w:val="24"/>
              </w:rPr>
              <w:t>t</w:t>
            </w:r>
            <w:r w:rsidR="003D739C" w:rsidRPr="004979D2">
              <w:rPr>
                <w:rFonts w:ascii="Times New Roman" w:hAnsi="Times New Roman" w:cs="Times New Roman"/>
                <w:sz w:val="24"/>
                <w:szCs w:val="24"/>
              </w:rPr>
              <w:t xml:space="preserve"> teknike rreth KD dhe përputhshmërisë me </w:t>
            </w:r>
            <w:r w:rsidRPr="004979D2">
              <w:rPr>
                <w:rFonts w:ascii="Times New Roman" w:hAnsi="Times New Roman" w:cs="Times New Roman"/>
                <w:sz w:val="24"/>
                <w:szCs w:val="24"/>
              </w:rPr>
              <w:t>U</w:t>
            </w:r>
            <w:r w:rsidR="003D739C" w:rsidRPr="004979D2">
              <w:rPr>
                <w:rFonts w:ascii="Times New Roman" w:hAnsi="Times New Roman" w:cs="Times New Roman"/>
                <w:sz w:val="24"/>
                <w:szCs w:val="24"/>
              </w:rPr>
              <w:t xml:space="preserve">dhëzuesin e </w:t>
            </w:r>
            <w:r w:rsidRPr="004979D2">
              <w:rPr>
                <w:rFonts w:ascii="Times New Roman" w:hAnsi="Times New Roman" w:cs="Times New Roman"/>
                <w:sz w:val="24"/>
                <w:szCs w:val="24"/>
              </w:rPr>
              <w:t>K</w:t>
            </w:r>
            <w:r w:rsidR="003D739C" w:rsidRPr="004979D2">
              <w:rPr>
                <w:rFonts w:ascii="Times New Roman" w:hAnsi="Times New Roman" w:cs="Times New Roman"/>
                <w:sz w:val="24"/>
                <w:szCs w:val="24"/>
              </w:rPr>
              <w:t xml:space="preserve">oncept </w:t>
            </w:r>
            <w:r w:rsidRPr="004979D2">
              <w:rPr>
                <w:rFonts w:ascii="Times New Roman" w:hAnsi="Times New Roman" w:cs="Times New Roman"/>
                <w:sz w:val="24"/>
                <w:szCs w:val="24"/>
              </w:rPr>
              <w:t>D</w:t>
            </w:r>
            <w:r w:rsidR="003D739C" w:rsidRPr="004979D2">
              <w:rPr>
                <w:rFonts w:ascii="Times New Roman" w:hAnsi="Times New Roman" w:cs="Times New Roman"/>
                <w:sz w:val="24"/>
                <w:szCs w:val="24"/>
              </w:rPr>
              <w:t xml:space="preserve">okumenteve, rekomandime </w:t>
            </w:r>
            <w:r w:rsidRPr="004979D2">
              <w:rPr>
                <w:rFonts w:ascii="Times New Roman" w:hAnsi="Times New Roman" w:cs="Times New Roman"/>
                <w:sz w:val="24"/>
                <w:szCs w:val="24"/>
              </w:rPr>
              <w:t xml:space="preserve">për </w:t>
            </w:r>
            <w:r w:rsidR="003D739C" w:rsidRPr="004979D2">
              <w:rPr>
                <w:rFonts w:ascii="Times New Roman" w:hAnsi="Times New Roman" w:cs="Times New Roman"/>
                <w:sz w:val="24"/>
                <w:szCs w:val="24"/>
              </w:rPr>
              <w:t>pragun që përcakton pozitën dominuese, si dhe komente në lidhje me kapitullin e identifikimit dhe vlerësimit të ndikimeve të ardhshëm.</w:t>
            </w:r>
          </w:p>
          <w:p w14:paraId="35681FCC" w14:textId="77777777" w:rsidR="00C04536" w:rsidRPr="004979D2" w:rsidRDefault="00C04536" w:rsidP="002B1BC6">
            <w:pPr>
              <w:jc w:val="both"/>
              <w:rPr>
                <w:rFonts w:ascii="Times New Roman" w:hAnsi="Times New Roman" w:cs="Times New Roman"/>
                <w:sz w:val="24"/>
                <w:szCs w:val="24"/>
              </w:rPr>
            </w:pPr>
          </w:p>
          <w:p w14:paraId="5792EF11" w14:textId="7F290ECA" w:rsidR="00C04536" w:rsidRPr="004979D2" w:rsidRDefault="00817EE0" w:rsidP="002B1BC6">
            <w:pPr>
              <w:jc w:val="both"/>
              <w:rPr>
                <w:rFonts w:ascii="Times New Roman" w:hAnsi="Times New Roman" w:cs="Times New Roman"/>
                <w:sz w:val="24"/>
                <w:szCs w:val="24"/>
              </w:rPr>
            </w:pPr>
            <w:r w:rsidRPr="004979D2">
              <w:rPr>
                <w:rFonts w:ascii="Times New Roman" w:hAnsi="Times New Roman" w:cs="Times New Roman"/>
                <w:sz w:val="24"/>
                <w:szCs w:val="24"/>
              </w:rPr>
              <w:t xml:space="preserve">Pas përfundimit të konsultimeve ndërministrore, grupi punues ka zhvilluar konsultimet publike përmes platformës </w:t>
            </w:r>
            <w:proofErr w:type="spellStart"/>
            <w:r w:rsidRPr="004979D2">
              <w:rPr>
                <w:rFonts w:ascii="Times New Roman" w:hAnsi="Times New Roman" w:cs="Times New Roman"/>
                <w:sz w:val="24"/>
                <w:szCs w:val="24"/>
              </w:rPr>
              <w:t>online</w:t>
            </w:r>
            <w:proofErr w:type="spellEnd"/>
            <w:r w:rsidRPr="004979D2">
              <w:rPr>
                <w:rFonts w:ascii="Times New Roman" w:hAnsi="Times New Roman" w:cs="Times New Roman"/>
                <w:sz w:val="24"/>
                <w:szCs w:val="24"/>
              </w:rPr>
              <w:t xml:space="preserve">. Megjithatë gjatë periudhës prej </w:t>
            </w:r>
            <w:r w:rsidR="00121D29" w:rsidRPr="004979D2">
              <w:rPr>
                <w:rFonts w:ascii="Times New Roman" w:hAnsi="Times New Roman" w:cs="Times New Roman"/>
                <w:sz w:val="24"/>
                <w:szCs w:val="24"/>
              </w:rPr>
              <w:t>12.12.2018</w:t>
            </w:r>
            <w:r w:rsidR="00C04536" w:rsidRPr="004979D2">
              <w:rPr>
                <w:rFonts w:ascii="Times New Roman" w:hAnsi="Times New Roman" w:cs="Times New Roman"/>
                <w:sz w:val="24"/>
                <w:szCs w:val="24"/>
              </w:rPr>
              <w:t xml:space="preserve"> deri më </w:t>
            </w:r>
            <w:r w:rsidR="00121D29" w:rsidRPr="004979D2">
              <w:rPr>
                <w:rFonts w:ascii="Times New Roman" w:hAnsi="Times New Roman" w:cs="Times New Roman"/>
                <w:sz w:val="24"/>
                <w:szCs w:val="24"/>
              </w:rPr>
              <w:t>08.01.2019</w:t>
            </w:r>
            <w:r w:rsidRPr="004979D2">
              <w:rPr>
                <w:rFonts w:ascii="Times New Roman" w:hAnsi="Times New Roman" w:cs="Times New Roman"/>
                <w:sz w:val="24"/>
                <w:szCs w:val="24"/>
              </w:rPr>
              <w:t xml:space="preserve"> sa ka qëndruar dokumenti në platformën e konsultimeve publike, nuk është pranuar asnjë kontribut nga palët. </w:t>
            </w:r>
          </w:p>
        </w:tc>
      </w:tr>
      <w:tr w:rsidR="00C966E4" w:rsidRPr="004979D2" w14:paraId="58BAD8FF" w14:textId="77777777" w:rsidTr="002B1BC6">
        <w:tc>
          <w:tcPr>
            <w:tcW w:w="1728" w:type="dxa"/>
          </w:tcPr>
          <w:p w14:paraId="47D931C5" w14:textId="77777777" w:rsidR="00C966E4" w:rsidRPr="004979D2" w:rsidRDefault="00AE5FC2" w:rsidP="002B1BC6">
            <w:pPr>
              <w:rPr>
                <w:rFonts w:ascii="Times New Roman" w:hAnsi="Times New Roman" w:cs="Times New Roman"/>
                <w:b/>
                <w:sz w:val="24"/>
                <w:szCs w:val="24"/>
              </w:rPr>
            </w:pPr>
            <w:r w:rsidRPr="004979D2">
              <w:rPr>
                <w:rFonts w:ascii="Times New Roman" w:hAnsi="Times New Roman" w:cs="Times New Roman"/>
                <w:b/>
                <w:sz w:val="24"/>
                <w:szCs w:val="24"/>
              </w:rPr>
              <w:lastRenderedPageBreak/>
              <w:t>Opsioni i propozuar</w:t>
            </w:r>
          </w:p>
        </w:tc>
        <w:tc>
          <w:tcPr>
            <w:tcW w:w="7740" w:type="dxa"/>
          </w:tcPr>
          <w:p w14:paraId="15AE3F30" w14:textId="35B972F4" w:rsidR="00C06DF4" w:rsidRPr="004979D2" w:rsidRDefault="00C06DF4" w:rsidP="002B1BC6">
            <w:pPr>
              <w:rPr>
                <w:rFonts w:ascii="Times New Roman" w:hAnsi="Times New Roman" w:cs="Times New Roman"/>
                <w:b/>
                <w:sz w:val="24"/>
                <w:szCs w:val="24"/>
              </w:rPr>
            </w:pPr>
            <w:r w:rsidRPr="004979D2">
              <w:rPr>
                <w:rFonts w:ascii="Times New Roman" w:hAnsi="Times New Roman" w:cs="Times New Roman"/>
                <w:b/>
                <w:sz w:val="24"/>
                <w:szCs w:val="24"/>
              </w:rPr>
              <w:t>Hartimi i Ligjit të ri për Mbrojtjen e Konkurrencës</w:t>
            </w:r>
          </w:p>
        </w:tc>
      </w:tr>
    </w:tbl>
    <w:p w14:paraId="13239032" w14:textId="77777777" w:rsidR="00C966E4" w:rsidRPr="004979D2" w:rsidRDefault="00C966E4" w:rsidP="002B1BC6">
      <w:pPr>
        <w:spacing w:line="360" w:lineRule="auto"/>
        <w:rPr>
          <w:rFonts w:ascii="Times New Roman" w:hAnsi="Times New Roman" w:cs="Times New Roman"/>
          <w:sz w:val="24"/>
          <w:szCs w:val="24"/>
        </w:rPr>
      </w:pPr>
    </w:p>
    <w:tbl>
      <w:tblPr>
        <w:tblStyle w:val="TableGrid"/>
        <w:tblW w:w="9468" w:type="dxa"/>
        <w:tblLook w:val="04A0" w:firstRow="1" w:lastRow="0" w:firstColumn="1" w:lastColumn="0" w:noHBand="0" w:noVBand="1"/>
      </w:tblPr>
      <w:tblGrid>
        <w:gridCol w:w="1795"/>
        <w:gridCol w:w="7673"/>
      </w:tblGrid>
      <w:tr w:rsidR="00C966E4" w:rsidRPr="004979D2" w14:paraId="2BD76167" w14:textId="77777777" w:rsidTr="00B11DC4">
        <w:tc>
          <w:tcPr>
            <w:tcW w:w="9468" w:type="dxa"/>
            <w:gridSpan w:val="2"/>
          </w:tcPr>
          <w:p w14:paraId="565F94AC" w14:textId="77777777" w:rsidR="00C966E4" w:rsidRPr="004979D2" w:rsidRDefault="007A0BC4" w:rsidP="002B1BC6">
            <w:pPr>
              <w:rPr>
                <w:rFonts w:ascii="Times New Roman" w:hAnsi="Times New Roman" w:cs="Times New Roman"/>
                <w:b/>
                <w:sz w:val="24"/>
                <w:szCs w:val="24"/>
              </w:rPr>
            </w:pPr>
            <w:r w:rsidRPr="004979D2">
              <w:rPr>
                <w:rFonts w:ascii="Times New Roman" w:hAnsi="Times New Roman" w:cs="Times New Roman"/>
                <w:b/>
                <w:sz w:val="24"/>
                <w:szCs w:val="24"/>
              </w:rPr>
              <w:t>NDIKIMET KRYESORE TË PRITSHME</w:t>
            </w:r>
          </w:p>
        </w:tc>
      </w:tr>
      <w:tr w:rsidR="00C966E4" w:rsidRPr="004979D2" w14:paraId="0B8BD151" w14:textId="77777777" w:rsidTr="00B11DC4">
        <w:tc>
          <w:tcPr>
            <w:tcW w:w="1795" w:type="dxa"/>
          </w:tcPr>
          <w:p w14:paraId="00C07ADF" w14:textId="77777777" w:rsidR="00C966E4" w:rsidRPr="004979D2" w:rsidRDefault="00AE5FC2" w:rsidP="002B1BC6">
            <w:pPr>
              <w:rPr>
                <w:rFonts w:ascii="Times New Roman" w:hAnsi="Times New Roman" w:cs="Times New Roman"/>
                <w:b/>
                <w:sz w:val="24"/>
                <w:szCs w:val="24"/>
              </w:rPr>
            </w:pPr>
            <w:r w:rsidRPr="004979D2">
              <w:rPr>
                <w:rFonts w:ascii="Times New Roman" w:hAnsi="Times New Roman" w:cs="Times New Roman"/>
                <w:b/>
                <w:sz w:val="24"/>
                <w:szCs w:val="24"/>
              </w:rPr>
              <w:t>Ndikimet buxhetore</w:t>
            </w:r>
          </w:p>
        </w:tc>
        <w:tc>
          <w:tcPr>
            <w:tcW w:w="7673" w:type="dxa"/>
          </w:tcPr>
          <w:p w14:paraId="7336774E" w14:textId="16CCEF44" w:rsidR="00C966E4" w:rsidRPr="004979D2" w:rsidRDefault="00715002" w:rsidP="002B1BC6">
            <w:pPr>
              <w:rPr>
                <w:rFonts w:ascii="Times New Roman" w:hAnsi="Times New Roman" w:cs="Times New Roman"/>
                <w:sz w:val="24"/>
                <w:szCs w:val="24"/>
              </w:rPr>
            </w:pPr>
            <w:r w:rsidRPr="004979D2">
              <w:rPr>
                <w:rFonts w:ascii="Times New Roman" w:hAnsi="Times New Roman" w:cs="Times New Roman"/>
                <w:b/>
                <w:sz w:val="24"/>
                <w:szCs w:val="24"/>
              </w:rPr>
              <w:t>Zbatuar sipas tavanit aktual të buxhetit</w:t>
            </w:r>
            <w:r w:rsidRPr="004979D2">
              <w:rPr>
                <w:rFonts w:ascii="Times New Roman" w:hAnsi="Times New Roman" w:cs="Times New Roman"/>
                <w:sz w:val="24"/>
                <w:szCs w:val="24"/>
              </w:rPr>
              <w:t>. O</w:t>
            </w:r>
            <w:r w:rsidR="0045074B" w:rsidRPr="004979D2">
              <w:rPr>
                <w:rFonts w:ascii="Times New Roman" w:hAnsi="Times New Roman" w:cs="Times New Roman"/>
                <w:sz w:val="24"/>
                <w:szCs w:val="24"/>
              </w:rPr>
              <w:t>psion</w:t>
            </w:r>
            <w:r w:rsidR="00696524" w:rsidRPr="004979D2">
              <w:rPr>
                <w:rFonts w:ascii="Times New Roman" w:hAnsi="Times New Roman" w:cs="Times New Roman"/>
                <w:sz w:val="24"/>
                <w:szCs w:val="24"/>
              </w:rPr>
              <w:t>et e shqyrtuara mbulohen</w:t>
            </w:r>
            <w:r w:rsidR="0045074B" w:rsidRPr="004979D2">
              <w:rPr>
                <w:rFonts w:ascii="Times New Roman" w:hAnsi="Times New Roman" w:cs="Times New Roman"/>
                <w:sz w:val="24"/>
                <w:szCs w:val="24"/>
              </w:rPr>
              <w:t xml:space="preserve"> nga</w:t>
            </w:r>
            <w:r w:rsidR="00C422F0" w:rsidRPr="004979D2">
              <w:rPr>
                <w:rFonts w:ascii="Times New Roman" w:hAnsi="Times New Roman" w:cs="Times New Roman"/>
                <w:sz w:val="24"/>
                <w:szCs w:val="24"/>
              </w:rPr>
              <w:t xml:space="preserve"> </w:t>
            </w:r>
            <w:r w:rsidR="003E1152" w:rsidRPr="004979D2">
              <w:rPr>
                <w:rFonts w:ascii="Times New Roman" w:hAnsi="Times New Roman" w:cs="Times New Roman"/>
                <w:sz w:val="24"/>
                <w:szCs w:val="24"/>
              </w:rPr>
              <w:t>Buxheti aktual.</w:t>
            </w:r>
          </w:p>
        </w:tc>
      </w:tr>
      <w:tr w:rsidR="00C966E4" w:rsidRPr="004979D2" w14:paraId="3CF71B61" w14:textId="77777777" w:rsidTr="00B11DC4">
        <w:tc>
          <w:tcPr>
            <w:tcW w:w="1795" w:type="dxa"/>
          </w:tcPr>
          <w:p w14:paraId="0DE9D7B0" w14:textId="77777777" w:rsidR="00C966E4" w:rsidRPr="004979D2" w:rsidRDefault="00AE5FC2" w:rsidP="002B1BC6">
            <w:pPr>
              <w:rPr>
                <w:rFonts w:ascii="Times New Roman" w:hAnsi="Times New Roman" w:cs="Times New Roman"/>
                <w:b/>
                <w:sz w:val="24"/>
                <w:szCs w:val="24"/>
              </w:rPr>
            </w:pPr>
            <w:r w:rsidRPr="004979D2">
              <w:rPr>
                <w:rFonts w:ascii="Times New Roman" w:hAnsi="Times New Roman" w:cs="Times New Roman"/>
                <w:b/>
                <w:sz w:val="24"/>
                <w:szCs w:val="24"/>
              </w:rPr>
              <w:t>Ndikimet ekonomike</w:t>
            </w:r>
          </w:p>
        </w:tc>
        <w:tc>
          <w:tcPr>
            <w:tcW w:w="7673" w:type="dxa"/>
          </w:tcPr>
          <w:p w14:paraId="5F042472" w14:textId="2CB77236" w:rsidR="00C966E4" w:rsidRPr="004979D2" w:rsidRDefault="00696524" w:rsidP="002B1BC6">
            <w:pPr>
              <w:pStyle w:val="NormalWeb"/>
              <w:spacing w:before="0" w:beforeAutospacing="0" w:after="0" w:afterAutospacing="0"/>
            </w:pPr>
            <w:r w:rsidRPr="004979D2">
              <w:rPr>
                <w:rFonts w:eastAsiaTheme="minorHAnsi"/>
                <w:lang w:val="sq-AL"/>
              </w:rPr>
              <w:t xml:space="preserve">Ndikim në tregun e lirë dhe konkurrencë </w:t>
            </w:r>
          </w:p>
        </w:tc>
      </w:tr>
      <w:tr w:rsidR="00C966E4" w:rsidRPr="004979D2" w14:paraId="621AF53C" w14:textId="77777777" w:rsidTr="00B11DC4">
        <w:tc>
          <w:tcPr>
            <w:tcW w:w="1795" w:type="dxa"/>
          </w:tcPr>
          <w:p w14:paraId="6EE23CA4" w14:textId="77777777" w:rsidR="00C966E4" w:rsidRPr="004979D2" w:rsidRDefault="00AE5FC2" w:rsidP="002B1BC6">
            <w:pPr>
              <w:rPr>
                <w:rFonts w:ascii="Times New Roman" w:hAnsi="Times New Roman" w:cs="Times New Roman"/>
                <w:b/>
                <w:sz w:val="24"/>
                <w:szCs w:val="24"/>
              </w:rPr>
            </w:pPr>
            <w:r w:rsidRPr="004979D2">
              <w:rPr>
                <w:rFonts w:ascii="Times New Roman" w:hAnsi="Times New Roman" w:cs="Times New Roman"/>
                <w:b/>
                <w:sz w:val="24"/>
                <w:szCs w:val="24"/>
              </w:rPr>
              <w:t>Ndikimet shoqërore</w:t>
            </w:r>
          </w:p>
        </w:tc>
        <w:tc>
          <w:tcPr>
            <w:tcW w:w="7673" w:type="dxa"/>
          </w:tcPr>
          <w:p w14:paraId="783D48B3" w14:textId="7234A0A4" w:rsidR="00C966E4" w:rsidRPr="004979D2" w:rsidRDefault="00696524" w:rsidP="002B1BC6">
            <w:pPr>
              <w:pStyle w:val="NormalWeb"/>
              <w:spacing w:before="0" w:beforeAutospacing="0" w:after="0" w:afterAutospacing="0"/>
            </w:pPr>
            <w:r w:rsidRPr="004979D2">
              <w:rPr>
                <w:rFonts w:eastAsiaTheme="minorHAnsi"/>
                <w:lang w:val="sq-AL"/>
              </w:rPr>
              <w:t>Nuk do të ketë ndikim të drejtpërdrejtë</w:t>
            </w:r>
            <w:r w:rsidR="00C756B3" w:rsidRPr="004979D2">
              <w:rPr>
                <w:rFonts w:eastAsiaTheme="minorHAnsi"/>
                <w:lang w:val="sq-AL"/>
              </w:rPr>
              <w:t xml:space="preserve"> </w:t>
            </w:r>
          </w:p>
        </w:tc>
      </w:tr>
      <w:tr w:rsidR="00C966E4" w:rsidRPr="004979D2" w14:paraId="1108956D" w14:textId="77777777" w:rsidTr="00B11DC4">
        <w:tc>
          <w:tcPr>
            <w:tcW w:w="1795" w:type="dxa"/>
          </w:tcPr>
          <w:p w14:paraId="3F3EE287" w14:textId="77777777" w:rsidR="00C966E4" w:rsidRPr="004979D2" w:rsidRDefault="00AE5FC2" w:rsidP="002B1BC6">
            <w:pPr>
              <w:rPr>
                <w:rFonts w:ascii="Times New Roman" w:hAnsi="Times New Roman" w:cs="Times New Roman"/>
                <w:b/>
                <w:sz w:val="24"/>
                <w:szCs w:val="24"/>
              </w:rPr>
            </w:pPr>
            <w:r w:rsidRPr="004979D2">
              <w:rPr>
                <w:rFonts w:ascii="Times New Roman" w:hAnsi="Times New Roman" w:cs="Times New Roman"/>
                <w:b/>
                <w:sz w:val="24"/>
                <w:szCs w:val="24"/>
              </w:rPr>
              <w:t>Ndikimet mjedisore</w:t>
            </w:r>
          </w:p>
        </w:tc>
        <w:tc>
          <w:tcPr>
            <w:tcW w:w="7673" w:type="dxa"/>
          </w:tcPr>
          <w:p w14:paraId="6A8525D0" w14:textId="0399AC78" w:rsidR="00C966E4" w:rsidRPr="004979D2" w:rsidRDefault="00696524" w:rsidP="002B1BC6">
            <w:pPr>
              <w:pStyle w:val="NormalWeb"/>
              <w:spacing w:before="0" w:beforeAutospacing="0" w:after="0" w:afterAutospacing="0"/>
            </w:pPr>
            <w:r w:rsidRPr="004979D2">
              <w:rPr>
                <w:rFonts w:eastAsiaTheme="minorHAnsi"/>
                <w:lang w:val="sq-AL"/>
              </w:rPr>
              <w:t>Nuk do të ketë ndikim të drejtpërdrejtë</w:t>
            </w:r>
          </w:p>
        </w:tc>
      </w:tr>
      <w:tr w:rsidR="001869E9" w:rsidRPr="004979D2" w14:paraId="0826B790" w14:textId="77777777" w:rsidTr="00B11DC4">
        <w:tc>
          <w:tcPr>
            <w:tcW w:w="1795" w:type="dxa"/>
          </w:tcPr>
          <w:p w14:paraId="1159298D" w14:textId="77777777" w:rsidR="001869E9" w:rsidRPr="004979D2" w:rsidRDefault="001869E9" w:rsidP="002B1BC6">
            <w:pPr>
              <w:rPr>
                <w:rFonts w:ascii="Times New Roman" w:hAnsi="Times New Roman" w:cs="Times New Roman"/>
                <w:b/>
                <w:sz w:val="24"/>
                <w:szCs w:val="24"/>
              </w:rPr>
            </w:pPr>
            <w:r w:rsidRPr="004979D2">
              <w:rPr>
                <w:rFonts w:ascii="Times New Roman" w:hAnsi="Times New Roman" w:cs="Times New Roman"/>
                <w:b/>
                <w:sz w:val="24"/>
                <w:szCs w:val="24"/>
              </w:rPr>
              <w:t>Ndikimet e të drejtave themelore</w:t>
            </w:r>
          </w:p>
        </w:tc>
        <w:tc>
          <w:tcPr>
            <w:tcW w:w="7673" w:type="dxa"/>
          </w:tcPr>
          <w:p w14:paraId="249BCD7B" w14:textId="5FBCF96B" w:rsidR="001869E9" w:rsidRPr="004979D2" w:rsidRDefault="00696524" w:rsidP="002B1BC6">
            <w:pPr>
              <w:rPr>
                <w:rFonts w:ascii="Times New Roman" w:hAnsi="Times New Roman" w:cs="Times New Roman"/>
                <w:sz w:val="24"/>
                <w:szCs w:val="24"/>
              </w:rPr>
            </w:pPr>
            <w:r w:rsidRPr="004979D2">
              <w:rPr>
                <w:rFonts w:ascii="Times New Roman" w:hAnsi="Times New Roman" w:cs="Times New Roman"/>
                <w:sz w:val="24"/>
                <w:szCs w:val="24"/>
              </w:rPr>
              <w:t>Nuk do të ketë ndikim të drejtpërdrejtë</w:t>
            </w:r>
          </w:p>
        </w:tc>
      </w:tr>
      <w:tr w:rsidR="00C966E4" w:rsidRPr="004979D2" w14:paraId="58EC0840" w14:textId="77777777" w:rsidTr="00B11DC4">
        <w:tc>
          <w:tcPr>
            <w:tcW w:w="1795" w:type="dxa"/>
          </w:tcPr>
          <w:p w14:paraId="505CB48D" w14:textId="77777777" w:rsidR="00C966E4" w:rsidRPr="004979D2" w:rsidRDefault="00AE5FC2" w:rsidP="002B1BC6">
            <w:pPr>
              <w:rPr>
                <w:rFonts w:ascii="Times New Roman" w:hAnsi="Times New Roman" w:cs="Times New Roman"/>
                <w:b/>
                <w:sz w:val="24"/>
                <w:szCs w:val="24"/>
              </w:rPr>
            </w:pPr>
            <w:r w:rsidRPr="004979D2">
              <w:rPr>
                <w:rFonts w:ascii="Times New Roman" w:hAnsi="Times New Roman" w:cs="Times New Roman"/>
                <w:b/>
                <w:sz w:val="24"/>
                <w:szCs w:val="24"/>
              </w:rPr>
              <w:t>Ndikimet ndër</w:t>
            </w:r>
            <w:r w:rsidR="00730CA6" w:rsidRPr="004979D2">
              <w:rPr>
                <w:rFonts w:ascii="Times New Roman" w:hAnsi="Times New Roman" w:cs="Times New Roman"/>
                <w:b/>
                <w:sz w:val="24"/>
                <w:szCs w:val="24"/>
              </w:rPr>
              <w:t>-</w:t>
            </w:r>
            <w:r w:rsidRPr="004979D2">
              <w:rPr>
                <w:rFonts w:ascii="Times New Roman" w:hAnsi="Times New Roman" w:cs="Times New Roman"/>
                <w:b/>
                <w:sz w:val="24"/>
                <w:szCs w:val="24"/>
              </w:rPr>
              <w:t>sektoriale</w:t>
            </w:r>
          </w:p>
        </w:tc>
        <w:tc>
          <w:tcPr>
            <w:tcW w:w="7673" w:type="dxa"/>
          </w:tcPr>
          <w:p w14:paraId="0F8769A1" w14:textId="7FE45721" w:rsidR="00C966E4" w:rsidRPr="004979D2" w:rsidRDefault="00696524" w:rsidP="002B1BC6">
            <w:pPr>
              <w:pStyle w:val="NormalWeb"/>
              <w:spacing w:before="0" w:beforeAutospacing="0" w:after="0" w:afterAutospacing="0"/>
            </w:pPr>
            <w:r w:rsidRPr="004979D2">
              <w:rPr>
                <w:rFonts w:eastAsiaTheme="minorHAnsi"/>
                <w:lang w:val="sq-AL"/>
              </w:rPr>
              <w:t>Nuk do të ketë ndikim të drejtpërdrejtë</w:t>
            </w:r>
          </w:p>
        </w:tc>
      </w:tr>
      <w:tr w:rsidR="00C966E4" w:rsidRPr="004979D2" w14:paraId="55AEF9DD" w14:textId="77777777" w:rsidTr="00B11DC4">
        <w:tc>
          <w:tcPr>
            <w:tcW w:w="1795" w:type="dxa"/>
          </w:tcPr>
          <w:p w14:paraId="72055304" w14:textId="77777777" w:rsidR="00C966E4" w:rsidRPr="004979D2" w:rsidRDefault="00674773" w:rsidP="002B1BC6">
            <w:pPr>
              <w:rPr>
                <w:rFonts w:ascii="Times New Roman" w:hAnsi="Times New Roman" w:cs="Times New Roman"/>
                <w:b/>
                <w:sz w:val="24"/>
                <w:szCs w:val="24"/>
              </w:rPr>
            </w:pPr>
            <w:r w:rsidRPr="004979D2">
              <w:rPr>
                <w:rFonts w:ascii="Times New Roman" w:hAnsi="Times New Roman" w:cs="Times New Roman"/>
                <w:b/>
                <w:sz w:val="24"/>
                <w:szCs w:val="24"/>
              </w:rPr>
              <w:t xml:space="preserve">Ngarkesat </w:t>
            </w:r>
            <w:r w:rsidR="00AE5FC2" w:rsidRPr="004979D2">
              <w:rPr>
                <w:rFonts w:ascii="Times New Roman" w:hAnsi="Times New Roman" w:cs="Times New Roman"/>
                <w:b/>
                <w:sz w:val="24"/>
                <w:szCs w:val="24"/>
              </w:rPr>
              <w:t>administrative për kompanitë</w:t>
            </w:r>
          </w:p>
        </w:tc>
        <w:tc>
          <w:tcPr>
            <w:tcW w:w="7673" w:type="dxa"/>
          </w:tcPr>
          <w:p w14:paraId="514EC381" w14:textId="48378C99" w:rsidR="00C966E4" w:rsidRPr="004979D2" w:rsidRDefault="00696524" w:rsidP="002B1BC6">
            <w:pPr>
              <w:rPr>
                <w:rFonts w:ascii="Times New Roman" w:hAnsi="Times New Roman" w:cs="Times New Roman"/>
                <w:sz w:val="24"/>
                <w:szCs w:val="24"/>
              </w:rPr>
            </w:pPr>
            <w:r w:rsidRPr="004979D2">
              <w:rPr>
                <w:rFonts w:ascii="Times New Roman" w:hAnsi="Times New Roman" w:cs="Times New Roman"/>
                <w:sz w:val="24"/>
                <w:szCs w:val="24"/>
              </w:rPr>
              <w:t>Nuk krijohen</w:t>
            </w:r>
            <w:r w:rsidR="00AE5FC2" w:rsidRPr="004979D2">
              <w:rPr>
                <w:rFonts w:ascii="Times New Roman" w:hAnsi="Times New Roman" w:cs="Times New Roman"/>
                <w:sz w:val="24"/>
                <w:szCs w:val="24"/>
              </w:rPr>
              <w:t xml:space="preserve"> </w:t>
            </w:r>
            <w:r w:rsidR="00674773" w:rsidRPr="004979D2">
              <w:rPr>
                <w:rFonts w:ascii="Times New Roman" w:hAnsi="Times New Roman" w:cs="Times New Roman"/>
                <w:sz w:val="24"/>
                <w:szCs w:val="24"/>
              </w:rPr>
              <w:t xml:space="preserve">ngarkesa </w:t>
            </w:r>
            <w:r w:rsidR="00AE5FC2" w:rsidRPr="004979D2">
              <w:rPr>
                <w:rFonts w:ascii="Times New Roman" w:hAnsi="Times New Roman" w:cs="Times New Roman"/>
                <w:sz w:val="24"/>
                <w:szCs w:val="24"/>
              </w:rPr>
              <w:t>administrative për kompanitë</w:t>
            </w:r>
          </w:p>
        </w:tc>
      </w:tr>
    </w:tbl>
    <w:p w14:paraId="34B4707F" w14:textId="77777777" w:rsidR="00C966E4" w:rsidRPr="004979D2" w:rsidRDefault="00C966E4" w:rsidP="002B1BC6">
      <w:pPr>
        <w:spacing w:line="360" w:lineRule="auto"/>
        <w:rPr>
          <w:rFonts w:ascii="Times New Roman" w:hAnsi="Times New Roman" w:cs="Times New Roman"/>
          <w:sz w:val="24"/>
          <w:szCs w:val="24"/>
        </w:rPr>
      </w:pPr>
    </w:p>
    <w:tbl>
      <w:tblPr>
        <w:tblStyle w:val="TableGrid"/>
        <w:tblW w:w="9468" w:type="dxa"/>
        <w:tblLook w:val="04A0" w:firstRow="1" w:lastRow="0" w:firstColumn="1" w:lastColumn="0" w:noHBand="0" w:noVBand="1"/>
      </w:tblPr>
      <w:tblGrid>
        <w:gridCol w:w="1795"/>
        <w:gridCol w:w="7673"/>
      </w:tblGrid>
      <w:tr w:rsidR="00C966E4" w:rsidRPr="004979D2" w14:paraId="594F7814" w14:textId="77777777" w:rsidTr="00B11DC4">
        <w:tc>
          <w:tcPr>
            <w:tcW w:w="9468" w:type="dxa"/>
            <w:gridSpan w:val="2"/>
          </w:tcPr>
          <w:p w14:paraId="094C907B" w14:textId="77777777" w:rsidR="00C966E4" w:rsidRPr="004979D2" w:rsidRDefault="007A0BC4" w:rsidP="002B1BC6">
            <w:pPr>
              <w:rPr>
                <w:rFonts w:ascii="Times New Roman" w:hAnsi="Times New Roman" w:cs="Times New Roman"/>
                <w:b/>
                <w:sz w:val="24"/>
                <w:szCs w:val="24"/>
              </w:rPr>
            </w:pPr>
            <w:r w:rsidRPr="004979D2">
              <w:rPr>
                <w:rFonts w:ascii="Times New Roman" w:hAnsi="Times New Roman" w:cs="Times New Roman"/>
                <w:b/>
                <w:sz w:val="24"/>
                <w:szCs w:val="24"/>
              </w:rPr>
              <w:t>HAPAT E ARDHSHËM</w:t>
            </w:r>
          </w:p>
        </w:tc>
      </w:tr>
      <w:tr w:rsidR="00C966E4" w:rsidRPr="004979D2" w14:paraId="2E423E6C" w14:textId="77777777" w:rsidTr="00B11DC4">
        <w:tc>
          <w:tcPr>
            <w:tcW w:w="1795" w:type="dxa"/>
          </w:tcPr>
          <w:p w14:paraId="58BE7659" w14:textId="77777777" w:rsidR="00C966E4" w:rsidRPr="004979D2" w:rsidRDefault="00AE5FC2" w:rsidP="002B1BC6">
            <w:pPr>
              <w:rPr>
                <w:rFonts w:ascii="Times New Roman" w:hAnsi="Times New Roman" w:cs="Times New Roman"/>
                <w:b/>
                <w:sz w:val="24"/>
                <w:szCs w:val="24"/>
              </w:rPr>
            </w:pPr>
            <w:r w:rsidRPr="004979D2">
              <w:rPr>
                <w:rFonts w:ascii="Times New Roman" w:hAnsi="Times New Roman" w:cs="Times New Roman"/>
                <w:b/>
                <w:sz w:val="24"/>
                <w:szCs w:val="24"/>
              </w:rPr>
              <w:t>Afatshkurtër</w:t>
            </w:r>
          </w:p>
        </w:tc>
        <w:tc>
          <w:tcPr>
            <w:tcW w:w="7673" w:type="dxa"/>
          </w:tcPr>
          <w:p w14:paraId="1DCF216E" w14:textId="159ACAF9" w:rsidR="00C966E4" w:rsidRPr="004979D2" w:rsidRDefault="00F634DB" w:rsidP="002B1BC6">
            <w:pPr>
              <w:tabs>
                <w:tab w:val="left" w:pos="7835"/>
              </w:tabs>
              <w:rPr>
                <w:rFonts w:ascii="Times New Roman" w:hAnsi="Times New Roman" w:cs="Times New Roman"/>
                <w:sz w:val="24"/>
                <w:szCs w:val="24"/>
              </w:rPr>
            </w:pPr>
            <w:r w:rsidRPr="004979D2">
              <w:rPr>
                <w:rFonts w:ascii="Times New Roman" w:hAnsi="Times New Roman" w:cs="Times New Roman"/>
                <w:sz w:val="24"/>
                <w:szCs w:val="24"/>
              </w:rPr>
              <w:t>Pas</w:t>
            </w:r>
            <w:r w:rsidR="00154293" w:rsidRPr="004979D2">
              <w:rPr>
                <w:rFonts w:ascii="Times New Roman" w:hAnsi="Times New Roman" w:cs="Times New Roman"/>
                <w:sz w:val="24"/>
                <w:szCs w:val="24"/>
              </w:rPr>
              <w:t xml:space="preserve"> aprovimit të</w:t>
            </w:r>
            <w:r w:rsidR="00B37952" w:rsidRPr="004979D2">
              <w:rPr>
                <w:rFonts w:ascii="Times New Roman" w:hAnsi="Times New Roman" w:cs="Times New Roman"/>
                <w:sz w:val="24"/>
                <w:szCs w:val="24"/>
              </w:rPr>
              <w:t xml:space="preserve"> </w:t>
            </w:r>
            <w:r w:rsidR="00695808" w:rsidRPr="004979D2">
              <w:rPr>
                <w:rFonts w:ascii="Times New Roman" w:hAnsi="Times New Roman" w:cs="Times New Roman"/>
                <w:sz w:val="24"/>
                <w:szCs w:val="24"/>
              </w:rPr>
              <w:t>K</w:t>
            </w:r>
            <w:r w:rsidR="00B37952" w:rsidRPr="004979D2">
              <w:rPr>
                <w:rFonts w:ascii="Times New Roman" w:hAnsi="Times New Roman" w:cs="Times New Roman"/>
                <w:sz w:val="24"/>
                <w:szCs w:val="24"/>
              </w:rPr>
              <w:t xml:space="preserve">oncept Dokumentit, </w:t>
            </w:r>
            <w:r w:rsidR="007043E3" w:rsidRPr="004979D2">
              <w:rPr>
                <w:rFonts w:ascii="Times New Roman" w:hAnsi="Times New Roman" w:cs="Times New Roman"/>
                <w:sz w:val="24"/>
                <w:szCs w:val="24"/>
              </w:rPr>
              <w:t>do të</w:t>
            </w:r>
            <w:r w:rsidR="0045074B" w:rsidRPr="004979D2">
              <w:rPr>
                <w:rFonts w:ascii="Times New Roman" w:hAnsi="Times New Roman" w:cs="Times New Roman"/>
                <w:sz w:val="24"/>
                <w:szCs w:val="24"/>
              </w:rPr>
              <w:t xml:space="preserve"> formohet ekipi i ri</w:t>
            </w:r>
            <w:r w:rsidR="00B37952" w:rsidRPr="004979D2">
              <w:rPr>
                <w:rFonts w:ascii="Times New Roman" w:hAnsi="Times New Roman" w:cs="Times New Roman"/>
                <w:sz w:val="24"/>
                <w:szCs w:val="24"/>
              </w:rPr>
              <w:t xml:space="preserve"> nga Ministria e Tregtisë dhe Industrisë, n</w:t>
            </w:r>
            <w:r w:rsidR="00C422F0" w:rsidRPr="004979D2">
              <w:rPr>
                <w:rFonts w:ascii="Times New Roman" w:hAnsi="Times New Roman" w:cs="Times New Roman"/>
                <w:sz w:val="24"/>
                <w:szCs w:val="24"/>
              </w:rPr>
              <w:t>ë</w:t>
            </w:r>
            <w:r w:rsidR="00B37952" w:rsidRPr="004979D2">
              <w:rPr>
                <w:rFonts w:ascii="Times New Roman" w:hAnsi="Times New Roman" w:cs="Times New Roman"/>
                <w:sz w:val="24"/>
                <w:szCs w:val="24"/>
              </w:rPr>
              <w:t xml:space="preserve"> bashkëpunim me t</w:t>
            </w:r>
            <w:r w:rsidR="00C422F0" w:rsidRPr="004979D2">
              <w:rPr>
                <w:rFonts w:ascii="Times New Roman" w:hAnsi="Times New Roman" w:cs="Times New Roman"/>
                <w:sz w:val="24"/>
                <w:szCs w:val="24"/>
              </w:rPr>
              <w:t>ë</w:t>
            </w:r>
            <w:r w:rsidR="0045074B" w:rsidRPr="004979D2">
              <w:rPr>
                <w:rFonts w:ascii="Times New Roman" w:hAnsi="Times New Roman" w:cs="Times New Roman"/>
                <w:sz w:val="24"/>
                <w:szCs w:val="24"/>
              </w:rPr>
              <w:t xml:space="preserve"> gjitha palët e interesit për të filluar punën drejt zbatimit t</w:t>
            </w:r>
            <w:r w:rsidR="00CB0DCF" w:rsidRPr="004979D2">
              <w:rPr>
                <w:rFonts w:ascii="Times New Roman" w:hAnsi="Times New Roman" w:cs="Times New Roman"/>
                <w:sz w:val="24"/>
                <w:szCs w:val="24"/>
              </w:rPr>
              <w:t>ë</w:t>
            </w:r>
            <w:r w:rsidR="0045074B" w:rsidRPr="004979D2">
              <w:rPr>
                <w:rFonts w:ascii="Times New Roman" w:hAnsi="Times New Roman" w:cs="Times New Roman"/>
                <w:sz w:val="24"/>
                <w:szCs w:val="24"/>
              </w:rPr>
              <w:t xml:space="preserve"> opsionit të rekomanduar </w:t>
            </w:r>
            <w:r w:rsidRPr="004979D2">
              <w:rPr>
                <w:rFonts w:ascii="Times New Roman" w:hAnsi="Times New Roman" w:cs="Times New Roman"/>
                <w:sz w:val="24"/>
                <w:szCs w:val="24"/>
              </w:rPr>
              <w:t>të</w:t>
            </w:r>
            <w:r w:rsidR="0045074B" w:rsidRPr="004979D2">
              <w:rPr>
                <w:rFonts w:ascii="Times New Roman" w:hAnsi="Times New Roman" w:cs="Times New Roman"/>
                <w:sz w:val="24"/>
                <w:szCs w:val="24"/>
              </w:rPr>
              <w:t xml:space="preserve"> këtij Koncept Dokumenti. </w:t>
            </w:r>
          </w:p>
        </w:tc>
      </w:tr>
      <w:tr w:rsidR="00C966E4" w:rsidRPr="004979D2" w14:paraId="680ACA73" w14:textId="77777777" w:rsidTr="00B11DC4">
        <w:tc>
          <w:tcPr>
            <w:tcW w:w="1795" w:type="dxa"/>
          </w:tcPr>
          <w:p w14:paraId="3E617752" w14:textId="77777777" w:rsidR="00C966E4" w:rsidRPr="004979D2" w:rsidRDefault="00AE5FC2" w:rsidP="002B1BC6">
            <w:pPr>
              <w:rPr>
                <w:rFonts w:ascii="Times New Roman" w:hAnsi="Times New Roman" w:cs="Times New Roman"/>
                <w:b/>
                <w:sz w:val="24"/>
                <w:szCs w:val="24"/>
              </w:rPr>
            </w:pPr>
            <w:r w:rsidRPr="004979D2">
              <w:rPr>
                <w:rFonts w:ascii="Times New Roman" w:hAnsi="Times New Roman" w:cs="Times New Roman"/>
                <w:b/>
                <w:sz w:val="24"/>
                <w:szCs w:val="24"/>
              </w:rPr>
              <w:t>Afatmesëm</w:t>
            </w:r>
          </w:p>
        </w:tc>
        <w:tc>
          <w:tcPr>
            <w:tcW w:w="7673" w:type="dxa"/>
          </w:tcPr>
          <w:p w14:paraId="3C2B6692" w14:textId="5D2D6B59" w:rsidR="00C966E4" w:rsidRPr="004979D2" w:rsidRDefault="00154293" w:rsidP="002B1BC6">
            <w:pPr>
              <w:rPr>
                <w:rFonts w:ascii="Times New Roman" w:hAnsi="Times New Roman" w:cs="Times New Roman"/>
                <w:sz w:val="24"/>
                <w:szCs w:val="24"/>
              </w:rPr>
            </w:pPr>
            <w:r w:rsidRPr="004979D2">
              <w:rPr>
                <w:rFonts w:ascii="Times New Roman" w:hAnsi="Times New Roman" w:cs="Times New Roman"/>
                <w:sz w:val="24"/>
                <w:szCs w:val="24"/>
              </w:rPr>
              <w:t xml:space="preserve">Me rastin e aprovimit të Koncept Dokumentit </w:t>
            </w:r>
            <w:r w:rsidR="008F259E" w:rsidRPr="004979D2">
              <w:rPr>
                <w:rFonts w:ascii="Times New Roman" w:hAnsi="Times New Roman" w:cs="Times New Roman"/>
                <w:sz w:val="24"/>
                <w:szCs w:val="24"/>
              </w:rPr>
              <w:t>p</w:t>
            </w:r>
            <w:r w:rsidRPr="004979D2">
              <w:rPr>
                <w:rFonts w:ascii="Times New Roman" w:hAnsi="Times New Roman" w:cs="Times New Roman"/>
                <w:sz w:val="24"/>
                <w:szCs w:val="24"/>
              </w:rPr>
              <w:t>ë</w:t>
            </w:r>
            <w:r w:rsidR="008F259E" w:rsidRPr="004979D2">
              <w:rPr>
                <w:rFonts w:ascii="Times New Roman" w:hAnsi="Times New Roman" w:cs="Times New Roman"/>
                <w:sz w:val="24"/>
                <w:szCs w:val="24"/>
              </w:rPr>
              <w:t>r</w:t>
            </w:r>
            <w:r w:rsidRPr="004979D2">
              <w:rPr>
                <w:rFonts w:ascii="Times New Roman" w:hAnsi="Times New Roman" w:cs="Times New Roman"/>
                <w:sz w:val="24"/>
                <w:szCs w:val="24"/>
              </w:rPr>
              <w:t xml:space="preserve"> fushën e Konkurrencës, pas një viti pritet të </w:t>
            </w:r>
            <w:r w:rsidR="00133511" w:rsidRPr="004979D2">
              <w:rPr>
                <w:rFonts w:ascii="Times New Roman" w:hAnsi="Times New Roman" w:cs="Times New Roman"/>
                <w:sz w:val="24"/>
                <w:szCs w:val="24"/>
              </w:rPr>
              <w:t>hartohet</w:t>
            </w:r>
            <w:r w:rsidRPr="004979D2">
              <w:rPr>
                <w:rFonts w:ascii="Times New Roman" w:hAnsi="Times New Roman" w:cs="Times New Roman"/>
                <w:sz w:val="24"/>
                <w:szCs w:val="24"/>
              </w:rPr>
              <w:t xml:space="preserve"> Ligji</w:t>
            </w:r>
            <w:r w:rsidR="0045074B" w:rsidRPr="004979D2">
              <w:rPr>
                <w:rFonts w:ascii="Times New Roman" w:hAnsi="Times New Roman" w:cs="Times New Roman"/>
                <w:sz w:val="24"/>
                <w:szCs w:val="24"/>
              </w:rPr>
              <w:t xml:space="preserve"> i ri</w:t>
            </w:r>
            <w:r w:rsidR="00695808" w:rsidRPr="004979D2">
              <w:rPr>
                <w:rFonts w:ascii="Times New Roman" w:hAnsi="Times New Roman" w:cs="Times New Roman"/>
                <w:sz w:val="24"/>
                <w:szCs w:val="24"/>
              </w:rPr>
              <w:t xml:space="preserve"> për Mbrojtjen e Konkurrencës</w:t>
            </w:r>
            <w:r w:rsidRPr="004979D2">
              <w:rPr>
                <w:rFonts w:ascii="Times New Roman" w:hAnsi="Times New Roman" w:cs="Times New Roman"/>
                <w:sz w:val="24"/>
                <w:szCs w:val="24"/>
              </w:rPr>
              <w:t xml:space="preserve"> dhe të hyj</w:t>
            </w:r>
            <w:r w:rsidR="00FA456D" w:rsidRPr="004979D2">
              <w:rPr>
                <w:rFonts w:ascii="Times New Roman" w:hAnsi="Times New Roman" w:cs="Times New Roman"/>
                <w:sz w:val="24"/>
                <w:szCs w:val="24"/>
              </w:rPr>
              <w:t>ë</w:t>
            </w:r>
            <w:r w:rsidRPr="004979D2">
              <w:rPr>
                <w:rFonts w:ascii="Times New Roman" w:hAnsi="Times New Roman" w:cs="Times New Roman"/>
                <w:sz w:val="24"/>
                <w:szCs w:val="24"/>
              </w:rPr>
              <w:t xml:space="preserve"> në fuqi me 1 Janar 2020. Nga dy deri në pesë vitet e ardhshme, do të sigurohet zbatimi i p</w:t>
            </w:r>
            <w:r w:rsidR="00E408AD" w:rsidRPr="004979D2">
              <w:rPr>
                <w:rFonts w:ascii="Times New Roman" w:hAnsi="Times New Roman" w:cs="Times New Roman"/>
                <w:sz w:val="24"/>
                <w:szCs w:val="24"/>
              </w:rPr>
              <w:t>lot</w:t>
            </w:r>
            <w:r w:rsidRPr="004979D2">
              <w:rPr>
                <w:rFonts w:ascii="Times New Roman" w:hAnsi="Times New Roman" w:cs="Times New Roman"/>
                <w:sz w:val="24"/>
                <w:szCs w:val="24"/>
              </w:rPr>
              <w:t xml:space="preserve">ë i Ligjit të Ri nëpërmjet mekanizmave adekuate dhe akteve nënligjore. </w:t>
            </w:r>
          </w:p>
        </w:tc>
      </w:tr>
    </w:tbl>
    <w:p w14:paraId="01058EB3" w14:textId="77777777" w:rsidR="00C966E4" w:rsidRPr="004979D2" w:rsidRDefault="00C966E4" w:rsidP="002B1BC6">
      <w:pPr>
        <w:spacing w:line="360" w:lineRule="auto"/>
        <w:rPr>
          <w:rFonts w:ascii="Times New Roman" w:hAnsi="Times New Roman" w:cs="Times New Roman"/>
          <w:sz w:val="24"/>
          <w:szCs w:val="24"/>
        </w:rPr>
      </w:pPr>
    </w:p>
    <w:p w14:paraId="4D40123D" w14:textId="77777777" w:rsidR="00A22B1A" w:rsidRPr="004979D2" w:rsidRDefault="00A22B1A"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br w:type="page"/>
      </w:r>
    </w:p>
    <w:p w14:paraId="2E088441" w14:textId="77777777" w:rsidR="0075339D" w:rsidRPr="004979D2" w:rsidRDefault="00BC0DBE" w:rsidP="002B1BC6">
      <w:pPr>
        <w:pStyle w:val="Heading1"/>
        <w:spacing w:line="360" w:lineRule="auto"/>
        <w:rPr>
          <w:rFonts w:ascii="Times New Roman" w:hAnsi="Times New Roman" w:cs="Times New Roman"/>
          <w:b/>
          <w:sz w:val="24"/>
          <w:szCs w:val="24"/>
        </w:rPr>
      </w:pPr>
      <w:bookmarkStart w:id="1" w:name="_Toc1114313"/>
      <w:r w:rsidRPr="004979D2">
        <w:rPr>
          <w:rFonts w:ascii="Times New Roman" w:hAnsi="Times New Roman" w:cs="Times New Roman"/>
          <w:b/>
          <w:sz w:val="24"/>
          <w:szCs w:val="24"/>
        </w:rPr>
        <w:lastRenderedPageBreak/>
        <w:t>HYRJE</w:t>
      </w:r>
      <w:bookmarkEnd w:id="1"/>
    </w:p>
    <w:p w14:paraId="17C68B9B" w14:textId="77777777" w:rsidR="00ED2DA2" w:rsidRPr="004979D2" w:rsidRDefault="00ED2DA2" w:rsidP="002B1BC6">
      <w:pPr>
        <w:spacing w:after="0" w:line="360" w:lineRule="auto"/>
        <w:rPr>
          <w:rFonts w:ascii="Times New Roman" w:hAnsi="Times New Roman" w:cs="Times New Roman"/>
          <w:sz w:val="24"/>
          <w:szCs w:val="24"/>
        </w:rPr>
      </w:pPr>
    </w:p>
    <w:p w14:paraId="36E6728E" w14:textId="77777777" w:rsidR="0068309A" w:rsidRPr="004979D2" w:rsidRDefault="0068309A" w:rsidP="002B1BC6">
      <w:pPr>
        <w:shd w:val="clear" w:color="auto" w:fill="FFFFFF"/>
        <w:spacing w:after="0" w:line="360" w:lineRule="auto"/>
        <w:jc w:val="both"/>
        <w:rPr>
          <w:rFonts w:ascii="Times New Roman" w:hAnsi="Times New Roman" w:cs="Times New Roman"/>
          <w:sz w:val="24"/>
          <w:szCs w:val="24"/>
        </w:rPr>
      </w:pPr>
      <w:r w:rsidRPr="004979D2">
        <w:rPr>
          <w:rFonts w:ascii="Times New Roman" w:hAnsi="Times New Roman" w:cs="Times New Roman"/>
          <w:sz w:val="24"/>
          <w:szCs w:val="24"/>
        </w:rPr>
        <w:t>Me </w:t>
      </w:r>
      <w:r w:rsidRPr="004979D2">
        <w:rPr>
          <w:rFonts w:ascii="Times New Roman" w:hAnsi="Times New Roman" w:cs="Times New Roman"/>
          <w:i/>
          <w:sz w:val="24"/>
          <w:szCs w:val="24"/>
        </w:rPr>
        <w:t>Ligjin Nr. 03/L-229 për Mbrojtjen e Konkurrencës</w:t>
      </w:r>
      <w:r w:rsidRPr="004979D2">
        <w:rPr>
          <w:rFonts w:ascii="Times New Roman" w:hAnsi="Times New Roman" w:cs="Times New Roman"/>
          <w:sz w:val="24"/>
          <w:szCs w:val="24"/>
        </w:rPr>
        <w:t xml:space="preserve"> përcaktohen rregullat dhe masat për mbrojtjen e konkurrencës së lirë dhe efektive në treg, kompetencat, organizimi i Autoritetit për mbrojtjen e konkurrencës si dhe procedurat </w:t>
      </w:r>
      <w:r w:rsidR="004A29AA" w:rsidRPr="004979D2">
        <w:rPr>
          <w:rFonts w:ascii="Times New Roman" w:hAnsi="Times New Roman" w:cs="Times New Roman"/>
          <w:sz w:val="24"/>
          <w:szCs w:val="24"/>
        </w:rPr>
        <w:t>për</w:t>
      </w:r>
      <w:r w:rsidRPr="004979D2">
        <w:rPr>
          <w:rFonts w:ascii="Times New Roman" w:hAnsi="Times New Roman" w:cs="Times New Roman"/>
          <w:sz w:val="24"/>
          <w:szCs w:val="24"/>
        </w:rPr>
        <w:t xml:space="preserve"> zbatim të këtij ligji. Ky ligj zbatohet për të gjitha format e parandalimit, kufizimit ose keqpërdorimit të konkurrencës nga ndërmarrjet, në territorin e Republikës së Kosovës ose jashtë territorit të Kosovës, nëse këto veprime kanë efekte  në Kosovë:</w:t>
      </w:r>
    </w:p>
    <w:p w14:paraId="41C582BC" w14:textId="77777777" w:rsidR="0068309A" w:rsidRPr="004979D2" w:rsidRDefault="004D51CB" w:rsidP="002B1BC6">
      <w:pPr>
        <w:pStyle w:val="ListParagraph"/>
        <w:numPr>
          <w:ilvl w:val="0"/>
          <w:numId w:val="13"/>
        </w:numPr>
        <w:shd w:val="clear" w:color="auto" w:fill="FFFFFF"/>
        <w:spacing w:after="0" w:line="360" w:lineRule="auto"/>
        <w:rPr>
          <w:rFonts w:ascii="Times New Roman" w:hAnsi="Times New Roman" w:cs="Times New Roman"/>
          <w:sz w:val="24"/>
          <w:szCs w:val="24"/>
        </w:rPr>
      </w:pPr>
      <w:r w:rsidRPr="004979D2">
        <w:rPr>
          <w:rFonts w:ascii="Times New Roman" w:hAnsi="Times New Roman" w:cs="Times New Roman"/>
          <w:noProof/>
          <w:sz w:val="24"/>
          <w:szCs w:val="24"/>
          <w:lang w:val="en-US"/>
        </w:rPr>
        <mc:AlternateContent>
          <mc:Choice Requires="wps">
            <w:drawing>
              <wp:inline distT="0" distB="0" distL="0" distR="0" wp14:anchorId="3CEF4AD1" wp14:editId="4316193B">
                <wp:extent cx="302260" cy="302260"/>
                <wp:effectExtent l="0" t="2540" r="2540" b="0"/>
                <wp:docPr id="4" name="Rectangle 4" descr="https://ak.rks-gov.net/themes/default/assets/images/rectangl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E1EA4F5" id="Rectangle 4" o:spid="_x0000_s1026" alt="https://ak.rks-gov.net/themes/default/assets/images/rectangle.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" filled="f" stroked="f">
                <o:lock v:ext="edit" aspectratio="t"/>
                <w10:anchorlock/>
              </v:rect>
            </w:pict>
          </mc:Fallback>
        </mc:AlternateContent>
      </w:r>
      <w:r w:rsidR="0068309A" w:rsidRPr="004979D2">
        <w:rPr>
          <w:rFonts w:ascii="Times New Roman" w:hAnsi="Times New Roman" w:cs="Times New Roman"/>
          <w:sz w:val="24"/>
          <w:szCs w:val="24"/>
        </w:rPr>
        <w:t>Marrëveshjet e ndaluara në formën e karteleve</w:t>
      </w:r>
      <w:r w:rsidR="00ED78EF" w:rsidRPr="004979D2">
        <w:rPr>
          <w:rFonts w:ascii="Times New Roman" w:hAnsi="Times New Roman" w:cs="Times New Roman"/>
          <w:sz w:val="24"/>
          <w:szCs w:val="24"/>
        </w:rPr>
        <w:t>;</w:t>
      </w:r>
    </w:p>
    <w:p w14:paraId="51353545" w14:textId="77777777" w:rsidR="0068309A" w:rsidRPr="004979D2" w:rsidRDefault="004D51CB" w:rsidP="002B1BC6">
      <w:pPr>
        <w:pStyle w:val="ListParagraph"/>
        <w:numPr>
          <w:ilvl w:val="0"/>
          <w:numId w:val="13"/>
        </w:numPr>
        <w:shd w:val="clear" w:color="auto" w:fill="FFFFFF"/>
        <w:spacing w:after="0" w:line="360" w:lineRule="auto"/>
        <w:rPr>
          <w:rFonts w:ascii="Times New Roman" w:hAnsi="Times New Roman" w:cs="Times New Roman"/>
          <w:sz w:val="24"/>
          <w:szCs w:val="24"/>
        </w:rPr>
      </w:pPr>
      <w:r w:rsidRPr="004979D2">
        <w:rPr>
          <w:rFonts w:ascii="Times New Roman" w:hAnsi="Times New Roman" w:cs="Times New Roman"/>
          <w:noProof/>
          <w:sz w:val="24"/>
          <w:szCs w:val="24"/>
          <w:lang w:val="en-US"/>
        </w:rPr>
        <mc:AlternateContent>
          <mc:Choice Requires="wps">
            <w:drawing>
              <wp:inline distT="0" distB="0" distL="0" distR="0" wp14:anchorId="41D2B617" wp14:editId="4BA05909">
                <wp:extent cx="302260" cy="302260"/>
                <wp:effectExtent l="0" t="0" r="2540" b="0"/>
                <wp:docPr id="3" name="Rectangle 3" descr="https://ak.rks-gov.net/themes/default/assets/images/rectangl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2A21E8A" id="Rectangle 3" o:spid="_x0000_s1026" alt="https://ak.rks-gov.net/themes/default/assets/images/rectangle.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" filled="f" stroked="f">
                <o:lock v:ext="edit" aspectratio="t"/>
                <w10:anchorlock/>
              </v:rect>
            </w:pict>
          </mc:Fallback>
        </mc:AlternateContent>
      </w:r>
      <w:r w:rsidR="0068309A" w:rsidRPr="004979D2">
        <w:rPr>
          <w:rFonts w:ascii="Times New Roman" w:hAnsi="Times New Roman" w:cs="Times New Roman"/>
          <w:sz w:val="24"/>
          <w:szCs w:val="24"/>
        </w:rPr>
        <w:t>Abuzimi me pozitën dominuese</w:t>
      </w:r>
      <w:r w:rsidR="00ED78EF" w:rsidRPr="004979D2">
        <w:rPr>
          <w:rFonts w:ascii="Times New Roman" w:hAnsi="Times New Roman" w:cs="Times New Roman"/>
          <w:sz w:val="24"/>
          <w:szCs w:val="24"/>
        </w:rPr>
        <w:t>;</w:t>
      </w:r>
    </w:p>
    <w:p w14:paraId="01498325" w14:textId="77777777" w:rsidR="0068309A" w:rsidRPr="004979D2" w:rsidRDefault="004D51CB" w:rsidP="002B1BC6">
      <w:pPr>
        <w:pStyle w:val="ListParagraph"/>
        <w:numPr>
          <w:ilvl w:val="0"/>
          <w:numId w:val="13"/>
        </w:numPr>
        <w:shd w:val="clear" w:color="auto" w:fill="FFFFFF"/>
        <w:spacing w:after="0" w:line="360" w:lineRule="auto"/>
        <w:rPr>
          <w:rFonts w:ascii="Times New Roman" w:hAnsi="Times New Roman" w:cs="Times New Roman"/>
          <w:sz w:val="24"/>
          <w:szCs w:val="24"/>
        </w:rPr>
      </w:pPr>
      <w:r w:rsidRPr="004979D2">
        <w:rPr>
          <w:rFonts w:ascii="Times New Roman" w:hAnsi="Times New Roman" w:cs="Times New Roman"/>
          <w:noProof/>
          <w:sz w:val="24"/>
          <w:szCs w:val="24"/>
          <w:lang w:val="en-US"/>
        </w:rPr>
        <mc:AlternateContent>
          <mc:Choice Requires="wps">
            <w:drawing>
              <wp:inline distT="0" distB="0" distL="0" distR="0" wp14:anchorId="61848F73" wp14:editId="35801F2C">
                <wp:extent cx="302260" cy="302260"/>
                <wp:effectExtent l="0" t="1905" r="2540" b="635"/>
                <wp:docPr id="2" name="Rectangle 2" descr="https://ak.rks-gov.net/themes/default/assets/images/rectangl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A4D4582" id="Rectangle 2" o:spid="_x0000_s1026" alt="https://ak.rks-gov.net/themes/default/assets/images/rectangle.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" filled="f" stroked="f">
                <o:lock v:ext="edit" aspectratio="t"/>
                <w10:anchorlock/>
              </v:rect>
            </w:pict>
          </mc:Fallback>
        </mc:AlternateContent>
      </w:r>
      <w:r w:rsidR="0068309A" w:rsidRPr="004979D2">
        <w:rPr>
          <w:rFonts w:ascii="Times New Roman" w:hAnsi="Times New Roman" w:cs="Times New Roman"/>
          <w:sz w:val="24"/>
          <w:szCs w:val="24"/>
        </w:rPr>
        <w:t>Përqendrimet/Bashkimet e ndërmarrjeve</w:t>
      </w:r>
      <w:r w:rsidR="00ED78EF" w:rsidRPr="004979D2">
        <w:rPr>
          <w:rFonts w:ascii="Times New Roman" w:hAnsi="Times New Roman" w:cs="Times New Roman"/>
          <w:sz w:val="24"/>
          <w:szCs w:val="24"/>
        </w:rPr>
        <w:t>.</w:t>
      </w:r>
    </w:p>
    <w:p w14:paraId="7C38C534" w14:textId="77777777" w:rsidR="00AA1ECC" w:rsidRPr="004979D2" w:rsidRDefault="00AA1ECC" w:rsidP="002B1BC6">
      <w:pPr>
        <w:pStyle w:val="ListParagraph"/>
        <w:shd w:val="clear" w:color="auto" w:fill="FFFFFF"/>
        <w:spacing w:after="0" w:line="360" w:lineRule="auto"/>
        <w:rPr>
          <w:rFonts w:ascii="Times New Roman" w:hAnsi="Times New Roman" w:cs="Times New Roman"/>
          <w:sz w:val="24"/>
          <w:szCs w:val="24"/>
        </w:rPr>
      </w:pPr>
    </w:p>
    <w:p w14:paraId="28F266E3" w14:textId="6ECC1C12" w:rsidR="0068309A" w:rsidRPr="004979D2" w:rsidRDefault="0068309A" w:rsidP="002B1BC6">
      <w:pPr>
        <w:shd w:val="clear" w:color="auto" w:fill="FFFFFF"/>
        <w:spacing w:after="0"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Vendosja e konkurrencës së lirë dhe mbrojtja e saj janë një segment </w:t>
      </w:r>
      <w:r w:rsidR="00E56413" w:rsidRPr="004979D2">
        <w:rPr>
          <w:rFonts w:ascii="Times New Roman" w:hAnsi="Times New Roman" w:cs="Times New Roman"/>
          <w:sz w:val="24"/>
          <w:szCs w:val="24"/>
        </w:rPr>
        <w:t>i rëndësishëm</w:t>
      </w:r>
      <w:r w:rsidRPr="004979D2">
        <w:rPr>
          <w:rFonts w:ascii="Times New Roman" w:hAnsi="Times New Roman" w:cs="Times New Roman"/>
          <w:sz w:val="24"/>
          <w:szCs w:val="24"/>
        </w:rPr>
        <w:t xml:space="preserve"> për ekzistimin e ekonomisë së tregut dhe konkurrenca zë vend të rëndësishëm në politikat ekonomike. </w:t>
      </w:r>
      <w:r w:rsidR="004B724F" w:rsidRPr="004979D2">
        <w:rPr>
          <w:rFonts w:ascii="Times New Roman" w:hAnsi="Times New Roman" w:cs="Times New Roman"/>
          <w:sz w:val="24"/>
          <w:szCs w:val="24"/>
        </w:rPr>
        <w:t xml:space="preserve">Autoriteti Kosovar i Konkurrencës (AKK) </w:t>
      </w:r>
      <w:r w:rsidRPr="004979D2">
        <w:rPr>
          <w:rFonts w:ascii="Times New Roman" w:hAnsi="Times New Roman" w:cs="Times New Roman"/>
          <w:sz w:val="24"/>
          <w:szCs w:val="24"/>
        </w:rPr>
        <w:t xml:space="preserve">e koncepton funksionimin e tij si nxitës dhe </w:t>
      </w:r>
      <w:r w:rsidR="00E56413" w:rsidRPr="004979D2">
        <w:rPr>
          <w:rFonts w:ascii="Times New Roman" w:hAnsi="Times New Roman" w:cs="Times New Roman"/>
          <w:sz w:val="24"/>
          <w:szCs w:val="24"/>
        </w:rPr>
        <w:t>“</w:t>
      </w:r>
      <w:r w:rsidRPr="004979D2">
        <w:rPr>
          <w:rFonts w:ascii="Times New Roman" w:hAnsi="Times New Roman" w:cs="Times New Roman"/>
          <w:sz w:val="24"/>
          <w:szCs w:val="24"/>
        </w:rPr>
        <w:t>avokat</w:t>
      </w:r>
      <w:r w:rsidR="00E56413" w:rsidRPr="004979D2">
        <w:rPr>
          <w:rFonts w:ascii="Times New Roman" w:hAnsi="Times New Roman" w:cs="Times New Roman"/>
          <w:sz w:val="24"/>
          <w:szCs w:val="24"/>
        </w:rPr>
        <w:t>”</w:t>
      </w:r>
      <w:r w:rsidRPr="004979D2">
        <w:rPr>
          <w:rFonts w:ascii="Times New Roman" w:hAnsi="Times New Roman" w:cs="Times New Roman"/>
          <w:sz w:val="24"/>
          <w:szCs w:val="24"/>
        </w:rPr>
        <w:t xml:space="preserve"> i konkurrencës dhe i interesave të konsumatorit dhe bizneseve, me synim final që tregu të </w:t>
      </w:r>
      <w:proofErr w:type="spellStart"/>
      <w:r w:rsidRPr="004979D2">
        <w:rPr>
          <w:rFonts w:ascii="Times New Roman" w:hAnsi="Times New Roman" w:cs="Times New Roman"/>
          <w:sz w:val="24"/>
          <w:szCs w:val="24"/>
        </w:rPr>
        <w:t>gjeneroj</w:t>
      </w:r>
      <w:r w:rsidR="008F259E" w:rsidRPr="004979D2">
        <w:rPr>
          <w:rFonts w:ascii="Times New Roman" w:hAnsi="Times New Roman" w:cs="Times New Roman"/>
          <w:sz w:val="24"/>
          <w:szCs w:val="24"/>
        </w:rPr>
        <w:t>ë</w:t>
      </w:r>
      <w:proofErr w:type="spellEnd"/>
      <w:r w:rsidRPr="004979D2">
        <w:rPr>
          <w:rFonts w:ascii="Times New Roman" w:hAnsi="Times New Roman" w:cs="Times New Roman"/>
          <w:sz w:val="24"/>
          <w:szCs w:val="24"/>
        </w:rPr>
        <w:t xml:space="preserve"> zhvillim.</w:t>
      </w:r>
    </w:p>
    <w:p w14:paraId="492398D7" w14:textId="55C70153" w:rsidR="00431BA0" w:rsidRPr="004979D2" w:rsidRDefault="0068309A" w:rsidP="002B1BC6">
      <w:pPr>
        <w:shd w:val="clear" w:color="auto" w:fill="FFFFFF"/>
        <w:spacing w:after="0"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Ministria e Tregtisë dhe Industrisë </w:t>
      </w:r>
      <w:r w:rsidR="004B724F" w:rsidRPr="004979D2">
        <w:rPr>
          <w:rFonts w:ascii="Times New Roman" w:hAnsi="Times New Roman" w:cs="Times New Roman"/>
          <w:sz w:val="24"/>
          <w:szCs w:val="24"/>
        </w:rPr>
        <w:t xml:space="preserve">(MTI) </w:t>
      </w:r>
      <w:r w:rsidRPr="004979D2">
        <w:rPr>
          <w:rFonts w:ascii="Times New Roman" w:hAnsi="Times New Roman" w:cs="Times New Roman"/>
          <w:sz w:val="24"/>
          <w:szCs w:val="24"/>
        </w:rPr>
        <w:t xml:space="preserve">është përgjegjëse për </w:t>
      </w:r>
      <w:r w:rsidR="00E56413" w:rsidRPr="004979D2">
        <w:rPr>
          <w:rFonts w:ascii="Times New Roman" w:hAnsi="Times New Roman" w:cs="Times New Roman"/>
          <w:sz w:val="24"/>
          <w:szCs w:val="24"/>
        </w:rPr>
        <w:t>hartimin</w:t>
      </w:r>
      <w:r w:rsidRPr="004979D2">
        <w:rPr>
          <w:rFonts w:ascii="Times New Roman" w:hAnsi="Times New Roman" w:cs="Times New Roman"/>
          <w:sz w:val="24"/>
          <w:szCs w:val="24"/>
        </w:rPr>
        <w:t xml:space="preserve"> e kornizës ligjore për fushën e Konkurrencës. </w:t>
      </w:r>
      <w:r w:rsidR="00121004" w:rsidRPr="004979D2">
        <w:rPr>
          <w:rFonts w:ascii="Times New Roman" w:hAnsi="Times New Roman" w:cs="Times New Roman"/>
          <w:sz w:val="24"/>
          <w:szCs w:val="24"/>
        </w:rPr>
        <w:t xml:space="preserve">Në kuadër të strukturës organizative të </w:t>
      </w:r>
      <w:r w:rsidR="004B724F" w:rsidRPr="004979D2">
        <w:rPr>
          <w:rFonts w:ascii="Times New Roman" w:hAnsi="Times New Roman" w:cs="Times New Roman"/>
          <w:sz w:val="24"/>
          <w:szCs w:val="24"/>
        </w:rPr>
        <w:t xml:space="preserve">MTI-së </w:t>
      </w:r>
      <w:r w:rsidR="00121004" w:rsidRPr="004979D2">
        <w:rPr>
          <w:rFonts w:ascii="Times New Roman" w:hAnsi="Times New Roman" w:cs="Times New Roman"/>
          <w:sz w:val="24"/>
          <w:szCs w:val="24"/>
        </w:rPr>
        <w:t xml:space="preserve">është Departamenti për Integrime Evropiane dhe Koordinim të Politikave, që është përgjegjës për hartimin e Koncept Dokumenteve. </w:t>
      </w:r>
    </w:p>
    <w:p w14:paraId="7BC4AF42" w14:textId="39914C88" w:rsidR="00417B75" w:rsidRPr="004979D2" w:rsidRDefault="00121004" w:rsidP="002B1BC6">
      <w:pPr>
        <w:shd w:val="clear" w:color="auto" w:fill="FFFFFF"/>
        <w:spacing w:after="0" w:line="360" w:lineRule="auto"/>
        <w:jc w:val="both"/>
        <w:rPr>
          <w:rFonts w:ascii="Times New Roman" w:hAnsi="Times New Roman" w:cs="Times New Roman"/>
          <w:sz w:val="24"/>
          <w:szCs w:val="24"/>
        </w:rPr>
      </w:pPr>
      <w:r w:rsidRPr="004979D2">
        <w:rPr>
          <w:rFonts w:ascii="Times New Roman" w:hAnsi="Times New Roman" w:cs="Times New Roman"/>
          <w:sz w:val="24"/>
          <w:szCs w:val="24"/>
        </w:rPr>
        <w:t>Në bashkëpunim me Autoritetin Kosovar të Konkurrencës</w:t>
      </w:r>
      <w:r w:rsidR="00F04F38" w:rsidRPr="004979D2">
        <w:rPr>
          <w:rFonts w:ascii="Times New Roman" w:hAnsi="Times New Roman" w:cs="Times New Roman"/>
          <w:sz w:val="24"/>
          <w:szCs w:val="24"/>
        </w:rPr>
        <w:t xml:space="preserve">, ministritë relevante </w:t>
      </w:r>
      <w:r w:rsidRPr="004979D2">
        <w:rPr>
          <w:rFonts w:ascii="Times New Roman" w:hAnsi="Times New Roman" w:cs="Times New Roman"/>
          <w:sz w:val="24"/>
          <w:szCs w:val="24"/>
        </w:rPr>
        <w:t>dhe palët e interesit</w:t>
      </w:r>
      <w:r w:rsidR="008F259E" w:rsidRPr="004979D2">
        <w:rPr>
          <w:rFonts w:ascii="Times New Roman" w:hAnsi="Times New Roman" w:cs="Times New Roman"/>
          <w:sz w:val="24"/>
          <w:szCs w:val="24"/>
        </w:rPr>
        <w:t>,</w:t>
      </w:r>
      <w:r w:rsidRPr="004979D2">
        <w:rPr>
          <w:rFonts w:ascii="Times New Roman" w:hAnsi="Times New Roman" w:cs="Times New Roman"/>
          <w:sz w:val="24"/>
          <w:szCs w:val="24"/>
        </w:rPr>
        <w:t xml:space="preserve"> është arritur në përfundim se Ligji Nr. 03/L-229 për Mbrojtjen e Konkurrencës ka nevojë për ndryshime</w:t>
      </w:r>
      <w:r w:rsidR="004B724F" w:rsidRPr="004979D2">
        <w:rPr>
          <w:rFonts w:ascii="Times New Roman" w:hAnsi="Times New Roman" w:cs="Times New Roman"/>
          <w:sz w:val="24"/>
          <w:szCs w:val="24"/>
        </w:rPr>
        <w:t xml:space="preserve">, </w:t>
      </w:r>
      <w:r w:rsidRPr="004979D2">
        <w:rPr>
          <w:rFonts w:ascii="Times New Roman" w:hAnsi="Times New Roman" w:cs="Times New Roman"/>
          <w:sz w:val="24"/>
          <w:szCs w:val="24"/>
        </w:rPr>
        <w:t xml:space="preserve">në mënyrë që të </w:t>
      </w:r>
      <w:r w:rsidR="00F04F38" w:rsidRPr="004979D2">
        <w:rPr>
          <w:rFonts w:ascii="Times New Roman" w:hAnsi="Times New Roman" w:cs="Times New Roman"/>
          <w:sz w:val="24"/>
          <w:szCs w:val="24"/>
        </w:rPr>
        <w:t>përmirësoj efikasitetin e Autoriteti</w:t>
      </w:r>
      <w:r w:rsidR="008F259E" w:rsidRPr="004979D2">
        <w:rPr>
          <w:rFonts w:ascii="Times New Roman" w:hAnsi="Times New Roman" w:cs="Times New Roman"/>
          <w:sz w:val="24"/>
          <w:szCs w:val="24"/>
        </w:rPr>
        <w:t>t</w:t>
      </w:r>
      <w:r w:rsidR="00F04F38" w:rsidRPr="004979D2">
        <w:rPr>
          <w:rFonts w:ascii="Times New Roman" w:hAnsi="Times New Roman" w:cs="Times New Roman"/>
          <w:sz w:val="24"/>
          <w:szCs w:val="24"/>
        </w:rPr>
        <w:t xml:space="preserve"> dhe të </w:t>
      </w:r>
      <w:r w:rsidRPr="004979D2">
        <w:rPr>
          <w:rFonts w:ascii="Times New Roman" w:hAnsi="Times New Roman" w:cs="Times New Roman"/>
          <w:sz w:val="24"/>
          <w:szCs w:val="24"/>
        </w:rPr>
        <w:t>adresoj</w:t>
      </w:r>
      <w:r w:rsidR="00F44A5A" w:rsidRPr="004979D2">
        <w:rPr>
          <w:rFonts w:ascii="Times New Roman" w:hAnsi="Times New Roman" w:cs="Times New Roman"/>
          <w:sz w:val="24"/>
          <w:szCs w:val="24"/>
        </w:rPr>
        <w:t>ë</w:t>
      </w:r>
      <w:r w:rsidRPr="004979D2">
        <w:rPr>
          <w:rFonts w:ascii="Times New Roman" w:hAnsi="Times New Roman" w:cs="Times New Roman"/>
          <w:sz w:val="24"/>
          <w:szCs w:val="24"/>
        </w:rPr>
        <w:t xml:space="preserve"> më mirë nevojat e tregut në fushën e konkurrencës.</w:t>
      </w:r>
      <w:r w:rsidR="009E7B80" w:rsidRPr="004979D2">
        <w:rPr>
          <w:rFonts w:ascii="Times New Roman" w:hAnsi="Times New Roman" w:cs="Times New Roman"/>
          <w:sz w:val="24"/>
          <w:szCs w:val="24"/>
        </w:rPr>
        <w:t xml:space="preserve"> </w:t>
      </w:r>
      <w:r w:rsidR="0098456D" w:rsidRPr="004979D2">
        <w:rPr>
          <w:rFonts w:ascii="Times New Roman" w:hAnsi="Times New Roman" w:cs="Times New Roman"/>
          <w:sz w:val="24"/>
          <w:szCs w:val="24"/>
        </w:rPr>
        <w:t>Andaj</w:t>
      </w:r>
      <w:r w:rsidR="00053F90" w:rsidRPr="004979D2">
        <w:rPr>
          <w:rFonts w:ascii="Times New Roman" w:hAnsi="Times New Roman" w:cs="Times New Roman"/>
          <w:sz w:val="24"/>
          <w:szCs w:val="24"/>
        </w:rPr>
        <w:t>,</w:t>
      </w:r>
      <w:r w:rsidR="0098456D" w:rsidRPr="004979D2">
        <w:rPr>
          <w:rFonts w:ascii="Times New Roman" w:hAnsi="Times New Roman" w:cs="Times New Roman"/>
          <w:sz w:val="24"/>
          <w:szCs w:val="24"/>
        </w:rPr>
        <w:t xml:space="preserve"> me datë 15 </w:t>
      </w:r>
      <w:r w:rsidR="00ED78EF" w:rsidRPr="004979D2">
        <w:rPr>
          <w:rFonts w:ascii="Times New Roman" w:hAnsi="Times New Roman" w:cs="Times New Roman"/>
          <w:sz w:val="24"/>
          <w:szCs w:val="24"/>
        </w:rPr>
        <w:t>m</w:t>
      </w:r>
      <w:r w:rsidR="0098456D" w:rsidRPr="004979D2">
        <w:rPr>
          <w:rFonts w:ascii="Times New Roman" w:hAnsi="Times New Roman" w:cs="Times New Roman"/>
          <w:sz w:val="24"/>
          <w:szCs w:val="24"/>
        </w:rPr>
        <w:t>aj 2018</w:t>
      </w:r>
      <w:r w:rsidR="00CB0DCF" w:rsidRPr="004979D2">
        <w:rPr>
          <w:rFonts w:ascii="Times New Roman" w:hAnsi="Times New Roman" w:cs="Times New Roman"/>
          <w:sz w:val="24"/>
          <w:szCs w:val="24"/>
        </w:rPr>
        <w:t>, me</w:t>
      </w:r>
      <w:r w:rsidR="00ED78EF" w:rsidRPr="004979D2">
        <w:rPr>
          <w:rFonts w:ascii="Times New Roman" w:hAnsi="Times New Roman" w:cs="Times New Roman"/>
          <w:sz w:val="24"/>
          <w:szCs w:val="24"/>
        </w:rPr>
        <w:t xml:space="preserve"> numër të protokollit 853</w:t>
      </w:r>
      <w:r w:rsidR="008F259E" w:rsidRPr="004979D2">
        <w:rPr>
          <w:rFonts w:ascii="Times New Roman" w:hAnsi="Times New Roman" w:cs="Times New Roman"/>
          <w:sz w:val="24"/>
          <w:szCs w:val="24"/>
        </w:rPr>
        <w:t>,</w:t>
      </w:r>
      <w:r w:rsidR="0098456D" w:rsidRPr="004979D2">
        <w:rPr>
          <w:rFonts w:ascii="Times New Roman" w:hAnsi="Times New Roman" w:cs="Times New Roman"/>
          <w:sz w:val="24"/>
          <w:szCs w:val="24"/>
        </w:rPr>
        <w:t xml:space="preserve"> </w:t>
      </w:r>
      <w:r w:rsidR="00ED78EF" w:rsidRPr="004979D2">
        <w:rPr>
          <w:rFonts w:ascii="Times New Roman" w:hAnsi="Times New Roman" w:cs="Times New Roman"/>
          <w:sz w:val="24"/>
          <w:szCs w:val="24"/>
        </w:rPr>
        <w:t xml:space="preserve">Sekretari i Përgjithshëm i MTI-së ka </w:t>
      </w:r>
      <w:r w:rsidR="0098456D" w:rsidRPr="004979D2">
        <w:rPr>
          <w:rFonts w:ascii="Times New Roman" w:hAnsi="Times New Roman" w:cs="Times New Roman"/>
          <w:sz w:val="24"/>
          <w:szCs w:val="24"/>
        </w:rPr>
        <w:t>formuar grupi</w:t>
      </w:r>
      <w:r w:rsidR="00ED78EF" w:rsidRPr="004979D2">
        <w:rPr>
          <w:rFonts w:ascii="Times New Roman" w:hAnsi="Times New Roman" w:cs="Times New Roman"/>
          <w:sz w:val="24"/>
          <w:szCs w:val="24"/>
        </w:rPr>
        <w:t>n</w:t>
      </w:r>
      <w:r w:rsidR="0098456D" w:rsidRPr="004979D2">
        <w:rPr>
          <w:rFonts w:ascii="Times New Roman" w:hAnsi="Times New Roman" w:cs="Times New Roman"/>
          <w:sz w:val="24"/>
          <w:szCs w:val="24"/>
        </w:rPr>
        <w:t xml:space="preserve"> punues për hartimin e draftit fillestar të Koncept Dokumentit në Fushën e Konkurrencës</w:t>
      </w:r>
      <w:r w:rsidR="00ED78EF" w:rsidRPr="004979D2">
        <w:rPr>
          <w:rFonts w:ascii="Times New Roman" w:hAnsi="Times New Roman" w:cs="Times New Roman"/>
          <w:sz w:val="24"/>
          <w:szCs w:val="24"/>
        </w:rPr>
        <w:t>.</w:t>
      </w:r>
      <w:r w:rsidR="0098456D" w:rsidRPr="004979D2">
        <w:rPr>
          <w:rFonts w:ascii="Times New Roman" w:hAnsi="Times New Roman" w:cs="Times New Roman"/>
          <w:sz w:val="24"/>
          <w:szCs w:val="24"/>
        </w:rPr>
        <w:t xml:space="preserve"> </w:t>
      </w:r>
      <w:r w:rsidR="00522F42" w:rsidRPr="004979D2">
        <w:rPr>
          <w:rFonts w:ascii="Times New Roman" w:hAnsi="Times New Roman" w:cs="Times New Roman"/>
          <w:sz w:val="24"/>
          <w:szCs w:val="24"/>
        </w:rPr>
        <w:t xml:space="preserve">Gjithashtu, Koncept Dokumenti në Fushën e Konkurrencës është përfshirë </w:t>
      </w:r>
      <w:r w:rsidR="007075AC" w:rsidRPr="004979D2">
        <w:rPr>
          <w:rFonts w:ascii="Times New Roman" w:hAnsi="Times New Roman" w:cs="Times New Roman"/>
          <w:sz w:val="24"/>
          <w:szCs w:val="24"/>
        </w:rPr>
        <w:t xml:space="preserve">edhe </w:t>
      </w:r>
      <w:r w:rsidR="00522F42" w:rsidRPr="004979D2">
        <w:rPr>
          <w:rFonts w:ascii="Times New Roman" w:hAnsi="Times New Roman" w:cs="Times New Roman"/>
          <w:sz w:val="24"/>
          <w:szCs w:val="24"/>
        </w:rPr>
        <w:t>në listën e Koncept Dokumenteve për vitin 2018</w:t>
      </w:r>
      <w:r w:rsidR="008F259E" w:rsidRPr="004979D2">
        <w:rPr>
          <w:rFonts w:ascii="Times New Roman" w:hAnsi="Times New Roman" w:cs="Times New Roman"/>
          <w:sz w:val="24"/>
          <w:szCs w:val="24"/>
        </w:rPr>
        <w:t xml:space="preserve"> dhe 2019</w:t>
      </w:r>
      <w:r w:rsidR="00522F42" w:rsidRPr="004979D2">
        <w:rPr>
          <w:rFonts w:ascii="Times New Roman" w:hAnsi="Times New Roman" w:cs="Times New Roman"/>
          <w:sz w:val="24"/>
          <w:szCs w:val="24"/>
        </w:rPr>
        <w:t xml:space="preserve">. </w:t>
      </w:r>
      <w:r w:rsidR="0098456D" w:rsidRPr="004979D2">
        <w:rPr>
          <w:rFonts w:ascii="Times New Roman" w:hAnsi="Times New Roman" w:cs="Times New Roman"/>
          <w:sz w:val="24"/>
          <w:szCs w:val="24"/>
        </w:rPr>
        <w:t xml:space="preserve">Qëllimi i </w:t>
      </w:r>
      <w:r w:rsidR="00522F42" w:rsidRPr="004979D2">
        <w:rPr>
          <w:rFonts w:ascii="Times New Roman" w:hAnsi="Times New Roman" w:cs="Times New Roman"/>
          <w:sz w:val="24"/>
          <w:szCs w:val="24"/>
        </w:rPr>
        <w:t xml:space="preserve">këtij </w:t>
      </w:r>
      <w:r w:rsidR="0098456D" w:rsidRPr="004979D2">
        <w:rPr>
          <w:rFonts w:ascii="Times New Roman" w:hAnsi="Times New Roman" w:cs="Times New Roman"/>
          <w:sz w:val="24"/>
          <w:szCs w:val="24"/>
        </w:rPr>
        <w:t>Koncept Dokumenti është që të propozoj</w:t>
      </w:r>
      <w:r w:rsidR="00F44A5A" w:rsidRPr="004979D2">
        <w:rPr>
          <w:rFonts w:ascii="Times New Roman" w:hAnsi="Times New Roman" w:cs="Times New Roman"/>
          <w:sz w:val="24"/>
          <w:szCs w:val="24"/>
        </w:rPr>
        <w:t>ë</w:t>
      </w:r>
      <w:r w:rsidR="0098456D" w:rsidRPr="004979D2">
        <w:rPr>
          <w:rFonts w:ascii="Times New Roman" w:hAnsi="Times New Roman" w:cs="Times New Roman"/>
          <w:sz w:val="24"/>
          <w:szCs w:val="24"/>
        </w:rPr>
        <w:t xml:space="preserve"> opsionin më </w:t>
      </w:r>
      <w:r w:rsidR="0098456D" w:rsidRPr="004979D2">
        <w:rPr>
          <w:rFonts w:ascii="Times New Roman" w:hAnsi="Times New Roman" w:cs="Times New Roman"/>
          <w:sz w:val="24"/>
          <w:szCs w:val="24"/>
        </w:rPr>
        <w:lastRenderedPageBreak/>
        <w:t>adekuat për të adresuar problemin kryesor q</w:t>
      </w:r>
      <w:r w:rsidR="00ED78EF" w:rsidRPr="004979D2">
        <w:rPr>
          <w:rFonts w:ascii="Times New Roman" w:hAnsi="Times New Roman" w:cs="Times New Roman"/>
          <w:sz w:val="24"/>
          <w:szCs w:val="24"/>
        </w:rPr>
        <w:t>ë</w:t>
      </w:r>
      <w:r w:rsidR="0098456D" w:rsidRPr="004979D2">
        <w:rPr>
          <w:rFonts w:ascii="Times New Roman" w:hAnsi="Times New Roman" w:cs="Times New Roman"/>
          <w:sz w:val="24"/>
          <w:szCs w:val="24"/>
        </w:rPr>
        <w:t xml:space="preserve"> </w:t>
      </w:r>
      <w:r w:rsidR="008F259E" w:rsidRPr="004979D2">
        <w:rPr>
          <w:rFonts w:ascii="Times New Roman" w:hAnsi="Times New Roman" w:cs="Times New Roman"/>
          <w:sz w:val="24"/>
          <w:szCs w:val="24"/>
        </w:rPr>
        <w:t xml:space="preserve">ka të bëj me </w:t>
      </w:r>
      <w:r w:rsidR="0098456D" w:rsidRPr="004979D2">
        <w:rPr>
          <w:rFonts w:ascii="Times New Roman" w:hAnsi="Times New Roman" w:cs="Times New Roman"/>
          <w:sz w:val="24"/>
          <w:szCs w:val="24"/>
        </w:rPr>
        <w:t>vështirësi</w:t>
      </w:r>
      <w:r w:rsidR="008F259E" w:rsidRPr="004979D2">
        <w:rPr>
          <w:rFonts w:ascii="Times New Roman" w:hAnsi="Times New Roman" w:cs="Times New Roman"/>
          <w:sz w:val="24"/>
          <w:szCs w:val="24"/>
        </w:rPr>
        <w:t>të</w:t>
      </w:r>
      <w:r w:rsidR="0098456D" w:rsidRPr="004979D2">
        <w:rPr>
          <w:rFonts w:ascii="Times New Roman" w:hAnsi="Times New Roman" w:cs="Times New Roman"/>
          <w:sz w:val="24"/>
          <w:szCs w:val="24"/>
        </w:rPr>
        <w:t xml:space="preserve"> në funksionimin e lirë të tregut dhe mbrojtjen e konkurrencës.</w:t>
      </w:r>
      <w:r w:rsidR="00053F90" w:rsidRPr="004979D2">
        <w:rPr>
          <w:rFonts w:ascii="Times New Roman" w:hAnsi="Times New Roman" w:cs="Times New Roman"/>
          <w:sz w:val="24"/>
          <w:szCs w:val="24"/>
        </w:rPr>
        <w:t xml:space="preserve"> </w:t>
      </w:r>
    </w:p>
    <w:p w14:paraId="215DAFEE" w14:textId="0FE20BA9" w:rsidR="0068309A" w:rsidRPr="004979D2" w:rsidRDefault="00121004" w:rsidP="002B1BC6">
      <w:pPr>
        <w:shd w:val="clear" w:color="auto" w:fill="FFFFFF"/>
        <w:spacing w:after="0" w:line="360" w:lineRule="auto"/>
        <w:jc w:val="both"/>
        <w:rPr>
          <w:rFonts w:ascii="Times New Roman" w:hAnsi="Times New Roman" w:cs="Times New Roman"/>
          <w:sz w:val="24"/>
          <w:szCs w:val="24"/>
        </w:rPr>
      </w:pPr>
      <w:r w:rsidRPr="004979D2">
        <w:rPr>
          <w:rFonts w:ascii="Times New Roman" w:hAnsi="Times New Roman" w:cs="Times New Roman"/>
          <w:sz w:val="24"/>
          <w:szCs w:val="24"/>
        </w:rPr>
        <w:t>Andaj</w:t>
      </w:r>
      <w:r w:rsidR="00ED78EF" w:rsidRPr="004979D2">
        <w:rPr>
          <w:rFonts w:ascii="Times New Roman" w:hAnsi="Times New Roman" w:cs="Times New Roman"/>
          <w:sz w:val="24"/>
          <w:szCs w:val="24"/>
        </w:rPr>
        <w:t>,</w:t>
      </w:r>
      <w:r w:rsidRPr="004979D2">
        <w:rPr>
          <w:rFonts w:ascii="Times New Roman" w:hAnsi="Times New Roman" w:cs="Times New Roman"/>
          <w:sz w:val="24"/>
          <w:szCs w:val="24"/>
        </w:rPr>
        <w:t xml:space="preserve"> bazuar në udhëzuesin dhe doracakun për hartimin e koncept dokumenteve është hartuar ky </w:t>
      </w:r>
      <w:r w:rsidR="004B724F" w:rsidRPr="004979D2">
        <w:rPr>
          <w:rFonts w:ascii="Times New Roman" w:hAnsi="Times New Roman" w:cs="Times New Roman"/>
          <w:sz w:val="24"/>
          <w:szCs w:val="24"/>
        </w:rPr>
        <w:t>dokument</w:t>
      </w:r>
      <w:r w:rsidRPr="004979D2">
        <w:rPr>
          <w:rFonts w:ascii="Times New Roman" w:hAnsi="Times New Roman" w:cs="Times New Roman"/>
          <w:sz w:val="24"/>
          <w:szCs w:val="24"/>
        </w:rPr>
        <w:t xml:space="preserve"> i cili do të propozoj</w:t>
      </w:r>
      <w:r w:rsidR="00F44A5A" w:rsidRPr="004979D2">
        <w:rPr>
          <w:rFonts w:ascii="Times New Roman" w:hAnsi="Times New Roman" w:cs="Times New Roman"/>
          <w:sz w:val="24"/>
          <w:szCs w:val="24"/>
        </w:rPr>
        <w:t>ë</w:t>
      </w:r>
      <w:r w:rsidRPr="004979D2">
        <w:rPr>
          <w:rFonts w:ascii="Times New Roman" w:hAnsi="Times New Roman" w:cs="Times New Roman"/>
          <w:sz w:val="24"/>
          <w:szCs w:val="24"/>
        </w:rPr>
        <w:t xml:space="preserve"> opsionin </w:t>
      </w:r>
      <w:r w:rsidR="00D30A45" w:rsidRPr="004979D2">
        <w:rPr>
          <w:rFonts w:ascii="Times New Roman" w:hAnsi="Times New Roman" w:cs="Times New Roman"/>
          <w:sz w:val="24"/>
          <w:szCs w:val="24"/>
        </w:rPr>
        <w:t>e rekomanduar nga grupi punues bazuar në analizën lidhur me</w:t>
      </w:r>
      <w:r w:rsidRPr="004979D2">
        <w:rPr>
          <w:rFonts w:ascii="Times New Roman" w:hAnsi="Times New Roman" w:cs="Times New Roman"/>
          <w:sz w:val="24"/>
          <w:szCs w:val="24"/>
        </w:rPr>
        <w:t xml:space="preserve"> </w:t>
      </w:r>
      <w:r w:rsidR="008F259E" w:rsidRPr="004979D2">
        <w:rPr>
          <w:rFonts w:ascii="Times New Roman" w:hAnsi="Times New Roman" w:cs="Times New Roman"/>
          <w:sz w:val="24"/>
          <w:szCs w:val="24"/>
        </w:rPr>
        <w:t xml:space="preserve">legjislacionin </w:t>
      </w:r>
      <w:r w:rsidRPr="004979D2">
        <w:rPr>
          <w:rFonts w:ascii="Times New Roman" w:hAnsi="Times New Roman" w:cs="Times New Roman"/>
          <w:sz w:val="24"/>
          <w:szCs w:val="24"/>
        </w:rPr>
        <w:t xml:space="preserve">në fuqi për mbrojtjen e konkurrencës në tregun e Kosovës. </w:t>
      </w:r>
    </w:p>
    <w:p w14:paraId="22330252" w14:textId="77777777" w:rsidR="0075339D" w:rsidRPr="004979D2" w:rsidRDefault="00A61B6E" w:rsidP="002B1BC6">
      <w:pPr>
        <w:pStyle w:val="Caption"/>
        <w:spacing w:line="360" w:lineRule="auto"/>
        <w:rPr>
          <w:rFonts w:ascii="Times New Roman" w:hAnsi="Times New Roman" w:cs="Times New Roman"/>
          <w:b/>
          <w:sz w:val="24"/>
          <w:szCs w:val="24"/>
        </w:rPr>
      </w:pPr>
      <w:r w:rsidRPr="004979D2">
        <w:rPr>
          <w:rFonts w:ascii="Times New Roman" w:hAnsi="Times New Roman" w:cs="Times New Roman"/>
          <w:sz w:val="24"/>
          <w:szCs w:val="24"/>
        </w:rPr>
        <w:t>Figur</w:t>
      </w:r>
      <w:r w:rsidR="00A33A00" w:rsidRPr="004979D2">
        <w:rPr>
          <w:rFonts w:ascii="Times New Roman" w:hAnsi="Times New Roman" w:cs="Times New Roman"/>
          <w:sz w:val="24"/>
          <w:szCs w:val="24"/>
        </w:rPr>
        <w:t>a</w:t>
      </w:r>
      <w:r w:rsidRPr="004979D2">
        <w:rPr>
          <w:rFonts w:ascii="Times New Roman" w:hAnsi="Times New Roman" w:cs="Times New Roman"/>
          <w:sz w:val="24"/>
          <w:szCs w:val="24"/>
        </w:rPr>
        <w:t xml:space="preserve"> </w:t>
      </w:r>
      <w:r w:rsidR="0064305F" w:rsidRPr="004979D2">
        <w:rPr>
          <w:rFonts w:ascii="Times New Roman" w:hAnsi="Times New Roman" w:cs="Times New Roman"/>
          <w:sz w:val="24"/>
          <w:szCs w:val="24"/>
        </w:rPr>
        <w:fldChar w:fldCharType="begin"/>
      </w:r>
      <w:r w:rsidR="00180BB0" w:rsidRPr="004979D2">
        <w:rPr>
          <w:rFonts w:ascii="Times New Roman" w:hAnsi="Times New Roman" w:cs="Times New Roman"/>
          <w:sz w:val="24"/>
          <w:szCs w:val="24"/>
        </w:rPr>
        <w:instrText xml:space="preserve"> SEQ Figure \* ARABIC </w:instrText>
      </w:r>
      <w:r w:rsidR="0064305F" w:rsidRPr="004979D2">
        <w:rPr>
          <w:rFonts w:ascii="Times New Roman" w:hAnsi="Times New Roman" w:cs="Times New Roman"/>
          <w:sz w:val="24"/>
          <w:szCs w:val="24"/>
        </w:rPr>
        <w:fldChar w:fldCharType="separate"/>
      </w:r>
      <w:r w:rsidR="002969E3" w:rsidRPr="004979D2">
        <w:rPr>
          <w:rFonts w:ascii="Times New Roman" w:hAnsi="Times New Roman" w:cs="Times New Roman"/>
          <w:noProof/>
          <w:sz w:val="24"/>
          <w:szCs w:val="24"/>
        </w:rPr>
        <w:t>1</w:t>
      </w:r>
      <w:r w:rsidR="0064305F" w:rsidRPr="004979D2">
        <w:rPr>
          <w:rFonts w:ascii="Times New Roman" w:hAnsi="Times New Roman" w:cs="Times New Roman"/>
          <w:sz w:val="24"/>
          <w:szCs w:val="24"/>
        </w:rPr>
        <w:fldChar w:fldCharType="end"/>
      </w:r>
      <w:r w:rsidRPr="004979D2">
        <w:rPr>
          <w:rFonts w:ascii="Times New Roman" w:hAnsi="Times New Roman" w:cs="Times New Roman"/>
          <w:sz w:val="24"/>
          <w:szCs w:val="24"/>
        </w:rPr>
        <w:t xml:space="preserve">: </w:t>
      </w:r>
      <w:r w:rsidR="00A33A00" w:rsidRPr="004979D2">
        <w:rPr>
          <w:rFonts w:ascii="Times New Roman" w:hAnsi="Times New Roman" w:cs="Times New Roman"/>
          <w:sz w:val="24"/>
          <w:szCs w:val="24"/>
        </w:rPr>
        <w:t>Tabela me informacione të përgjithshme për koncept dokument</w:t>
      </w:r>
      <w:r w:rsidR="001E3DB1" w:rsidRPr="004979D2">
        <w:rPr>
          <w:rFonts w:ascii="Times New Roman" w:hAnsi="Times New Roman" w:cs="Times New Roman"/>
          <w:sz w:val="24"/>
          <w:szCs w:val="24"/>
        </w:rPr>
        <w:t>in</w:t>
      </w:r>
    </w:p>
    <w:tbl>
      <w:tblPr>
        <w:tblStyle w:val="TableGrid1"/>
        <w:tblW w:w="9288" w:type="dxa"/>
        <w:tblLook w:val="04A0" w:firstRow="1" w:lastRow="0" w:firstColumn="1" w:lastColumn="0" w:noHBand="0" w:noVBand="1"/>
      </w:tblPr>
      <w:tblGrid>
        <w:gridCol w:w="1458"/>
        <w:gridCol w:w="7830"/>
      </w:tblGrid>
      <w:tr w:rsidR="0075339D" w:rsidRPr="004979D2" w14:paraId="20601F55" w14:textId="77777777" w:rsidTr="009D677E">
        <w:tc>
          <w:tcPr>
            <w:tcW w:w="1458" w:type="dxa"/>
          </w:tcPr>
          <w:p w14:paraId="19ECDADC" w14:textId="77777777" w:rsidR="0075339D" w:rsidRPr="004979D2" w:rsidRDefault="0075339D" w:rsidP="009D677E">
            <w:pPr>
              <w:rPr>
                <w:rFonts w:ascii="Times New Roman" w:hAnsi="Times New Roman" w:cs="Times New Roman"/>
                <w:sz w:val="24"/>
                <w:szCs w:val="24"/>
              </w:rPr>
            </w:pPr>
            <w:r w:rsidRPr="004979D2">
              <w:rPr>
                <w:rFonts w:ascii="Times New Roman" w:hAnsi="Times New Roman" w:cs="Times New Roman"/>
                <w:sz w:val="24"/>
                <w:szCs w:val="24"/>
              </w:rPr>
              <w:t>Tit</w:t>
            </w:r>
            <w:r w:rsidR="00180BB0" w:rsidRPr="004979D2">
              <w:rPr>
                <w:rFonts w:ascii="Times New Roman" w:hAnsi="Times New Roman" w:cs="Times New Roman"/>
                <w:sz w:val="24"/>
                <w:szCs w:val="24"/>
              </w:rPr>
              <w:t>ulli</w:t>
            </w:r>
            <w:r w:rsidRPr="004979D2">
              <w:rPr>
                <w:rFonts w:ascii="Times New Roman" w:hAnsi="Times New Roman" w:cs="Times New Roman"/>
                <w:sz w:val="24"/>
                <w:szCs w:val="24"/>
              </w:rPr>
              <w:t xml:space="preserve"> </w:t>
            </w:r>
          </w:p>
        </w:tc>
        <w:tc>
          <w:tcPr>
            <w:tcW w:w="7830" w:type="dxa"/>
          </w:tcPr>
          <w:p w14:paraId="2E94DFF2" w14:textId="6DE5FA41" w:rsidR="0075339D" w:rsidRPr="004979D2" w:rsidRDefault="00332E80" w:rsidP="009D677E">
            <w:pPr>
              <w:rPr>
                <w:rFonts w:ascii="Times New Roman" w:hAnsi="Times New Roman" w:cs="Times New Roman"/>
                <w:sz w:val="24"/>
                <w:szCs w:val="24"/>
              </w:rPr>
            </w:pPr>
            <w:r w:rsidRPr="004979D2">
              <w:rPr>
                <w:rFonts w:ascii="Times New Roman" w:hAnsi="Times New Roman" w:cs="Times New Roman"/>
                <w:b/>
                <w:sz w:val="24"/>
                <w:szCs w:val="24"/>
              </w:rPr>
              <w:t xml:space="preserve">Koncept Dokumenti </w:t>
            </w:r>
            <w:r w:rsidR="008F259E" w:rsidRPr="004979D2">
              <w:rPr>
                <w:rFonts w:ascii="Times New Roman" w:hAnsi="Times New Roman" w:cs="Times New Roman"/>
                <w:b/>
                <w:sz w:val="24"/>
                <w:szCs w:val="24"/>
              </w:rPr>
              <w:t>p</w:t>
            </w:r>
            <w:r w:rsidRPr="004979D2">
              <w:rPr>
                <w:rFonts w:ascii="Times New Roman" w:hAnsi="Times New Roman" w:cs="Times New Roman"/>
                <w:b/>
                <w:sz w:val="24"/>
                <w:szCs w:val="24"/>
              </w:rPr>
              <w:t>ë</w:t>
            </w:r>
            <w:r w:rsidR="008F259E" w:rsidRPr="004979D2">
              <w:rPr>
                <w:rFonts w:ascii="Times New Roman" w:hAnsi="Times New Roman" w:cs="Times New Roman"/>
                <w:b/>
                <w:sz w:val="24"/>
                <w:szCs w:val="24"/>
              </w:rPr>
              <w:t>r</w:t>
            </w:r>
            <w:r w:rsidRPr="004979D2">
              <w:rPr>
                <w:rFonts w:ascii="Times New Roman" w:hAnsi="Times New Roman" w:cs="Times New Roman"/>
                <w:b/>
                <w:sz w:val="24"/>
                <w:szCs w:val="24"/>
              </w:rPr>
              <w:t xml:space="preserve"> fushën e Konkurrencës</w:t>
            </w:r>
            <w:r w:rsidRPr="004979D2" w:rsidDel="00332E80">
              <w:rPr>
                <w:rFonts w:ascii="Times New Roman" w:hAnsi="Times New Roman" w:cs="Times New Roman"/>
                <w:sz w:val="24"/>
                <w:szCs w:val="24"/>
              </w:rPr>
              <w:t xml:space="preserve"> </w:t>
            </w:r>
          </w:p>
        </w:tc>
      </w:tr>
      <w:tr w:rsidR="0075339D" w:rsidRPr="004979D2" w14:paraId="5E0DB384" w14:textId="77777777" w:rsidTr="009D677E">
        <w:tc>
          <w:tcPr>
            <w:tcW w:w="1458" w:type="dxa"/>
          </w:tcPr>
          <w:p w14:paraId="229EC03F" w14:textId="77777777" w:rsidR="0075339D" w:rsidRPr="004979D2" w:rsidRDefault="00180BB0" w:rsidP="009D677E">
            <w:pPr>
              <w:rPr>
                <w:rFonts w:ascii="Times New Roman" w:hAnsi="Times New Roman" w:cs="Times New Roman"/>
                <w:sz w:val="24"/>
                <w:szCs w:val="24"/>
              </w:rPr>
            </w:pPr>
            <w:r w:rsidRPr="004979D2">
              <w:rPr>
                <w:rFonts w:ascii="Times New Roman" w:hAnsi="Times New Roman" w:cs="Times New Roman"/>
                <w:sz w:val="24"/>
                <w:szCs w:val="24"/>
              </w:rPr>
              <w:t>Ministria bartëse</w:t>
            </w:r>
          </w:p>
        </w:tc>
        <w:tc>
          <w:tcPr>
            <w:tcW w:w="7830" w:type="dxa"/>
          </w:tcPr>
          <w:p w14:paraId="3F41E57D" w14:textId="77777777" w:rsidR="0075339D" w:rsidRPr="004979D2" w:rsidRDefault="00332E80" w:rsidP="009D677E">
            <w:pPr>
              <w:rPr>
                <w:rFonts w:ascii="Times New Roman" w:hAnsi="Times New Roman" w:cs="Times New Roman"/>
                <w:sz w:val="24"/>
                <w:szCs w:val="24"/>
              </w:rPr>
            </w:pPr>
            <w:r w:rsidRPr="004979D2">
              <w:rPr>
                <w:rFonts w:ascii="Times New Roman" w:hAnsi="Times New Roman" w:cs="Times New Roman"/>
                <w:b/>
                <w:sz w:val="24"/>
                <w:szCs w:val="24"/>
              </w:rPr>
              <w:t>Ministria e Tregtisë dhe Industrisë</w:t>
            </w:r>
            <w:r w:rsidRPr="004979D2">
              <w:rPr>
                <w:rFonts w:ascii="Times New Roman" w:hAnsi="Times New Roman" w:cs="Times New Roman"/>
                <w:sz w:val="24"/>
                <w:szCs w:val="24"/>
              </w:rPr>
              <w:t xml:space="preserve">, </w:t>
            </w:r>
            <w:r w:rsidRPr="004979D2">
              <w:rPr>
                <w:rFonts w:ascii="Times New Roman" w:hAnsi="Times New Roman" w:cs="Times New Roman"/>
                <w:b/>
                <w:sz w:val="24"/>
                <w:szCs w:val="24"/>
              </w:rPr>
              <w:t>Departamenti për Integrime Evropiane dhe Koordinim</w:t>
            </w:r>
            <w:r w:rsidR="008753CB" w:rsidRPr="004979D2">
              <w:rPr>
                <w:rFonts w:ascii="Times New Roman" w:hAnsi="Times New Roman" w:cs="Times New Roman"/>
                <w:b/>
                <w:sz w:val="24"/>
                <w:szCs w:val="24"/>
              </w:rPr>
              <w:t xml:space="preserve"> të </w:t>
            </w:r>
            <w:r w:rsidRPr="004979D2">
              <w:rPr>
                <w:rFonts w:ascii="Times New Roman" w:hAnsi="Times New Roman" w:cs="Times New Roman"/>
                <w:b/>
                <w:sz w:val="24"/>
                <w:szCs w:val="24"/>
              </w:rPr>
              <w:t>Politikave, Divizioni për Koordinim</w:t>
            </w:r>
            <w:r w:rsidR="008753CB" w:rsidRPr="004979D2">
              <w:rPr>
                <w:rFonts w:ascii="Times New Roman" w:hAnsi="Times New Roman" w:cs="Times New Roman"/>
                <w:b/>
                <w:sz w:val="24"/>
                <w:szCs w:val="24"/>
              </w:rPr>
              <w:t xml:space="preserve"> të </w:t>
            </w:r>
            <w:r w:rsidRPr="004979D2">
              <w:rPr>
                <w:rFonts w:ascii="Times New Roman" w:hAnsi="Times New Roman" w:cs="Times New Roman"/>
                <w:b/>
                <w:sz w:val="24"/>
                <w:szCs w:val="24"/>
              </w:rPr>
              <w:t>Politikave</w:t>
            </w:r>
          </w:p>
        </w:tc>
      </w:tr>
      <w:tr w:rsidR="0075339D" w:rsidRPr="004979D2" w14:paraId="1D8DC829" w14:textId="77777777" w:rsidTr="009D677E">
        <w:tc>
          <w:tcPr>
            <w:tcW w:w="1458" w:type="dxa"/>
          </w:tcPr>
          <w:p w14:paraId="4EACB741" w14:textId="77777777" w:rsidR="0075339D" w:rsidRPr="004979D2" w:rsidRDefault="00180BB0" w:rsidP="009D677E">
            <w:pPr>
              <w:rPr>
                <w:rFonts w:ascii="Times New Roman" w:hAnsi="Times New Roman" w:cs="Times New Roman"/>
                <w:sz w:val="24"/>
                <w:szCs w:val="24"/>
              </w:rPr>
            </w:pPr>
            <w:r w:rsidRPr="004979D2">
              <w:rPr>
                <w:rFonts w:ascii="Times New Roman" w:hAnsi="Times New Roman" w:cs="Times New Roman"/>
                <w:sz w:val="24"/>
                <w:szCs w:val="24"/>
              </w:rPr>
              <w:t>Personi kontaktues</w:t>
            </w:r>
          </w:p>
        </w:tc>
        <w:tc>
          <w:tcPr>
            <w:tcW w:w="7830" w:type="dxa"/>
          </w:tcPr>
          <w:p w14:paraId="52FF0C75" w14:textId="77777777" w:rsidR="0075339D" w:rsidRPr="004979D2" w:rsidRDefault="00332E80" w:rsidP="009D677E">
            <w:pPr>
              <w:rPr>
                <w:rFonts w:ascii="Times New Roman" w:hAnsi="Times New Roman" w:cs="Times New Roman"/>
                <w:b/>
                <w:sz w:val="24"/>
                <w:szCs w:val="24"/>
              </w:rPr>
            </w:pPr>
            <w:r w:rsidRPr="004979D2">
              <w:rPr>
                <w:rFonts w:ascii="Times New Roman" w:hAnsi="Times New Roman" w:cs="Times New Roman"/>
                <w:b/>
                <w:sz w:val="24"/>
                <w:szCs w:val="24"/>
              </w:rPr>
              <w:t xml:space="preserve">Bleron Menzelxhiu, </w:t>
            </w:r>
            <w:hyperlink r:id="rId10" w:history="1">
              <w:r w:rsidR="004B724F" w:rsidRPr="004979D2">
                <w:rPr>
                  <w:rStyle w:val="Hyperlink"/>
                  <w:rFonts w:ascii="Times New Roman" w:hAnsi="Times New Roman" w:cs="Times New Roman"/>
                  <w:b/>
                  <w:sz w:val="24"/>
                  <w:szCs w:val="24"/>
                </w:rPr>
                <w:t>bleron.menzelxhiu@rks-gov.net</w:t>
              </w:r>
            </w:hyperlink>
          </w:p>
        </w:tc>
      </w:tr>
      <w:tr w:rsidR="0075339D" w:rsidRPr="004979D2" w14:paraId="593BBDE1" w14:textId="77777777" w:rsidTr="009D677E">
        <w:tc>
          <w:tcPr>
            <w:tcW w:w="1458" w:type="dxa"/>
          </w:tcPr>
          <w:p w14:paraId="634496B2" w14:textId="77777777" w:rsidR="0075339D" w:rsidRPr="004979D2" w:rsidRDefault="00162D8C" w:rsidP="009D677E">
            <w:pPr>
              <w:rPr>
                <w:rFonts w:ascii="Times New Roman" w:hAnsi="Times New Roman" w:cs="Times New Roman"/>
                <w:sz w:val="24"/>
                <w:szCs w:val="24"/>
              </w:rPr>
            </w:pPr>
            <w:r w:rsidRPr="004979D2">
              <w:rPr>
                <w:rFonts w:ascii="Times New Roman" w:hAnsi="Times New Roman" w:cs="Times New Roman"/>
                <w:sz w:val="24"/>
                <w:szCs w:val="24"/>
              </w:rPr>
              <w:t>PVPQ</w:t>
            </w:r>
          </w:p>
        </w:tc>
        <w:tc>
          <w:tcPr>
            <w:tcW w:w="7830" w:type="dxa"/>
          </w:tcPr>
          <w:p w14:paraId="595627A5" w14:textId="77777777" w:rsidR="0075339D" w:rsidRPr="004979D2" w:rsidRDefault="00332E80" w:rsidP="009D677E">
            <w:pPr>
              <w:rPr>
                <w:rFonts w:ascii="Times New Roman" w:hAnsi="Times New Roman" w:cs="Times New Roman"/>
                <w:sz w:val="24"/>
                <w:szCs w:val="24"/>
              </w:rPr>
            </w:pPr>
            <w:r w:rsidRPr="004979D2">
              <w:rPr>
                <w:rFonts w:ascii="Times New Roman" w:hAnsi="Times New Roman" w:cs="Times New Roman"/>
                <w:b/>
                <w:sz w:val="24"/>
                <w:szCs w:val="24"/>
              </w:rPr>
              <w:t>Nuk ndërlidhet me ndonjë obligim specifik në PVPQ, por në mënyrë indirekte ndihmon në përmbushjen e veprimeve që ndërlidh</w:t>
            </w:r>
            <w:r w:rsidR="00CB0DCF" w:rsidRPr="004979D2">
              <w:rPr>
                <w:rFonts w:ascii="Times New Roman" w:hAnsi="Times New Roman" w:cs="Times New Roman"/>
                <w:b/>
                <w:sz w:val="24"/>
                <w:szCs w:val="24"/>
              </w:rPr>
              <w:t xml:space="preserve">et me </w:t>
            </w:r>
            <w:r w:rsidRPr="004979D2">
              <w:rPr>
                <w:rFonts w:ascii="Times New Roman" w:hAnsi="Times New Roman" w:cs="Times New Roman"/>
                <w:b/>
                <w:sz w:val="24"/>
                <w:szCs w:val="24"/>
              </w:rPr>
              <w:t xml:space="preserve"> sundimin e ligjit, zhvillimin e afarizmit, luftës kundër </w:t>
            </w:r>
            <w:proofErr w:type="spellStart"/>
            <w:r w:rsidRPr="004979D2">
              <w:rPr>
                <w:rFonts w:ascii="Times New Roman" w:hAnsi="Times New Roman" w:cs="Times New Roman"/>
                <w:b/>
                <w:sz w:val="24"/>
                <w:szCs w:val="24"/>
              </w:rPr>
              <w:t>infromalitetit</w:t>
            </w:r>
            <w:proofErr w:type="spellEnd"/>
            <w:r w:rsidRPr="004979D2">
              <w:rPr>
                <w:rFonts w:ascii="Times New Roman" w:hAnsi="Times New Roman" w:cs="Times New Roman"/>
                <w:b/>
                <w:sz w:val="24"/>
                <w:szCs w:val="24"/>
              </w:rPr>
              <w:t xml:space="preserve"> dhe tregut të lir</w:t>
            </w:r>
            <w:r w:rsidR="00CB0DCF" w:rsidRPr="004979D2">
              <w:rPr>
                <w:rFonts w:ascii="Times New Roman" w:hAnsi="Times New Roman" w:cs="Times New Roman"/>
                <w:b/>
                <w:sz w:val="24"/>
                <w:szCs w:val="24"/>
              </w:rPr>
              <w:t>ë</w:t>
            </w:r>
            <w:r w:rsidRPr="004979D2">
              <w:rPr>
                <w:rFonts w:ascii="Times New Roman" w:hAnsi="Times New Roman" w:cs="Times New Roman"/>
                <w:b/>
                <w:sz w:val="24"/>
                <w:szCs w:val="24"/>
              </w:rPr>
              <w:t xml:space="preserve">. </w:t>
            </w:r>
            <w:r w:rsidRPr="004979D2" w:rsidDel="00332E80">
              <w:rPr>
                <w:rFonts w:ascii="Times New Roman" w:hAnsi="Times New Roman" w:cs="Times New Roman"/>
                <w:sz w:val="24"/>
                <w:szCs w:val="24"/>
              </w:rPr>
              <w:t xml:space="preserve"> </w:t>
            </w:r>
          </w:p>
        </w:tc>
      </w:tr>
      <w:tr w:rsidR="0075339D" w:rsidRPr="004979D2" w14:paraId="68EB5148" w14:textId="77777777" w:rsidTr="009D677E">
        <w:tc>
          <w:tcPr>
            <w:tcW w:w="1458" w:type="dxa"/>
          </w:tcPr>
          <w:p w14:paraId="63F051E1" w14:textId="77777777" w:rsidR="0075339D" w:rsidRPr="004979D2" w:rsidRDefault="00162D8C" w:rsidP="009D677E">
            <w:pPr>
              <w:rPr>
                <w:rFonts w:ascii="Times New Roman" w:hAnsi="Times New Roman" w:cs="Times New Roman"/>
                <w:sz w:val="24"/>
                <w:szCs w:val="24"/>
              </w:rPr>
            </w:pPr>
            <w:r w:rsidRPr="004979D2">
              <w:rPr>
                <w:rFonts w:ascii="Times New Roman" w:hAnsi="Times New Roman" w:cs="Times New Roman"/>
                <w:sz w:val="24"/>
                <w:szCs w:val="24"/>
              </w:rPr>
              <w:t>Prioriteti strategjik</w:t>
            </w:r>
          </w:p>
        </w:tc>
        <w:tc>
          <w:tcPr>
            <w:tcW w:w="7830" w:type="dxa"/>
          </w:tcPr>
          <w:p w14:paraId="15820938" w14:textId="77777777" w:rsidR="00332E80" w:rsidRPr="004979D2" w:rsidRDefault="00332E80" w:rsidP="009D677E">
            <w:pPr>
              <w:pStyle w:val="ListParagraph"/>
              <w:numPr>
                <w:ilvl w:val="0"/>
                <w:numId w:val="14"/>
              </w:numPr>
              <w:rPr>
                <w:rFonts w:ascii="Times New Roman" w:hAnsi="Times New Roman" w:cs="Times New Roman"/>
                <w:b/>
                <w:sz w:val="24"/>
                <w:szCs w:val="24"/>
              </w:rPr>
            </w:pPr>
            <w:r w:rsidRPr="004979D2">
              <w:rPr>
                <w:rFonts w:ascii="Times New Roman" w:hAnsi="Times New Roman" w:cs="Times New Roman"/>
                <w:b/>
                <w:sz w:val="24"/>
                <w:szCs w:val="24"/>
              </w:rPr>
              <w:t>Strategjia Kombëtare për Zhvillim 2016-2021 (Shtylla 2, Shtylla 3)</w:t>
            </w:r>
          </w:p>
          <w:p w14:paraId="38A87313" w14:textId="77777777" w:rsidR="00332E80" w:rsidRPr="004979D2" w:rsidRDefault="00332E80" w:rsidP="009D677E">
            <w:pPr>
              <w:pStyle w:val="ListParagraph"/>
              <w:numPr>
                <w:ilvl w:val="0"/>
                <w:numId w:val="14"/>
              </w:numPr>
              <w:rPr>
                <w:rFonts w:ascii="Times New Roman" w:hAnsi="Times New Roman" w:cs="Times New Roman"/>
                <w:b/>
                <w:sz w:val="24"/>
                <w:szCs w:val="24"/>
              </w:rPr>
            </w:pPr>
            <w:r w:rsidRPr="004979D2">
              <w:rPr>
                <w:rFonts w:ascii="Times New Roman" w:hAnsi="Times New Roman" w:cs="Times New Roman"/>
                <w:b/>
                <w:sz w:val="24"/>
                <w:szCs w:val="24"/>
              </w:rPr>
              <w:t>A</w:t>
            </w:r>
            <w:r w:rsidR="00ED78EF" w:rsidRPr="004979D2">
              <w:rPr>
                <w:rFonts w:ascii="Times New Roman" w:hAnsi="Times New Roman" w:cs="Times New Roman"/>
                <w:b/>
                <w:sz w:val="24"/>
                <w:szCs w:val="24"/>
              </w:rPr>
              <w:t>gj</w:t>
            </w:r>
            <w:r w:rsidRPr="004979D2">
              <w:rPr>
                <w:rFonts w:ascii="Times New Roman" w:hAnsi="Times New Roman" w:cs="Times New Roman"/>
                <w:b/>
                <w:sz w:val="24"/>
                <w:szCs w:val="24"/>
              </w:rPr>
              <w:t>enda për Reforma Evropiane 2016 (ERA -E1, E2)</w:t>
            </w:r>
          </w:p>
          <w:p w14:paraId="31536F8D" w14:textId="77777777" w:rsidR="0075339D" w:rsidRPr="004979D2" w:rsidRDefault="00332E80" w:rsidP="009D677E">
            <w:pPr>
              <w:pStyle w:val="ListParagraph"/>
              <w:numPr>
                <w:ilvl w:val="0"/>
                <w:numId w:val="14"/>
              </w:numPr>
              <w:rPr>
                <w:rFonts w:ascii="Times New Roman" w:hAnsi="Times New Roman" w:cs="Times New Roman"/>
                <w:b/>
                <w:sz w:val="24"/>
                <w:szCs w:val="24"/>
              </w:rPr>
            </w:pPr>
            <w:r w:rsidRPr="004979D2">
              <w:rPr>
                <w:rFonts w:ascii="Times New Roman" w:hAnsi="Times New Roman" w:cs="Times New Roman"/>
                <w:b/>
                <w:sz w:val="24"/>
                <w:szCs w:val="24"/>
              </w:rPr>
              <w:t xml:space="preserve">Marrëveshja e Stabilizim </w:t>
            </w:r>
            <w:proofErr w:type="spellStart"/>
            <w:r w:rsidRPr="004979D2">
              <w:rPr>
                <w:rFonts w:ascii="Times New Roman" w:hAnsi="Times New Roman" w:cs="Times New Roman"/>
                <w:b/>
                <w:sz w:val="24"/>
                <w:szCs w:val="24"/>
              </w:rPr>
              <w:t>Associmit</w:t>
            </w:r>
            <w:proofErr w:type="spellEnd"/>
            <w:r w:rsidRPr="004979D2">
              <w:rPr>
                <w:rFonts w:ascii="Times New Roman" w:hAnsi="Times New Roman" w:cs="Times New Roman"/>
                <w:b/>
                <w:sz w:val="24"/>
                <w:szCs w:val="24"/>
              </w:rPr>
              <w:t xml:space="preserve"> (Kapitulli 8 – Politikat e Konkurrencës)</w:t>
            </w:r>
            <w:r w:rsidRPr="004979D2" w:rsidDel="00332E80">
              <w:rPr>
                <w:rFonts w:ascii="Times New Roman" w:hAnsi="Times New Roman" w:cs="Times New Roman"/>
                <w:sz w:val="24"/>
                <w:szCs w:val="24"/>
              </w:rPr>
              <w:t xml:space="preserve"> </w:t>
            </w:r>
          </w:p>
        </w:tc>
      </w:tr>
      <w:tr w:rsidR="0075339D" w:rsidRPr="004979D2" w14:paraId="009A6265" w14:textId="77777777" w:rsidTr="009D677E">
        <w:tc>
          <w:tcPr>
            <w:tcW w:w="1458" w:type="dxa"/>
          </w:tcPr>
          <w:p w14:paraId="269A27ED" w14:textId="77777777" w:rsidR="0075339D" w:rsidRPr="004979D2" w:rsidRDefault="00162D8C" w:rsidP="009D677E">
            <w:pPr>
              <w:rPr>
                <w:rFonts w:ascii="Times New Roman" w:hAnsi="Times New Roman" w:cs="Times New Roman"/>
                <w:sz w:val="24"/>
                <w:szCs w:val="24"/>
              </w:rPr>
            </w:pPr>
            <w:r w:rsidRPr="004979D2">
              <w:rPr>
                <w:rFonts w:ascii="Times New Roman" w:hAnsi="Times New Roman" w:cs="Times New Roman"/>
                <w:sz w:val="24"/>
                <w:szCs w:val="24"/>
              </w:rPr>
              <w:t>Grupi punues</w:t>
            </w:r>
          </w:p>
        </w:tc>
        <w:tc>
          <w:tcPr>
            <w:tcW w:w="7830" w:type="dxa"/>
          </w:tcPr>
          <w:p w14:paraId="02FA70BD" w14:textId="77777777" w:rsidR="003C0FF0" w:rsidRPr="004979D2" w:rsidRDefault="003C0FF0" w:rsidP="009D677E">
            <w:pPr>
              <w:pStyle w:val="ListParagraph"/>
              <w:numPr>
                <w:ilvl w:val="0"/>
                <w:numId w:val="15"/>
              </w:numPr>
              <w:rPr>
                <w:rFonts w:ascii="Times New Roman" w:hAnsi="Times New Roman" w:cs="Times New Roman"/>
                <w:b/>
                <w:sz w:val="24"/>
                <w:szCs w:val="24"/>
              </w:rPr>
            </w:pPr>
            <w:r w:rsidRPr="004979D2">
              <w:rPr>
                <w:rFonts w:ascii="Times New Roman" w:hAnsi="Times New Roman" w:cs="Times New Roman"/>
                <w:b/>
                <w:sz w:val="24"/>
                <w:szCs w:val="24"/>
              </w:rPr>
              <w:t xml:space="preserve">Bleron Menzelxhiu - Udhëheqës i Divizionit për Koordinim të Politikave (MTI) </w:t>
            </w:r>
            <w:r w:rsidR="005A4320" w:rsidRPr="004979D2">
              <w:rPr>
                <w:rFonts w:ascii="Times New Roman" w:hAnsi="Times New Roman" w:cs="Times New Roman"/>
                <w:b/>
                <w:sz w:val="24"/>
                <w:szCs w:val="24"/>
              </w:rPr>
              <w:t>-</w:t>
            </w:r>
            <w:r w:rsidRPr="004979D2">
              <w:rPr>
                <w:rFonts w:ascii="Times New Roman" w:hAnsi="Times New Roman" w:cs="Times New Roman"/>
                <w:b/>
                <w:sz w:val="24"/>
                <w:szCs w:val="24"/>
              </w:rPr>
              <w:t xml:space="preserve"> Kryesues</w:t>
            </w:r>
          </w:p>
          <w:p w14:paraId="5CC3BAA1" w14:textId="77777777" w:rsidR="003C0FF0" w:rsidRPr="004979D2" w:rsidRDefault="003C0FF0" w:rsidP="009D677E">
            <w:pPr>
              <w:pStyle w:val="ListParagraph"/>
              <w:numPr>
                <w:ilvl w:val="0"/>
                <w:numId w:val="15"/>
              </w:numPr>
              <w:rPr>
                <w:rFonts w:ascii="Times New Roman" w:hAnsi="Times New Roman" w:cs="Times New Roman"/>
                <w:b/>
                <w:sz w:val="24"/>
                <w:szCs w:val="24"/>
              </w:rPr>
            </w:pPr>
            <w:r w:rsidRPr="004979D2">
              <w:rPr>
                <w:rFonts w:ascii="Times New Roman" w:hAnsi="Times New Roman" w:cs="Times New Roman"/>
                <w:b/>
                <w:sz w:val="24"/>
                <w:szCs w:val="24"/>
              </w:rPr>
              <w:t xml:space="preserve">Rexhep Bllaca - Drejtor i Departamentit Ligjor (MTI) </w:t>
            </w:r>
            <w:r w:rsidR="005A4320" w:rsidRPr="004979D2">
              <w:rPr>
                <w:rFonts w:ascii="Times New Roman" w:hAnsi="Times New Roman" w:cs="Times New Roman"/>
                <w:b/>
                <w:sz w:val="24"/>
                <w:szCs w:val="24"/>
              </w:rPr>
              <w:t>-</w:t>
            </w:r>
            <w:r w:rsidRPr="004979D2">
              <w:rPr>
                <w:rFonts w:ascii="Times New Roman" w:hAnsi="Times New Roman" w:cs="Times New Roman"/>
                <w:b/>
                <w:sz w:val="24"/>
                <w:szCs w:val="24"/>
              </w:rPr>
              <w:t xml:space="preserve"> anëtar</w:t>
            </w:r>
          </w:p>
          <w:p w14:paraId="5BDBA6A1" w14:textId="77777777" w:rsidR="003C0FF0" w:rsidRPr="004979D2" w:rsidRDefault="003C0FF0" w:rsidP="009D677E">
            <w:pPr>
              <w:pStyle w:val="ListParagraph"/>
              <w:numPr>
                <w:ilvl w:val="0"/>
                <w:numId w:val="15"/>
              </w:numPr>
              <w:rPr>
                <w:rFonts w:ascii="Times New Roman" w:hAnsi="Times New Roman" w:cs="Times New Roman"/>
                <w:b/>
                <w:sz w:val="24"/>
                <w:szCs w:val="24"/>
              </w:rPr>
            </w:pPr>
            <w:r w:rsidRPr="004979D2">
              <w:rPr>
                <w:rFonts w:ascii="Times New Roman" w:hAnsi="Times New Roman" w:cs="Times New Roman"/>
                <w:b/>
                <w:sz w:val="24"/>
                <w:szCs w:val="24"/>
              </w:rPr>
              <w:t>Valon Prestreshi - Kryetar i AKK-se, anëtar</w:t>
            </w:r>
          </w:p>
          <w:p w14:paraId="14944DCD" w14:textId="77777777" w:rsidR="003C0FF0" w:rsidRPr="004979D2" w:rsidRDefault="003C0FF0" w:rsidP="009D677E">
            <w:pPr>
              <w:pStyle w:val="ListParagraph"/>
              <w:numPr>
                <w:ilvl w:val="0"/>
                <w:numId w:val="15"/>
              </w:numPr>
              <w:rPr>
                <w:rFonts w:ascii="Times New Roman" w:hAnsi="Times New Roman" w:cs="Times New Roman"/>
                <w:b/>
                <w:sz w:val="24"/>
                <w:szCs w:val="24"/>
              </w:rPr>
            </w:pPr>
            <w:proofErr w:type="spellStart"/>
            <w:r w:rsidRPr="004979D2">
              <w:rPr>
                <w:rFonts w:ascii="Times New Roman" w:hAnsi="Times New Roman" w:cs="Times New Roman"/>
                <w:b/>
                <w:sz w:val="24"/>
                <w:szCs w:val="24"/>
              </w:rPr>
              <w:t>Ahmet</w:t>
            </w:r>
            <w:proofErr w:type="spellEnd"/>
            <w:r w:rsidRPr="004979D2">
              <w:rPr>
                <w:rFonts w:ascii="Times New Roman" w:hAnsi="Times New Roman" w:cs="Times New Roman"/>
                <w:b/>
                <w:sz w:val="24"/>
                <w:szCs w:val="24"/>
              </w:rPr>
              <w:t xml:space="preserve"> M. Krasniqi - </w:t>
            </w:r>
            <w:proofErr w:type="spellStart"/>
            <w:r w:rsidRPr="004979D2">
              <w:rPr>
                <w:rFonts w:ascii="Times New Roman" w:hAnsi="Times New Roman" w:cs="Times New Roman"/>
                <w:b/>
                <w:sz w:val="24"/>
                <w:szCs w:val="24"/>
              </w:rPr>
              <w:t>Zv</w:t>
            </w:r>
            <w:proofErr w:type="spellEnd"/>
            <w:r w:rsidRPr="004979D2">
              <w:rPr>
                <w:rFonts w:ascii="Times New Roman" w:hAnsi="Times New Roman" w:cs="Times New Roman"/>
                <w:b/>
                <w:sz w:val="24"/>
                <w:szCs w:val="24"/>
              </w:rPr>
              <w:t xml:space="preserve">. Kryetar i AKK-se </w:t>
            </w:r>
            <w:r w:rsidR="005A4320" w:rsidRPr="004979D2">
              <w:rPr>
                <w:rFonts w:ascii="Times New Roman" w:hAnsi="Times New Roman" w:cs="Times New Roman"/>
                <w:b/>
                <w:sz w:val="24"/>
                <w:szCs w:val="24"/>
              </w:rPr>
              <w:t>-</w:t>
            </w:r>
            <w:r w:rsidRPr="004979D2">
              <w:rPr>
                <w:rFonts w:ascii="Times New Roman" w:hAnsi="Times New Roman" w:cs="Times New Roman"/>
                <w:b/>
                <w:sz w:val="24"/>
                <w:szCs w:val="24"/>
              </w:rPr>
              <w:t xml:space="preserve"> anëtar</w:t>
            </w:r>
          </w:p>
          <w:p w14:paraId="187966C0" w14:textId="77777777" w:rsidR="003C0FF0" w:rsidRPr="004979D2" w:rsidRDefault="003C0FF0" w:rsidP="009D677E">
            <w:pPr>
              <w:pStyle w:val="ListParagraph"/>
              <w:numPr>
                <w:ilvl w:val="0"/>
                <w:numId w:val="15"/>
              </w:numPr>
              <w:rPr>
                <w:rFonts w:ascii="Times New Roman" w:hAnsi="Times New Roman" w:cs="Times New Roman"/>
                <w:b/>
                <w:sz w:val="24"/>
                <w:szCs w:val="24"/>
              </w:rPr>
            </w:pPr>
            <w:r w:rsidRPr="004979D2">
              <w:rPr>
                <w:rFonts w:ascii="Times New Roman" w:hAnsi="Times New Roman" w:cs="Times New Roman"/>
                <w:b/>
                <w:sz w:val="24"/>
                <w:szCs w:val="24"/>
              </w:rPr>
              <w:t xml:space="preserve">Fatime S. Haziri - </w:t>
            </w:r>
            <w:proofErr w:type="spellStart"/>
            <w:r w:rsidRPr="004979D2">
              <w:rPr>
                <w:rFonts w:ascii="Times New Roman" w:hAnsi="Times New Roman" w:cs="Times New Roman"/>
                <w:b/>
                <w:sz w:val="24"/>
                <w:szCs w:val="24"/>
              </w:rPr>
              <w:t>Komisionere</w:t>
            </w:r>
            <w:proofErr w:type="spellEnd"/>
            <w:r w:rsidRPr="004979D2">
              <w:rPr>
                <w:rFonts w:ascii="Times New Roman" w:hAnsi="Times New Roman" w:cs="Times New Roman"/>
                <w:b/>
                <w:sz w:val="24"/>
                <w:szCs w:val="24"/>
              </w:rPr>
              <w:t xml:space="preserve"> e AKK-se </w:t>
            </w:r>
            <w:r w:rsidR="005A4320" w:rsidRPr="004979D2">
              <w:rPr>
                <w:rFonts w:ascii="Times New Roman" w:hAnsi="Times New Roman" w:cs="Times New Roman"/>
                <w:b/>
                <w:sz w:val="24"/>
                <w:szCs w:val="24"/>
              </w:rPr>
              <w:t>-</w:t>
            </w:r>
            <w:r w:rsidRPr="004979D2">
              <w:rPr>
                <w:rFonts w:ascii="Times New Roman" w:hAnsi="Times New Roman" w:cs="Times New Roman"/>
                <w:b/>
                <w:sz w:val="24"/>
                <w:szCs w:val="24"/>
              </w:rPr>
              <w:t xml:space="preserve"> anëtare</w:t>
            </w:r>
          </w:p>
          <w:p w14:paraId="04678CD9" w14:textId="77777777" w:rsidR="003C0FF0" w:rsidRPr="004979D2" w:rsidRDefault="003C0FF0" w:rsidP="009D677E">
            <w:pPr>
              <w:pStyle w:val="ListParagraph"/>
              <w:numPr>
                <w:ilvl w:val="0"/>
                <w:numId w:val="15"/>
              </w:numPr>
              <w:rPr>
                <w:rFonts w:ascii="Times New Roman" w:hAnsi="Times New Roman" w:cs="Times New Roman"/>
                <w:b/>
                <w:sz w:val="24"/>
                <w:szCs w:val="24"/>
              </w:rPr>
            </w:pPr>
            <w:r w:rsidRPr="004979D2">
              <w:rPr>
                <w:rFonts w:ascii="Times New Roman" w:hAnsi="Times New Roman" w:cs="Times New Roman"/>
                <w:b/>
                <w:sz w:val="24"/>
                <w:szCs w:val="24"/>
              </w:rPr>
              <w:t xml:space="preserve">Remzije Hajdari - Udhëheqëse e Divizionit për Hartimin dhe Harmonizimin e Legjislacionit, Departamenti Ligjor (MTI) </w:t>
            </w:r>
            <w:r w:rsidR="005A4320" w:rsidRPr="004979D2">
              <w:rPr>
                <w:rFonts w:ascii="Times New Roman" w:hAnsi="Times New Roman" w:cs="Times New Roman"/>
                <w:b/>
                <w:sz w:val="24"/>
                <w:szCs w:val="24"/>
              </w:rPr>
              <w:t>-</w:t>
            </w:r>
            <w:r w:rsidRPr="004979D2">
              <w:rPr>
                <w:rFonts w:ascii="Times New Roman" w:hAnsi="Times New Roman" w:cs="Times New Roman"/>
                <w:b/>
                <w:sz w:val="24"/>
                <w:szCs w:val="24"/>
              </w:rPr>
              <w:t xml:space="preserve"> anëtare</w:t>
            </w:r>
          </w:p>
          <w:p w14:paraId="1393240C" w14:textId="77777777" w:rsidR="003C0FF0" w:rsidRPr="004979D2" w:rsidRDefault="003C0FF0" w:rsidP="009D677E">
            <w:pPr>
              <w:pStyle w:val="ListParagraph"/>
              <w:numPr>
                <w:ilvl w:val="0"/>
                <w:numId w:val="15"/>
              </w:numPr>
              <w:rPr>
                <w:rFonts w:ascii="Times New Roman" w:hAnsi="Times New Roman" w:cs="Times New Roman"/>
                <w:b/>
                <w:sz w:val="24"/>
                <w:szCs w:val="24"/>
              </w:rPr>
            </w:pPr>
            <w:r w:rsidRPr="004979D2">
              <w:rPr>
                <w:rFonts w:ascii="Times New Roman" w:hAnsi="Times New Roman" w:cs="Times New Roman"/>
                <w:b/>
                <w:sz w:val="24"/>
                <w:szCs w:val="24"/>
              </w:rPr>
              <w:t xml:space="preserve">Muhamet Hashani </w:t>
            </w:r>
            <w:r w:rsidR="005A4320" w:rsidRPr="004979D2">
              <w:rPr>
                <w:rFonts w:ascii="Times New Roman" w:hAnsi="Times New Roman" w:cs="Times New Roman"/>
                <w:b/>
                <w:sz w:val="24"/>
                <w:szCs w:val="24"/>
              </w:rPr>
              <w:t>-</w:t>
            </w:r>
            <w:r w:rsidRPr="004979D2">
              <w:rPr>
                <w:rFonts w:ascii="Times New Roman" w:hAnsi="Times New Roman" w:cs="Times New Roman"/>
                <w:b/>
                <w:sz w:val="24"/>
                <w:szCs w:val="24"/>
              </w:rPr>
              <w:t xml:space="preserve"> Zyrtar i Larte për </w:t>
            </w:r>
            <w:r w:rsidR="009B0878" w:rsidRPr="004979D2">
              <w:rPr>
                <w:rFonts w:ascii="Times New Roman" w:hAnsi="Times New Roman" w:cs="Times New Roman"/>
                <w:b/>
                <w:sz w:val="24"/>
                <w:szCs w:val="24"/>
              </w:rPr>
              <w:t xml:space="preserve">Hulumtim, </w:t>
            </w:r>
            <w:r w:rsidRPr="004979D2">
              <w:rPr>
                <w:rFonts w:ascii="Times New Roman" w:hAnsi="Times New Roman" w:cs="Times New Roman"/>
                <w:b/>
                <w:sz w:val="24"/>
                <w:szCs w:val="24"/>
              </w:rPr>
              <w:t xml:space="preserve">Monitorim dhe </w:t>
            </w:r>
            <w:r w:rsidR="009B0878" w:rsidRPr="004979D2">
              <w:rPr>
                <w:rFonts w:ascii="Times New Roman" w:hAnsi="Times New Roman" w:cs="Times New Roman"/>
                <w:b/>
                <w:sz w:val="24"/>
                <w:szCs w:val="24"/>
              </w:rPr>
              <w:t>Analiza</w:t>
            </w:r>
            <w:r w:rsidR="008753CB" w:rsidRPr="004979D2">
              <w:rPr>
                <w:rFonts w:ascii="Times New Roman" w:hAnsi="Times New Roman" w:cs="Times New Roman"/>
                <w:b/>
                <w:sz w:val="24"/>
                <w:szCs w:val="24"/>
              </w:rPr>
              <w:t xml:space="preserve"> të </w:t>
            </w:r>
            <w:r w:rsidR="009B0878" w:rsidRPr="004979D2">
              <w:rPr>
                <w:rFonts w:ascii="Times New Roman" w:hAnsi="Times New Roman" w:cs="Times New Roman"/>
                <w:b/>
                <w:sz w:val="24"/>
                <w:szCs w:val="24"/>
              </w:rPr>
              <w:t>Politikave</w:t>
            </w:r>
            <w:r w:rsidRPr="004979D2">
              <w:rPr>
                <w:rFonts w:ascii="Times New Roman" w:hAnsi="Times New Roman" w:cs="Times New Roman"/>
                <w:b/>
                <w:sz w:val="24"/>
                <w:szCs w:val="24"/>
              </w:rPr>
              <w:t xml:space="preserve"> Industriale (MTI) - anëtar</w:t>
            </w:r>
          </w:p>
          <w:p w14:paraId="0EDA9137" w14:textId="77777777" w:rsidR="003C0FF0" w:rsidRPr="004979D2" w:rsidRDefault="003C0FF0" w:rsidP="009D677E">
            <w:pPr>
              <w:pStyle w:val="ListParagraph"/>
              <w:numPr>
                <w:ilvl w:val="0"/>
                <w:numId w:val="15"/>
              </w:numPr>
              <w:rPr>
                <w:rFonts w:ascii="Times New Roman" w:hAnsi="Times New Roman" w:cs="Times New Roman"/>
                <w:b/>
                <w:sz w:val="24"/>
                <w:szCs w:val="24"/>
              </w:rPr>
            </w:pPr>
            <w:r w:rsidRPr="004979D2">
              <w:rPr>
                <w:rFonts w:ascii="Times New Roman" w:hAnsi="Times New Roman" w:cs="Times New Roman"/>
                <w:b/>
                <w:sz w:val="24"/>
                <w:szCs w:val="24"/>
              </w:rPr>
              <w:t>Besmire Shab</w:t>
            </w:r>
            <w:r w:rsidR="006D4126" w:rsidRPr="004979D2">
              <w:rPr>
                <w:rFonts w:ascii="Times New Roman" w:hAnsi="Times New Roman" w:cs="Times New Roman"/>
                <w:b/>
                <w:sz w:val="24"/>
                <w:szCs w:val="24"/>
              </w:rPr>
              <w:t>a</w:t>
            </w:r>
            <w:r w:rsidRPr="004979D2">
              <w:rPr>
                <w:rFonts w:ascii="Times New Roman" w:hAnsi="Times New Roman" w:cs="Times New Roman"/>
                <w:b/>
                <w:sz w:val="24"/>
                <w:szCs w:val="24"/>
              </w:rPr>
              <w:t xml:space="preserve">nhaxhaj - Zyrtare e Lartë për Masat Mbrojtëse dhe Vlerësim të Dëmit, Departamenti i Tregtisë (MTI) </w:t>
            </w:r>
            <w:r w:rsidR="005A4320" w:rsidRPr="004979D2">
              <w:rPr>
                <w:rFonts w:ascii="Times New Roman" w:hAnsi="Times New Roman" w:cs="Times New Roman"/>
                <w:b/>
                <w:sz w:val="24"/>
                <w:szCs w:val="24"/>
              </w:rPr>
              <w:t>-</w:t>
            </w:r>
            <w:r w:rsidRPr="004979D2">
              <w:rPr>
                <w:rFonts w:ascii="Times New Roman" w:hAnsi="Times New Roman" w:cs="Times New Roman"/>
                <w:b/>
                <w:sz w:val="24"/>
                <w:szCs w:val="24"/>
              </w:rPr>
              <w:t xml:space="preserve"> anëtare</w:t>
            </w:r>
          </w:p>
          <w:p w14:paraId="7201AEF0" w14:textId="77777777" w:rsidR="003C0FF0" w:rsidRPr="004979D2" w:rsidRDefault="003C0FF0" w:rsidP="009D677E">
            <w:pPr>
              <w:pStyle w:val="ListParagraph"/>
              <w:numPr>
                <w:ilvl w:val="0"/>
                <w:numId w:val="15"/>
              </w:numPr>
              <w:rPr>
                <w:rFonts w:ascii="Times New Roman" w:hAnsi="Times New Roman" w:cs="Times New Roman"/>
                <w:b/>
                <w:sz w:val="24"/>
                <w:szCs w:val="24"/>
              </w:rPr>
            </w:pPr>
            <w:r w:rsidRPr="004979D2">
              <w:rPr>
                <w:rFonts w:ascii="Times New Roman" w:hAnsi="Times New Roman" w:cs="Times New Roman"/>
                <w:b/>
                <w:sz w:val="24"/>
                <w:szCs w:val="24"/>
              </w:rPr>
              <w:t>Sanie Ah</w:t>
            </w:r>
            <w:r w:rsidR="00C460FA" w:rsidRPr="004979D2">
              <w:rPr>
                <w:rFonts w:ascii="Times New Roman" w:hAnsi="Times New Roman" w:cs="Times New Roman"/>
                <w:b/>
                <w:sz w:val="24"/>
                <w:szCs w:val="24"/>
              </w:rPr>
              <w:t xml:space="preserve">meti - Analiste e Buxhetit, </w:t>
            </w:r>
            <w:r w:rsidRPr="004979D2">
              <w:rPr>
                <w:rFonts w:ascii="Times New Roman" w:hAnsi="Times New Roman" w:cs="Times New Roman"/>
                <w:b/>
                <w:sz w:val="24"/>
                <w:szCs w:val="24"/>
              </w:rPr>
              <w:t xml:space="preserve">(MTI) </w:t>
            </w:r>
            <w:r w:rsidR="005A4320" w:rsidRPr="004979D2">
              <w:rPr>
                <w:rFonts w:ascii="Times New Roman" w:hAnsi="Times New Roman" w:cs="Times New Roman"/>
                <w:b/>
                <w:sz w:val="24"/>
                <w:szCs w:val="24"/>
              </w:rPr>
              <w:t>-</w:t>
            </w:r>
            <w:r w:rsidRPr="004979D2">
              <w:rPr>
                <w:rFonts w:ascii="Times New Roman" w:hAnsi="Times New Roman" w:cs="Times New Roman"/>
                <w:b/>
                <w:sz w:val="24"/>
                <w:szCs w:val="24"/>
              </w:rPr>
              <w:t xml:space="preserve"> anëtare</w:t>
            </w:r>
          </w:p>
          <w:p w14:paraId="45A123B9" w14:textId="77777777" w:rsidR="003C0FF0" w:rsidRPr="004979D2" w:rsidRDefault="003C0FF0" w:rsidP="009D677E">
            <w:pPr>
              <w:pStyle w:val="ListParagraph"/>
              <w:numPr>
                <w:ilvl w:val="0"/>
                <w:numId w:val="15"/>
              </w:numPr>
              <w:rPr>
                <w:rFonts w:ascii="Times New Roman" w:hAnsi="Times New Roman" w:cs="Times New Roman"/>
                <w:b/>
                <w:sz w:val="24"/>
                <w:szCs w:val="24"/>
              </w:rPr>
            </w:pPr>
            <w:r w:rsidRPr="004979D2">
              <w:rPr>
                <w:rFonts w:ascii="Times New Roman" w:hAnsi="Times New Roman" w:cs="Times New Roman"/>
                <w:b/>
                <w:sz w:val="24"/>
                <w:szCs w:val="24"/>
              </w:rPr>
              <w:t xml:space="preserve">Shkurte Krasniqi </w:t>
            </w:r>
            <w:r w:rsidR="005A4320" w:rsidRPr="004979D2">
              <w:rPr>
                <w:rFonts w:ascii="Times New Roman" w:hAnsi="Times New Roman" w:cs="Times New Roman"/>
                <w:b/>
                <w:sz w:val="24"/>
                <w:szCs w:val="24"/>
              </w:rPr>
              <w:t>-</w:t>
            </w:r>
            <w:r w:rsidRPr="004979D2">
              <w:rPr>
                <w:rFonts w:ascii="Times New Roman" w:hAnsi="Times New Roman" w:cs="Times New Roman"/>
                <w:b/>
                <w:sz w:val="24"/>
                <w:szCs w:val="24"/>
              </w:rPr>
              <w:t xml:space="preserve"> Koordinatore për politika ekonomike (SQK) – </w:t>
            </w:r>
            <w:r w:rsidR="005A4320" w:rsidRPr="004979D2">
              <w:rPr>
                <w:rFonts w:ascii="Times New Roman" w:hAnsi="Times New Roman" w:cs="Times New Roman"/>
                <w:b/>
                <w:sz w:val="24"/>
                <w:szCs w:val="24"/>
              </w:rPr>
              <w:t>anëtare</w:t>
            </w:r>
          </w:p>
          <w:p w14:paraId="51E457D5" w14:textId="77777777" w:rsidR="003C0FF0" w:rsidRPr="004979D2" w:rsidRDefault="003C0FF0" w:rsidP="009D677E">
            <w:pPr>
              <w:pStyle w:val="ListParagraph"/>
              <w:numPr>
                <w:ilvl w:val="0"/>
                <w:numId w:val="15"/>
              </w:numPr>
              <w:rPr>
                <w:rFonts w:ascii="Times New Roman" w:hAnsi="Times New Roman" w:cs="Times New Roman"/>
                <w:b/>
                <w:sz w:val="24"/>
                <w:szCs w:val="24"/>
              </w:rPr>
            </w:pPr>
            <w:r w:rsidRPr="004979D2">
              <w:rPr>
                <w:rFonts w:ascii="Times New Roman" w:hAnsi="Times New Roman" w:cs="Times New Roman"/>
                <w:b/>
                <w:sz w:val="24"/>
                <w:szCs w:val="24"/>
              </w:rPr>
              <w:t xml:space="preserve">Rajmonda Kukalaj - </w:t>
            </w:r>
            <w:r w:rsidR="009B0878" w:rsidRPr="004979D2">
              <w:rPr>
                <w:rFonts w:ascii="Times New Roman" w:hAnsi="Times New Roman" w:cs="Times New Roman"/>
                <w:b/>
                <w:sz w:val="24"/>
                <w:szCs w:val="24"/>
              </w:rPr>
              <w:t xml:space="preserve"> </w:t>
            </w:r>
            <w:proofErr w:type="spellStart"/>
            <w:r w:rsidR="009B0878" w:rsidRPr="004979D2">
              <w:rPr>
                <w:rFonts w:ascii="Times New Roman" w:hAnsi="Times New Roman" w:cs="Times New Roman"/>
                <w:b/>
                <w:sz w:val="24"/>
                <w:szCs w:val="24"/>
              </w:rPr>
              <w:t>Bruçaj</w:t>
            </w:r>
            <w:proofErr w:type="spellEnd"/>
            <w:r w:rsidR="009B0878" w:rsidRPr="004979D2">
              <w:rPr>
                <w:rFonts w:ascii="Times New Roman" w:hAnsi="Times New Roman" w:cs="Times New Roman"/>
                <w:b/>
                <w:sz w:val="24"/>
                <w:szCs w:val="24"/>
              </w:rPr>
              <w:t xml:space="preserve"> – Udhëheqëse e divizionit për Tregun e Brendshëm, Ministria për Integrim </w:t>
            </w:r>
            <w:r w:rsidR="00DC2051" w:rsidRPr="004979D2">
              <w:rPr>
                <w:rFonts w:ascii="Times New Roman" w:hAnsi="Times New Roman" w:cs="Times New Roman"/>
                <w:b/>
                <w:sz w:val="24"/>
                <w:szCs w:val="24"/>
              </w:rPr>
              <w:t>Evropian</w:t>
            </w:r>
            <w:r w:rsidR="009B0878" w:rsidRPr="004979D2">
              <w:rPr>
                <w:rFonts w:ascii="Times New Roman" w:hAnsi="Times New Roman" w:cs="Times New Roman"/>
                <w:b/>
                <w:sz w:val="24"/>
                <w:szCs w:val="24"/>
              </w:rPr>
              <w:t xml:space="preserve"> -</w:t>
            </w:r>
            <w:r w:rsidR="009B0878" w:rsidRPr="004979D2">
              <w:rPr>
                <w:rFonts w:ascii="Times New Roman" w:hAnsi="Times New Roman" w:cs="Times New Roman"/>
                <w:b/>
                <w:color w:val="FF0000"/>
                <w:sz w:val="24"/>
                <w:szCs w:val="24"/>
              </w:rPr>
              <w:t xml:space="preserve"> </w:t>
            </w:r>
            <w:r w:rsidR="009B0878" w:rsidRPr="004979D2">
              <w:rPr>
                <w:rFonts w:ascii="Times New Roman" w:hAnsi="Times New Roman" w:cs="Times New Roman"/>
                <w:b/>
                <w:sz w:val="24"/>
                <w:szCs w:val="24"/>
              </w:rPr>
              <w:t xml:space="preserve"> anëtare</w:t>
            </w:r>
          </w:p>
          <w:p w14:paraId="400A683C" w14:textId="77777777" w:rsidR="003C0FF0" w:rsidRPr="004979D2" w:rsidRDefault="003C0FF0" w:rsidP="009D677E">
            <w:pPr>
              <w:pStyle w:val="ListParagraph"/>
              <w:numPr>
                <w:ilvl w:val="0"/>
                <w:numId w:val="15"/>
              </w:numPr>
              <w:rPr>
                <w:rFonts w:ascii="Times New Roman" w:hAnsi="Times New Roman" w:cs="Times New Roman"/>
                <w:b/>
                <w:sz w:val="24"/>
                <w:szCs w:val="24"/>
              </w:rPr>
            </w:pPr>
            <w:r w:rsidRPr="004979D2">
              <w:rPr>
                <w:rFonts w:ascii="Times New Roman" w:hAnsi="Times New Roman" w:cs="Times New Roman"/>
                <w:b/>
                <w:sz w:val="24"/>
                <w:szCs w:val="24"/>
              </w:rPr>
              <w:t xml:space="preserve">Merlinda Ramaj </w:t>
            </w:r>
            <w:r w:rsidR="005A4320" w:rsidRPr="004979D2">
              <w:rPr>
                <w:rFonts w:ascii="Times New Roman" w:hAnsi="Times New Roman" w:cs="Times New Roman"/>
                <w:b/>
                <w:sz w:val="24"/>
                <w:szCs w:val="24"/>
              </w:rPr>
              <w:t>-</w:t>
            </w:r>
            <w:r w:rsidRPr="004979D2">
              <w:rPr>
                <w:rFonts w:ascii="Times New Roman" w:hAnsi="Times New Roman" w:cs="Times New Roman"/>
                <w:b/>
                <w:sz w:val="24"/>
                <w:szCs w:val="24"/>
              </w:rPr>
              <w:t xml:space="preserve"> Zyrtare Ligjore (MTI) </w:t>
            </w:r>
            <w:r w:rsidR="005A4320" w:rsidRPr="004979D2">
              <w:rPr>
                <w:rFonts w:ascii="Times New Roman" w:hAnsi="Times New Roman" w:cs="Times New Roman"/>
                <w:b/>
                <w:sz w:val="24"/>
                <w:szCs w:val="24"/>
              </w:rPr>
              <w:t>-</w:t>
            </w:r>
            <w:r w:rsidRPr="004979D2">
              <w:rPr>
                <w:rFonts w:ascii="Times New Roman" w:hAnsi="Times New Roman" w:cs="Times New Roman"/>
                <w:b/>
                <w:sz w:val="24"/>
                <w:szCs w:val="24"/>
              </w:rPr>
              <w:t xml:space="preserve"> </w:t>
            </w:r>
            <w:r w:rsidR="005A4320" w:rsidRPr="004979D2">
              <w:rPr>
                <w:rFonts w:ascii="Times New Roman" w:hAnsi="Times New Roman" w:cs="Times New Roman"/>
                <w:b/>
                <w:sz w:val="24"/>
                <w:szCs w:val="24"/>
              </w:rPr>
              <w:t>anëtare</w:t>
            </w:r>
          </w:p>
          <w:p w14:paraId="6A4DA82D" w14:textId="77777777" w:rsidR="003C0FF0" w:rsidRPr="004979D2" w:rsidRDefault="003C0FF0" w:rsidP="009D677E">
            <w:pPr>
              <w:pStyle w:val="ListParagraph"/>
              <w:numPr>
                <w:ilvl w:val="0"/>
                <w:numId w:val="15"/>
              </w:numPr>
              <w:rPr>
                <w:rFonts w:ascii="Times New Roman" w:hAnsi="Times New Roman" w:cs="Times New Roman"/>
                <w:b/>
                <w:sz w:val="24"/>
                <w:szCs w:val="24"/>
              </w:rPr>
            </w:pPr>
            <w:r w:rsidRPr="004979D2">
              <w:rPr>
                <w:rFonts w:ascii="Times New Roman" w:hAnsi="Times New Roman" w:cs="Times New Roman"/>
                <w:b/>
                <w:sz w:val="24"/>
                <w:szCs w:val="24"/>
              </w:rPr>
              <w:t xml:space="preserve">Alba Boshnjaku </w:t>
            </w:r>
            <w:r w:rsidR="005A4320" w:rsidRPr="004979D2">
              <w:rPr>
                <w:rFonts w:ascii="Times New Roman" w:hAnsi="Times New Roman" w:cs="Times New Roman"/>
                <w:b/>
                <w:sz w:val="24"/>
                <w:szCs w:val="24"/>
              </w:rPr>
              <w:t>-</w:t>
            </w:r>
            <w:r w:rsidRPr="004979D2">
              <w:rPr>
                <w:rFonts w:ascii="Times New Roman" w:hAnsi="Times New Roman" w:cs="Times New Roman"/>
                <w:b/>
                <w:sz w:val="24"/>
                <w:szCs w:val="24"/>
              </w:rPr>
              <w:t xml:space="preserve"> Zyrtare </w:t>
            </w:r>
            <w:r w:rsidR="00C7233F" w:rsidRPr="004979D2">
              <w:rPr>
                <w:rFonts w:ascii="Times New Roman" w:hAnsi="Times New Roman" w:cs="Times New Roman"/>
                <w:b/>
                <w:sz w:val="24"/>
                <w:szCs w:val="24"/>
              </w:rPr>
              <w:t xml:space="preserve">e Lartë </w:t>
            </w:r>
            <w:r w:rsidRPr="004979D2">
              <w:rPr>
                <w:rFonts w:ascii="Times New Roman" w:hAnsi="Times New Roman" w:cs="Times New Roman"/>
                <w:b/>
                <w:sz w:val="24"/>
                <w:szCs w:val="24"/>
              </w:rPr>
              <w:t>Ligjore (MI</w:t>
            </w:r>
            <w:r w:rsidR="00D30B10" w:rsidRPr="004979D2">
              <w:rPr>
                <w:rFonts w:ascii="Times New Roman" w:hAnsi="Times New Roman" w:cs="Times New Roman"/>
                <w:b/>
                <w:sz w:val="24"/>
                <w:szCs w:val="24"/>
              </w:rPr>
              <w:t>E</w:t>
            </w:r>
            <w:r w:rsidRPr="004979D2">
              <w:rPr>
                <w:rFonts w:ascii="Times New Roman" w:hAnsi="Times New Roman" w:cs="Times New Roman"/>
                <w:b/>
                <w:sz w:val="24"/>
                <w:szCs w:val="24"/>
              </w:rPr>
              <w:t xml:space="preserve">) - </w:t>
            </w:r>
            <w:r w:rsidR="005A4320" w:rsidRPr="004979D2">
              <w:rPr>
                <w:rFonts w:ascii="Times New Roman" w:hAnsi="Times New Roman" w:cs="Times New Roman"/>
                <w:b/>
                <w:sz w:val="24"/>
                <w:szCs w:val="24"/>
              </w:rPr>
              <w:t>anëtare</w:t>
            </w:r>
          </w:p>
          <w:p w14:paraId="4039B325" w14:textId="77777777" w:rsidR="0075339D" w:rsidRPr="004979D2" w:rsidRDefault="0075339D" w:rsidP="009D677E">
            <w:pPr>
              <w:rPr>
                <w:rFonts w:ascii="Times New Roman" w:hAnsi="Times New Roman" w:cs="Times New Roman"/>
                <w:sz w:val="24"/>
                <w:szCs w:val="24"/>
              </w:rPr>
            </w:pPr>
          </w:p>
        </w:tc>
      </w:tr>
      <w:tr w:rsidR="0075339D" w:rsidRPr="004979D2" w14:paraId="69C849B4" w14:textId="77777777" w:rsidTr="009D677E">
        <w:tc>
          <w:tcPr>
            <w:tcW w:w="1458" w:type="dxa"/>
          </w:tcPr>
          <w:p w14:paraId="3DBD68E6" w14:textId="77777777" w:rsidR="0075339D" w:rsidRPr="004979D2" w:rsidRDefault="00162D8C" w:rsidP="009D677E">
            <w:pPr>
              <w:rPr>
                <w:rFonts w:ascii="Times New Roman" w:hAnsi="Times New Roman" w:cs="Times New Roman"/>
                <w:sz w:val="24"/>
                <w:szCs w:val="24"/>
              </w:rPr>
            </w:pPr>
            <w:r w:rsidRPr="004979D2">
              <w:rPr>
                <w:rFonts w:ascii="Times New Roman" w:hAnsi="Times New Roman" w:cs="Times New Roman"/>
                <w:sz w:val="24"/>
                <w:szCs w:val="24"/>
              </w:rPr>
              <w:t>Informata shtesë</w:t>
            </w:r>
          </w:p>
        </w:tc>
        <w:tc>
          <w:tcPr>
            <w:tcW w:w="7830" w:type="dxa"/>
          </w:tcPr>
          <w:p w14:paraId="266E1FD7" w14:textId="77777777" w:rsidR="0075339D" w:rsidRPr="004979D2" w:rsidRDefault="00FA4C00" w:rsidP="009D677E">
            <w:pPr>
              <w:rPr>
                <w:rFonts w:ascii="Times New Roman" w:hAnsi="Times New Roman" w:cs="Times New Roman"/>
                <w:b/>
                <w:sz w:val="24"/>
                <w:szCs w:val="24"/>
              </w:rPr>
            </w:pPr>
            <w:r w:rsidRPr="004979D2">
              <w:rPr>
                <w:rFonts w:ascii="Times New Roman" w:hAnsi="Times New Roman" w:cs="Times New Roman"/>
                <w:b/>
                <w:sz w:val="24"/>
                <w:szCs w:val="24"/>
              </w:rPr>
              <w:t xml:space="preserve">Nuk ka informata shtesë </w:t>
            </w:r>
          </w:p>
        </w:tc>
      </w:tr>
    </w:tbl>
    <w:p w14:paraId="4821DD48" w14:textId="77777777" w:rsidR="0075339D" w:rsidRPr="004979D2" w:rsidRDefault="00BC0DBE" w:rsidP="002B1BC6">
      <w:pPr>
        <w:pStyle w:val="Heading1"/>
        <w:spacing w:line="360" w:lineRule="auto"/>
        <w:rPr>
          <w:rFonts w:ascii="Times New Roman" w:hAnsi="Times New Roman" w:cs="Times New Roman"/>
          <w:b/>
          <w:sz w:val="24"/>
          <w:szCs w:val="24"/>
        </w:rPr>
      </w:pPr>
      <w:bookmarkStart w:id="2" w:name="_Toc1114314"/>
      <w:r w:rsidRPr="004979D2">
        <w:rPr>
          <w:rFonts w:ascii="Times New Roman" w:hAnsi="Times New Roman" w:cs="Times New Roman"/>
          <w:b/>
          <w:sz w:val="24"/>
          <w:szCs w:val="24"/>
        </w:rPr>
        <w:lastRenderedPageBreak/>
        <w:t>KAPITULLI 1: PËRKUFIZIMI I PROBLEMIT</w:t>
      </w:r>
      <w:bookmarkEnd w:id="2"/>
    </w:p>
    <w:p w14:paraId="2CC51D14" w14:textId="0DFD2A53" w:rsidR="00B03E54" w:rsidRPr="004979D2" w:rsidRDefault="008F259E"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AKK</w:t>
      </w:r>
      <w:r w:rsidR="00C214C5" w:rsidRPr="004979D2">
        <w:rPr>
          <w:rFonts w:ascii="Times New Roman" w:hAnsi="Times New Roman" w:cs="Times New Roman"/>
          <w:sz w:val="24"/>
          <w:szCs w:val="24"/>
        </w:rPr>
        <w:t xml:space="preserve"> është institucion  publik, i pavarur në kryerjen e detyrave të veta të përcaktuara në këtë ligj, për të cilat i përgjigjet Kuvendit të Republikës së Kosovës. Autoriteti është person juridik me seli në Prishtinë. Brenda Autoritetit </w:t>
      </w:r>
      <w:r w:rsidR="00ED78EF" w:rsidRPr="004979D2">
        <w:rPr>
          <w:rFonts w:ascii="Times New Roman" w:hAnsi="Times New Roman" w:cs="Times New Roman"/>
          <w:sz w:val="24"/>
          <w:szCs w:val="24"/>
        </w:rPr>
        <w:t>ekziston</w:t>
      </w:r>
      <w:r w:rsidR="00C214C5" w:rsidRPr="004979D2">
        <w:rPr>
          <w:rFonts w:ascii="Times New Roman" w:hAnsi="Times New Roman" w:cs="Times New Roman"/>
          <w:sz w:val="24"/>
          <w:szCs w:val="24"/>
        </w:rPr>
        <w:t xml:space="preserve"> dhe Komisioni për Mbrojtjen e Konkurrencës i cili është organ kolegjial që menaxhon me  punën e Autoritetit,  përbëhet nga pesë (5) anëtarë, njeri prej të cilëve është kryetar i Komisionit. Kryetari udhëheq</w:t>
      </w:r>
      <w:r w:rsidR="009024E2" w:rsidRPr="004979D2">
        <w:rPr>
          <w:rFonts w:ascii="Times New Roman" w:hAnsi="Times New Roman" w:cs="Times New Roman"/>
          <w:sz w:val="24"/>
          <w:szCs w:val="24"/>
        </w:rPr>
        <w:t>,</w:t>
      </w:r>
      <w:r w:rsidR="00C214C5" w:rsidRPr="004979D2">
        <w:rPr>
          <w:rFonts w:ascii="Times New Roman" w:hAnsi="Times New Roman" w:cs="Times New Roman"/>
          <w:sz w:val="24"/>
          <w:szCs w:val="24"/>
        </w:rPr>
        <w:t xml:space="preserve"> organizon dhe drejton punën dhe veprimtarinë e Autoritetit dhe është përgjegjës për punën profesionale të </w:t>
      </w:r>
      <w:r w:rsidR="004B724F" w:rsidRPr="004979D2">
        <w:rPr>
          <w:rFonts w:ascii="Times New Roman" w:hAnsi="Times New Roman" w:cs="Times New Roman"/>
          <w:sz w:val="24"/>
          <w:szCs w:val="24"/>
        </w:rPr>
        <w:t>këtij organi</w:t>
      </w:r>
      <w:r w:rsidR="009024E2" w:rsidRPr="004979D2">
        <w:rPr>
          <w:rFonts w:ascii="Times New Roman" w:hAnsi="Times New Roman" w:cs="Times New Roman"/>
          <w:sz w:val="24"/>
          <w:szCs w:val="24"/>
        </w:rPr>
        <w:t>.</w:t>
      </w:r>
      <w:r w:rsidR="00C214C5" w:rsidRPr="004979D2">
        <w:rPr>
          <w:rFonts w:ascii="Times New Roman" w:hAnsi="Times New Roman" w:cs="Times New Roman"/>
          <w:sz w:val="24"/>
          <w:szCs w:val="24"/>
        </w:rPr>
        <w:t xml:space="preserve"> Kryetarin dhe anëtaret e tjerë të Komisionit i zgjedh Qeveria përmes konkursit të hapur dhe ia dërgon Kuvendit të Kosovës për emërim. </w:t>
      </w:r>
    </w:p>
    <w:p w14:paraId="20F95CB6" w14:textId="51A2A50E" w:rsidR="00AC5E53" w:rsidRPr="004979D2" w:rsidRDefault="00AC5E53" w:rsidP="002B1BC6">
      <w:pPr>
        <w:spacing w:line="360" w:lineRule="auto"/>
        <w:jc w:val="both"/>
        <w:rPr>
          <w:rFonts w:ascii="Times New Roman" w:hAnsi="Times New Roman" w:cs="Times New Roman"/>
          <w:sz w:val="24"/>
          <w:szCs w:val="24"/>
        </w:rPr>
      </w:pPr>
      <w:bookmarkStart w:id="3" w:name="_Toc464182170"/>
      <w:r w:rsidRPr="004979D2">
        <w:rPr>
          <w:rFonts w:ascii="Times New Roman" w:hAnsi="Times New Roman" w:cs="Times New Roman"/>
          <w:sz w:val="24"/>
          <w:szCs w:val="24"/>
        </w:rPr>
        <w:t>Funksioni i A</w:t>
      </w:r>
      <w:r w:rsidR="00FC1E39" w:rsidRPr="004979D2">
        <w:rPr>
          <w:rFonts w:ascii="Times New Roman" w:hAnsi="Times New Roman" w:cs="Times New Roman"/>
          <w:sz w:val="24"/>
          <w:szCs w:val="24"/>
        </w:rPr>
        <w:t xml:space="preserve">KK-së </w:t>
      </w:r>
      <w:r w:rsidRPr="004979D2">
        <w:rPr>
          <w:rFonts w:ascii="Times New Roman" w:hAnsi="Times New Roman" w:cs="Times New Roman"/>
          <w:sz w:val="24"/>
          <w:szCs w:val="24"/>
        </w:rPr>
        <w:t xml:space="preserve">është i rregulluar me Ligjin 03/-229 për Mbrojtjen e Konkurrencës. </w:t>
      </w:r>
      <w:r w:rsidR="00546D83" w:rsidRPr="004979D2">
        <w:rPr>
          <w:rFonts w:ascii="Times New Roman" w:hAnsi="Times New Roman" w:cs="Times New Roman"/>
          <w:sz w:val="24"/>
          <w:szCs w:val="24"/>
        </w:rPr>
        <w:t xml:space="preserve"> Ky Ligj së</w:t>
      </w:r>
      <w:r w:rsidRPr="004979D2">
        <w:rPr>
          <w:rFonts w:ascii="Times New Roman" w:hAnsi="Times New Roman" w:cs="Times New Roman"/>
          <w:sz w:val="24"/>
          <w:szCs w:val="24"/>
        </w:rPr>
        <w:t xml:space="preserve"> bashku me </w:t>
      </w:r>
      <w:r w:rsidR="00BA20AF" w:rsidRPr="004979D2">
        <w:rPr>
          <w:rFonts w:ascii="Times New Roman" w:hAnsi="Times New Roman" w:cs="Times New Roman"/>
          <w:sz w:val="24"/>
          <w:szCs w:val="24"/>
        </w:rPr>
        <w:t>infrastrukturën</w:t>
      </w:r>
      <w:r w:rsidRPr="004979D2">
        <w:rPr>
          <w:rFonts w:ascii="Times New Roman" w:hAnsi="Times New Roman" w:cs="Times New Roman"/>
          <w:sz w:val="24"/>
          <w:szCs w:val="24"/>
        </w:rPr>
        <w:t xml:space="preserve"> ligjore</w:t>
      </w:r>
      <w:r w:rsidR="00176499" w:rsidRPr="004979D2">
        <w:rPr>
          <w:rFonts w:ascii="Times New Roman" w:hAnsi="Times New Roman" w:cs="Times New Roman"/>
          <w:sz w:val="24"/>
          <w:szCs w:val="24"/>
        </w:rPr>
        <w:t xml:space="preserve"> (</w:t>
      </w:r>
      <w:r w:rsidR="00546D83" w:rsidRPr="004979D2">
        <w:rPr>
          <w:rFonts w:ascii="Times New Roman" w:hAnsi="Times New Roman" w:cs="Times New Roman"/>
          <w:sz w:val="24"/>
          <w:szCs w:val="24"/>
        </w:rPr>
        <w:t>Udhëzimet</w:t>
      </w:r>
      <w:r w:rsidR="00176499" w:rsidRPr="004979D2">
        <w:rPr>
          <w:rFonts w:ascii="Times New Roman" w:hAnsi="Times New Roman" w:cs="Times New Roman"/>
          <w:sz w:val="24"/>
          <w:szCs w:val="24"/>
        </w:rPr>
        <w:t xml:space="preserve"> </w:t>
      </w:r>
      <w:r w:rsidR="00546D83" w:rsidRPr="004979D2">
        <w:rPr>
          <w:rFonts w:ascii="Times New Roman" w:hAnsi="Times New Roman" w:cs="Times New Roman"/>
          <w:sz w:val="24"/>
          <w:szCs w:val="24"/>
        </w:rPr>
        <w:t>Administrative</w:t>
      </w:r>
      <w:r w:rsidR="00176499" w:rsidRPr="004979D2">
        <w:rPr>
          <w:rFonts w:ascii="Times New Roman" w:hAnsi="Times New Roman" w:cs="Times New Roman"/>
          <w:sz w:val="24"/>
          <w:szCs w:val="24"/>
        </w:rPr>
        <w:t xml:space="preserve"> dhe </w:t>
      </w:r>
      <w:r w:rsidR="00546D83" w:rsidRPr="004979D2">
        <w:rPr>
          <w:rFonts w:ascii="Times New Roman" w:hAnsi="Times New Roman" w:cs="Times New Roman"/>
          <w:sz w:val="24"/>
          <w:szCs w:val="24"/>
        </w:rPr>
        <w:t>Rregulloret</w:t>
      </w:r>
      <w:r w:rsidR="00176499" w:rsidRPr="004979D2">
        <w:rPr>
          <w:rFonts w:ascii="Times New Roman" w:hAnsi="Times New Roman" w:cs="Times New Roman"/>
          <w:sz w:val="24"/>
          <w:szCs w:val="24"/>
        </w:rPr>
        <w:t>)</w:t>
      </w:r>
      <w:r w:rsidRPr="004979D2">
        <w:rPr>
          <w:rFonts w:ascii="Times New Roman" w:hAnsi="Times New Roman" w:cs="Times New Roman"/>
          <w:sz w:val="24"/>
          <w:szCs w:val="24"/>
        </w:rPr>
        <w:t xml:space="preserve"> definon </w:t>
      </w:r>
      <w:r w:rsidR="00546D83" w:rsidRPr="004979D2">
        <w:rPr>
          <w:rFonts w:ascii="Times New Roman" w:hAnsi="Times New Roman" w:cs="Times New Roman"/>
          <w:sz w:val="24"/>
          <w:szCs w:val="24"/>
        </w:rPr>
        <w:t>hapësirën</w:t>
      </w:r>
      <w:r w:rsidRPr="004979D2">
        <w:rPr>
          <w:rFonts w:ascii="Times New Roman" w:hAnsi="Times New Roman" w:cs="Times New Roman"/>
          <w:sz w:val="24"/>
          <w:szCs w:val="24"/>
        </w:rPr>
        <w:t xml:space="preserve"> e </w:t>
      </w:r>
      <w:r w:rsidR="00546D83" w:rsidRPr="004979D2">
        <w:rPr>
          <w:rFonts w:ascii="Times New Roman" w:hAnsi="Times New Roman" w:cs="Times New Roman"/>
          <w:sz w:val="24"/>
          <w:szCs w:val="24"/>
        </w:rPr>
        <w:t>veprimit të</w:t>
      </w:r>
      <w:r w:rsidRPr="004979D2">
        <w:rPr>
          <w:rFonts w:ascii="Times New Roman" w:hAnsi="Times New Roman" w:cs="Times New Roman"/>
          <w:sz w:val="24"/>
          <w:szCs w:val="24"/>
        </w:rPr>
        <w:t xml:space="preserve"> </w:t>
      </w:r>
      <w:r w:rsidRPr="004979D2">
        <w:rPr>
          <w:rFonts w:ascii="Times New Roman" w:hAnsi="Times New Roman" w:cs="Times New Roman"/>
          <w:color w:val="000000" w:themeColor="text1"/>
          <w:sz w:val="24"/>
          <w:szCs w:val="24"/>
        </w:rPr>
        <w:t xml:space="preserve">Autoritetit dhe instrumentet </w:t>
      </w:r>
      <w:r w:rsidR="00546D83" w:rsidRPr="004979D2">
        <w:rPr>
          <w:rFonts w:ascii="Times New Roman" w:hAnsi="Times New Roman" w:cs="Times New Roman"/>
          <w:color w:val="000000" w:themeColor="text1"/>
          <w:sz w:val="24"/>
          <w:szCs w:val="24"/>
        </w:rPr>
        <w:t>për</w:t>
      </w:r>
      <w:r w:rsidRPr="004979D2">
        <w:rPr>
          <w:rFonts w:ascii="Times New Roman" w:hAnsi="Times New Roman" w:cs="Times New Roman"/>
          <w:color w:val="000000" w:themeColor="text1"/>
          <w:sz w:val="24"/>
          <w:szCs w:val="24"/>
        </w:rPr>
        <w:t xml:space="preserve"> mbrojtjen e </w:t>
      </w:r>
      <w:r w:rsidR="00546D83" w:rsidRPr="004979D2">
        <w:rPr>
          <w:rFonts w:ascii="Times New Roman" w:hAnsi="Times New Roman" w:cs="Times New Roman"/>
          <w:color w:val="000000" w:themeColor="text1"/>
          <w:sz w:val="24"/>
          <w:szCs w:val="24"/>
        </w:rPr>
        <w:t>konkurrencës në</w:t>
      </w:r>
      <w:r w:rsidRPr="004979D2">
        <w:rPr>
          <w:rFonts w:ascii="Times New Roman" w:hAnsi="Times New Roman" w:cs="Times New Roman"/>
          <w:color w:val="000000" w:themeColor="text1"/>
          <w:sz w:val="24"/>
          <w:szCs w:val="24"/>
        </w:rPr>
        <w:t xml:space="preserve"> </w:t>
      </w:r>
      <w:r w:rsidR="00546D83" w:rsidRPr="004979D2">
        <w:rPr>
          <w:rFonts w:ascii="Times New Roman" w:hAnsi="Times New Roman" w:cs="Times New Roman"/>
          <w:color w:val="000000" w:themeColor="text1"/>
          <w:sz w:val="24"/>
          <w:szCs w:val="24"/>
        </w:rPr>
        <w:t>Republikën</w:t>
      </w:r>
      <w:r w:rsidRPr="004979D2">
        <w:rPr>
          <w:rFonts w:ascii="Times New Roman" w:hAnsi="Times New Roman" w:cs="Times New Roman"/>
          <w:color w:val="000000" w:themeColor="text1"/>
          <w:sz w:val="24"/>
          <w:szCs w:val="24"/>
        </w:rPr>
        <w:t xml:space="preserve"> e </w:t>
      </w:r>
      <w:r w:rsidR="00546D83" w:rsidRPr="004979D2">
        <w:rPr>
          <w:rFonts w:ascii="Times New Roman" w:hAnsi="Times New Roman" w:cs="Times New Roman"/>
          <w:color w:val="000000" w:themeColor="text1"/>
          <w:sz w:val="24"/>
          <w:szCs w:val="24"/>
        </w:rPr>
        <w:t>Kosovës</w:t>
      </w:r>
      <w:r w:rsidRPr="004979D2">
        <w:rPr>
          <w:rFonts w:ascii="Times New Roman" w:hAnsi="Times New Roman" w:cs="Times New Roman"/>
          <w:color w:val="000000" w:themeColor="text1"/>
          <w:sz w:val="24"/>
          <w:szCs w:val="24"/>
        </w:rPr>
        <w:t xml:space="preserve">. Nisur nga kjo, </w:t>
      </w:r>
      <w:r w:rsidR="00546D83" w:rsidRPr="004979D2">
        <w:rPr>
          <w:rFonts w:ascii="Times New Roman" w:hAnsi="Times New Roman" w:cs="Times New Roman"/>
          <w:color w:val="000000" w:themeColor="text1"/>
          <w:sz w:val="24"/>
          <w:szCs w:val="24"/>
        </w:rPr>
        <w:t>çdo</w:t>
      </w:r>
      <w:r w:rsidRPr="004979D2">
        <w:rPr>
          <w:rFonts w:ascii="Times New Roman" w:hAnsi="Times New Roman" w:cs="Times New Roman"/>
          <w:color w:val="000000" w:themeColor="text1"/>
          <w:sz w:val="24"/>
          <w:szCs w:val="24"/>
        </w:rPr>
        <w:t xml:space="preserve"> mangësi </w:t>
      </w:r>
      <w:r w:rsidR="00176499" w:rsidRPr="004979D2">
        <w:rPr>
          <w:rFonts w:ascii="Times New Roman" w:hAnsi="Times New Roman" w:cs="Times New Roman"/>
          <w:color w:val="000000" w:themeColor="text1"/>
          <w:sz w:val="24"/>
          <w:szCs w:val="24"/>
        </w:rPr>
        <w:t xml:space="preserve">e </w:t>
      </w:r>
      <w:r w:rsidR="00546D83" w:rsidRPr="004979D2">
        <w:rPr>
          <w:rFonts w:ascii="Times New Roman" w:hAnsi="Times New Roman" w:cs="Times New Roman"/>
          <w:color w:val="000000" w:themeColor="text1"/>
          <w:sz w:val="24"/>
          <w:szCs w:val="24"/>
        </w:rPr>
        <w:t>identifikuar</w:t>
      </w:r>
      <w:r w:rsidR="00176499" w:rsidRPr="004979D2">
        <w:rPr>
          <w:rFonts w:ascii="Times New Roman" w:hAnsi="Times New Roman" w:cs="Times New Roman"/>
          <w:color w:val="000000" w:themeColor="text1"/>
          <w:sz w:val="24"/>
          <w:szCs w:val="24"/>
        </w:rPr>
        <w:t xml:space="preserve"> nga Autoriteti dhe grupet e interesit </w:t>
      </w:r>
      <w:r w:rsidR="00546D83" w:rsidRPr="004979D2">
        <w:rPr>
          <w:rFonts w:ascii="Times New Roman" w:hAnsi="Times New Roman" w:cs="Times New Roman"/>
          <w:color w:val="000000" w:themeColor="text1"/>
          <w:sz w:val="24"/>
          <w:szCs w:val="24"/>
        </w:rPr>
        <w:t>në</w:t>
      </w:r>
      <w:r w:rsidRPr="004979D2">
        <w:rPr>
          <w:rFonts w:ascii="Times New Roman" w:hAnsi="Times New Roman" w:cs="Times New Roman"/>
          <w:color w:val="000000" w:themeColor="text1"/>
          <w:sz w:val="24"/>
          <w:szCs w:val="24"/>
        </w:rPr>
        <w:t xml:space="preserve"> </w:t>
      </w:r>
      <w:r w:rsidR="00176499" w:rsidRPr="004979D2">
        <w:rPr>
          <w:rFonts w:ascii="Times New Roman" w:hAnsi="Times New Roman" w:cs="Times New Roman"/>
          <w:color w:val="000000" w:themeColor="text1"/>
          <w:sz w:val="24"/>
          <w:szCs w:val="24"/>
        </w:rPr>
        <w:t xml:space="preserve">kuadrin </w:t>
      </w:r>
      <w:r w:rsidR="00546D83" w:rsidRPr="004979D2">
        <w:rPr>
          <w:rFonts w:ascii="Times New Roman" w:hAnsi="Times New Roman" w:cs="Times New Roman"/>
          <w:color w:val="000000" w:themeColor="text1"/>
          <w:sz w:val="24"/>
          <w:szCs w:val="24"/>
        </w:rPr>
        <w:t>ekzistues</w:t>
      </w:r>
      <w:r w:rsidR="00176499" w:rsidRPr="004979D2">
        <w:rPr>
          <w:rFonts w:ascii="Times New Roman" w:hAnsi="Times New Roman" w:cs="Times New Roman"/>
          <w:color w:val="000000" w:themeColor="text1"/>
          <w:sz w:val="24"/>
          <w:szCs w:val="24"/>
        </w:rPr>
        <w:t xml:space="preserve"> ligjor </w:t>
      </w:r>
      <w:r w:rsidR="00546D83" w:rsidRPr="004979D2">
        <w:rPr>
          <w:rFonts w:ascii="Times New Roman" w:hAnsi="Times New Roman" w:cs="Times New Roman"/>
          <w:color w:val="000000" w:themeColor="text1"/>
          <w:sz w:val="24"/>
          <w:szCs w:val="24"/>
        </w:rPr>
        <w:t>në respekt me institu</w:t>
      </w:r>
      <w:r w:rsidR="00176499" w:rsidRPr="004979D2">
        <w:rPr>
          <w:rFonts w:ascii="Times New Roman" w:hAnsi="Times New Roman" w:cs="Times New Roman"/>
          <w:color w:val="000000" w:themeColor="text1"/>
          <w:sz w:val="24"/>
          <w:szCs w:val="24"/>
        </w:rPr>
        <w:t>cionet e tjera, tregun e</w:t>
      </w:r>
      <w:r w:rsidR="00176499" w:rsidRPr="004979D2">
        <w:rPr>
          <w:rFonts w:ascii="Times New Roman" w:hAnsi="Times New Roman" w:cs="Times New Roman"/>
          <w:sz w:val="24"/>
          <w:szCs w:val="24"/>
        </w:rPr>
        <w:t xml:space="preserve"> lir</w:t>
      </w:r>
      <w:r w:rsidR="006824F7" w:rsidRPr="004979D2">
        <w:rPr>
          <w:rFonts w:ascii="Times New Roman" w:hAnsi="Times New Roman" w:cs="Times New Roman"/>
          <w:sz w:val="24"/>
          <w:szCs w:val="24"/>
        </w:rPr>
        <w:t>ë</w:t>
      </w:r>
      <w:r w:rsidR="00176499" w:rsidRPr="004979D2">
        <w:rPr>
          <w:rFonts w:ascii="Times New Roman" w:hAnsi="Times New Roman" w:cs="Times New Roman"/>
          <w:sz w:val="24"/>
          <w:szCs w:val="24"/>
        </w:rPr>
        <w:t xml:space="preserve">, dhe </w:t>
      </w:r>
      <w:proofErr w:type="spellStart"/>
      <w:r w:rsidR="00176499" w:rsidRPr="004979D2">
        <w:rPr>
          <w:rFonts w:ascii="Times New Roman" w:hAnsi="Times New Roman" w:cs="Times New Roman"/>
          <w:i/>
          <w:sz w:val="24"/>
          <w:szCs w:val="24"/>
        </w:rPr>
        <w:t>Acquis</w:t>
      </w:r>
      <w:proofErr w:type="spellEnd"/>
      <w:r w:rsidR="009024E2" w:rsidRPr="004979D2">
        <w:rPr>
          <w:rFonts w:ascii="Times New Roman" w:hAnsi="Times New Roman" w:cs="Times New Roman"/>
          <w:sz w:val="24"/>
          <w:szCs w:val="24"/>
        </w:rPr>
        <w:t xml:space="preserve"> të BE-së</w:t>
      </w:r>
      <w:r w:rsidR="00FE7A1A" w:rsidRPr="004979D2">
        <w:rPr>
          <w:rFonts w:ascii="Times New Roman" w:hAnsi="Times New Roman" w:cs="Times New Roman"/>
          <w:sz w:val="24"/>
          <w:szCs w:val="24"/>
        </w:rPr>
        <w:t>,</w:t>
      </w:r>
      <w:r w:rsidR="00176499" w:rsidRPr="004979D2">
        <w:rPr>
          <w:rFonts w:ascii="Times New Roman" w:hAnsi="Times New Roman" w:cs="Times New Roman"/>
          <w:sz w:val="24"/>
          <w:szCs w:val="24"/>
        </w:rPr>
        <w:t xml:space="preserve"> shkakton mos </w:t>
      </w:r>
      <w:r w:rsidR="00546D83" w:rsidRPr="004979D2">
        <w:rPr>
          <w:rFonts w:ascii="Times New Roman" w:hAnsi="Times New Roman" w:cs="Times New Roman"/>
          <w:sz w:val="24"/>
          <w:szCs w:val="24"/>
        </w:rPr>
        <w:t>efikasitet në</w:t>
      </w:r>
      <w:r w:rsidR="00176499" w:rsidRPr="004979D2">
        <w:rPr>
          <w:rFonts w:ascii="Times New Roman" w:hAnsi="Times New Roman" w:cs="Times New Roman"/>
          <w:sz w:val="24"/>
          <w:szCs w:val="24"/>
        </w:rPr>
        <w:t xml:space="preserve"> funksionin e Autoritetit si dhe cenon konkurrencën </w:t>
      </w:r>
      <w:r w:rsidR="00546D83" w:rsidRPr="004979D2">
        <w:rPr>
          <w:rFonts w:ascii="Times New Roman" w:hAnsi="Times New Roman" w:cs="Times New Roman"/>
          <w:sz w:val="24"/>
          <w:szCs w:val="24"/>
        </w:rPr>
        <w:t>e lir</w:t>
      </w:r>
      <w:r w:rsidR="00BD1047" w:rsidRPr="004979D2">
        <w:rPr>
          <w:rFonts w:ascii="Times New Roman" w:hAnsi="Times New Roman" w:cs="Times New Roman"/>
          <w:sz w:val="24"/>
          <w:szCs w:val="24"/>
        </w:rPr>
        <w:t>ë</w:t>
      </w:r>
      <w:r w:rsidR="00546D83" w:rsidRPr="004979D2">
        <w:rPr>
          <w:rFonts w:ascii="Times New Roman" w:hAnsi="Times New Roman" w:cs="Times New Roman"/>
          <w:sz w:val="24"/>
          <w:szCs w:val="24"/>
        </w:rPr>
        <w:t xml:space="preserve"> në</w:t>
      </w:r>
      <w:r w:rsidR="00176499" w:rsidRPr="004979D2">
        <w:rPr>
          <w:rFonts w:ascii="Times New Roman" w:hAnsi="Times New Roman" w:cs="Times New Roman"/>
          <w:sz w:val="24"/>
          <w:szCs w:val="24"/>
        </w:rPr>
        <w:t xml:space="preserve"> tregun e </w:t>
      </w:r>
      <w:r w:rsidR="00546D83" w:rsidRPr="004979D2">
        <w:rPr>
          <w:rFonts w:ascii="Times New Roman" w:hAnsi="Times New Roman" w:cs="Times New Roman"/>
          <w:sz w:val="24"/>
          <w:szCs w:val="24"/>
        </w:rPr>
        <w:t>Kosovës</w:t>
      </w:r>
      <w:r w:rsidR="00176499" w:rsidRPr="004979D2">
        <w:rPr>
          <w:rFonts w:ascii="Times New Roman" w:hAnsi="Times New Roman" w:cs="Times New Roman"/>
          <w:sz w:val="24"/>
          <w:szCs w:val="24"/>
        </w:rPr>
        <w:t>. Andaj</w:t>
      </w:r>
      <w:r w:rsidR="002B714B" w:rsidRPr="004979D2">
        <w:rPr>
          <w:rFonts w:ascii="Times New Roman" w:hAnsi="Times New Roman" w:cs="Times New Roman"/>
          <w:sz w:val="24"/>
          <w:szCs w:val="24"/>
        </w:rPr>
        <w:t>,</w:t>
      </w:r>
      <w:r w:rsidR="00176499" w:rsidRPr="004979D2">
        <w:rPr>
          <w:rFonts w:ascii="Times New Roman" w:hAnsi="Times New Roman" w:cs="Times New Roman"/>
          <w:sz w:val="24"/>
          <w:szCs w:val="24"/>
        </w:rPr>
        <w:t xml:space="preserve"> përkufizimi </w:t>
      </w:r>
      <w:r w:rsidR="00546D83" w:rsidRPr="004979D2">
        <w:rPr>
          <w:rFonts w:ascii="Times New Roman" w:hAnsi="Times New Roman" w:cs="Times New Roman"/>
          <w:sz w:val="24"/>
          <w:szCs w:val="24"/>
        </w:rPr>
        <w:t>i problemit në</w:t>
      </w:r>
      <w:r w:rsidR="00176499" w:rsidRPr="004979D2">
        <w:rPr>
          <w:rFonts w:ascii="Times New Roman" w:hAnsi="Times New Roman" w:cs="Times New Roman"/>
          <w:sz w:val="24"/>
          <w:szCs w:val="24"/>
        </w:rPr>
        <w:t xml:space="preserve"> </w:t>
      </w:r>
      <w:r w:rsidR="00546D83" w:rsidRPr="004979D2">
        <w:rPr>
          <w:rFonts w:ascii="Times New Roman" w:hAnsi="Times New Roman" w:cs="Times New Roman"/>
          <w:sz w:val="24"/>
          <w:szCs w:val="24"/>
        </w:rPr>
        <w:t>këtë Koncept Dokument do të</w:t>
      </w:r>
      <w:r w:rsidR="00176499" w:rsidRPr="004979D2">
        <w:rPr>
          <w:rFonts w:ascii="Times New Roman" w:hAnsi="Times New Roman" w:cs="Times New Roman"/>
          <w:sz w:val="24"/>
          <w:szCs w:val="24"/>
        </w:rPr>
        <w:t xml:space="preserve"> </w:t>
      </w:r>
      <w:r w:rsidR="00546D83" w:rsidRPr="004979D2">
        <w:rPr>
          <w:rFonts w:ascii="Times New Roman" w:hAnsi="Times New Roman" w:cs="Times New Roman"/>
          <w:sz w:val="24"/>
          <w:szCs w:val="24"/>
        </w:rPr>
        <w:t>mbështetet në</w:t>
      </w:r>
      <w:r w:rsidR="00176499" w:rsidRPr="004979D2">
        <w:rPr>
          <w:rFonts w:ascii="Times New Roman" w:hAnsi="Times New Roman" w:cs="Times New Roman"/>
          <w:sz w:val="24"/>
          <w:szCs w:val="24"/>
        </w:rPr>
        <w:t xml:space="preserve"> këto tre dimensione. </w:t>
      </w:r>
    </w:p>
    <w:p w14:paraId="196680CB" w14:textId="4983E163" w:rsidR="00B15C8D" w:rsidRPr="004979D2" w:rsidRDefault="001D7987"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Në</w:t>
      </w:r>
      <w:r w:rsidR="00176499" w:rsidRPr="004979D2">
        <w:rPr>
          <w:rFonts w:ascii="Times New Roman" w:hAnsi="Times New Roman" w:cs="Times New Roman"/>
          <w:sz w:val="24"/>
          <w:szCs w:val="24"/>
        </w:rPr>
        <w:t xml:space="preserve"> përkufizimin e </w:t>
      </w:r>
      <w:r w:rsidR="00FC1E39" w:rsidRPr="004979D2">
        <w:rPr>
          <w:rFonts w:ascii="Times New Roman" w:hAnsi="Times New Roman" w:cs="Times New Roman"/>
          <w:sz w:val="24"/>
          <w:szCs w:val="24"/>
        </w:rPr>
        <w:t xml:space="preserve">problemit </w:t>
      </w:r>
      <w:r w:rsidRPr="004979D2">
        <w:rPr>
          <w:rFonts w:ascii="Times New Roman" w:hAnsi="Times New Roman" w:cs="Times New Roman"/>
          <w:color w:val="000000" w:themeColor="text1"/>
          <w:sz w:val="24"/>
          <w:szCs w:val="24"/>
        </w:rPr>
        <w:t>janë</w:t>
      </w:r>
      <w:r w:rsidR="00176499" w:rsidRPr="004979D2">
        <w:rPr>
          <w:rFonts w:ascii="Times New Roman" w:hAnsi="Times New Roman" w:cs="Times New Roman"/>
          <w:color w:val="000000" w:themeColor="text1"/>
          <w:sz w:val="24"/>
          <w:szCs w:val="24"/>
        </w:rPr>
        <w:t xml:space="preserve"> konsultuar </w:t>
      </w:r>
      <w:proofErr w:type="spellStart"/>
      <w:r w:rsidR="00176499" w:rsidRPr="004979D2">
        <w:rPr>
          <w:rFonts w:ascii="Times New Roman" w:hAnsi="Times New Roman" w:cs="Times New Roman"/>
          <w:color w:val="000000" w:themeColor="text1"/>
          <w:sz w:val="24"/>
          <w:szCs w:val="24"/>
        </w:rPr>
        <w:t>inputet</w:t>
      </w:r>
      <w:proofErr w:type="spellEnd"/>
      <w:r w:rsidR="00176499" w:rsidRPr="004979D2">
        <w:rPr>
          <w:rFonts w:ascii="Times New Roman" w:hAnsi="Times New Roman" w:cs="Times New Roman"/>
          <w:color w:val="000000" w:themeColor="text1"/>
          <w:sz w:val="24"/>
          <w:szCs w:val="24"/>
        </w:rPr>
        <w:t xml:space="preserve"> </w:t>
      </w:r>
      <w:r w:rsidR="00176499" w:rsidRPr="004979D2">
        <w:rPr>
          <w:rFonts w:ascii="Times New Roman" w:hAnsi="Times New Roman" w:cs="Times New Roman"/>
          <w:sz w:val="24"/>
          <w:szCs w:val="24"/>
        </w:rPr>
        <w:t xml:space="preserve">nga: </w:t>
      </w:r>
      <w:r w:rsidR="00FC1E39" w:rsidRPr="004979D2">
        <w:rPr>
          <w:rFonts w:ascii="Times New Roman" w:hAnsi="Times New Roman" w:cs="Times New Roman"/>
          <w:sz w:val="24"/>
          <w:szCs w:val="24"/>
        </w:rPr>
        <w:t xml:space="preserve">konsultimet publike </w:t>
      </w:r>
      <w:r w:rsidR="00176499" w:rsidRPr="004979D2">
        <w:rPr>
          <w:rFonts w:ascii="Times New Roman" w:hAnsi="Times New Roman" w:cs="Times New Roman"/>
          <w:sz w:val="24"/>
          <w:szCs w:val="24"/>
        </w:rPr>
        <w:t xml:space="preserve">me palët e interesit, ligjet, aktet nënligjore dhe raportet e </w:t>
      </w:r>
      <w:r w:rsidRPr="004979D2">
        <w:rPr>
          <w:rFonts w:ascii="Times New Roman" w:hAnsi="Times New Roman" w:cs="Times New Roman"/>
          <w:sz w:val="24"/>
          <w:szCs w:val="24"/>
        </w:rPr>
        <w:t>ndryshme që</w:t>
      </w:r>
      <w:r w:rsidR="00176499" w:rsidRPr="004979D2">
        <w:rPr>
          <w:rFonts w:ascii="Times New Roman" w:hAnsi="Times New Roman" w:cs="Times New Roman"/>
          <w:sz w:val="24"/>
          <w:szCs w:val="24"/>
        </w:rPr>
        <w:t xml:space="preserve"> e kan</w:t>
      </w:r>
      <w:r w:rsidR="00FE7A1A" w:rsidRPr="004979D2">
        <w:rPr>
          <w:rFonts w:ascii="Times New Roman" w:hAnsi="Times New Roman" w:cs="Times New Roman"/>
          <w:sz w:val="24"/>
          <w:szCs w:val="24"/>
        </w:rPr>
        <w:t>ë</w:t>
      </w:r>
      <w:r w:rsidR="00176499" w:rsidRPr="004979D2">
        <w:rPr>
          <w:rFonts w:ascii="Times New Roman" w:hAnsi="Times New Roman" w:cs="Times New Roman"/>
          <w:sz w:val="24"/>
          <w:szCs w:val="24"/>
        </w:rPr>
        <w:t xml:space="preserve"> analizuar </w:t>
      </w:r>
      <w:r w:rsidRPr="004979D2">
        <w:rPr>
          <w:rFonts w:ascii="Times New Roman" w:hAnsi="Times New Roman" w:cs="Times New Roman"/>
          <w:sz w:val="24"/>
          <w:szCs w:val="24"/>
        </w:rPr>
        <w:t>këtë</w:t>
      </w:r>
      <w:r w:rsidR="00176499" w:rsidRPr="004979D2">
        <w:rPr>
          <w:rFonts w:ascii="Times New Roman" w:hAnsi="Times New Roman" w:cs="Times New Roman"/>
          <w:sz w:val="24"/>
          <w:szCs w:val="24"/>
        </w:rPr>
        <w:t xml:space="preserve"> </w:t>
      </w:r>
      <w:r w:rsidR="00BA20AF" w:rsidRPr="004979D2">
        <w:rPr>
          <w:rFonts w:ascii="Times New Roman" w:hAnsi="Times New Roman" w:cs="Times New Roman"/>
          <w:sz w:val="24"/>
          <w:szCs w:val="24"/>
        </w:rPr>
        <w:t>institucion</w:t>
      </w:r>
      <w:r w:rsidRPr="004979D2">
        <w:rPr>
          <w:rFonts w:ascii="Times New Roman" w:hAnsi="Times New Roman" w:cs="Times New Roman"/>
          <w:sz w:val="24"/>
          <w:szCs w:val="24"/>
        </w:rPr>
        <w:t xml:space="preserve"> më herët</w:t>
      </w:r>
      <w:r w:rsidR="00176499" w:rsidRPr="004979D2">
        <w:rPr>
          <w:rFonts w:ascii="Times New Roman" w:hAnsi="Times New Roman" w:cs="Times New Roman"/>
          <w:sz w:val="24"/>
          <w:szCs w:val="24"/>
        </w:rPr>
        <w:t xml:space="preserve">, këtu </w:t>
      </w:r>
      <w:r w:rsidR="00B15C8D" w:rsidRPr="004979D2">
        <w:rPr>
          <w:rFonts w:ascii="Times New Roman" w:hAnsi="Times New Roman" w:cs="Times New Roman"/>
          <w:sz w:val="24"/>
          <w:szCs w:val="24"/>
        </w:rPr>
        <w:t>përfshihen:</w:t>
      </w:r>
      <w:r w:rsidR="00CC77E9" w:rsidRPr="004979D2">
        <w:rPr>
          <w:rFonts w:ascii="Times New Roman" w:hAnsi="Times New Roman" w:cs="Times New Roman"/>
          <w:sz w:val="24"/>
          <w:szCs w:val="24"/>
        </w:rPr>
        <w:t xml:space="preserve"> </w:t>
      </w:r>
    </w:p>
    <w:p w14:paraId="0C67BAF3" w14:textId="202CEDA8" w:rsidR="00B15C8D" w:rsidRPr="004979D2" w:rsidRDefault="00B15C8D" w:rsidP="002B1BC6">
      <w:pPr>
        <w:pStyle w:val="ListParagraph"/>
        <w:numPr>
          <w:ilvl w:val="0"/>
          <w:numId w:val="21"/>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Raporti Vjetor i AKK 2017</w:t>
      </w:r>
      <w:r w:rsidR="006824F7" w:rsidRPr="004979D2">
        <w:rPr>
          <w:rStyle w:val="FootnoteReference"/>
          <w:rFonts w:ascii="Times New Roman" w:hAnsi="Times New Roman" w:cs="Times New Roman"/>
          <w:sz w:val="24"/>
          <w:szCs w:val="24"/>
        </w:rPr>
        <w:footnoteReference w:id="1"/>
      </w:r>
      <w:r w:rsidR="00BF051B" w:rsidRPr="004979D2">
        <w:rPr>
          <w:rFonts w:ascii="Times New Roman" w:hAnsi="Times New Roman" w:cs="Times New Roman"/>
          <w:sz w:val="24"/>
          <w:szCs w:val="24"/>
        </w:rPr>
        <w:t xml:space="preserve"> </w:t>
      </w:r>
    </w:p>
    <w:p w14:paraId="027BAF88" w14:textId="34B0DA25" w:rsidR="00B15C8D" w:rsidRPr="004979D2" w:rsidRDefault="00B15C8D" w:rsidP="002B1BC6">
      <w:pPr>
        <w:pStyle w:val="ListParagraph"/>
        <w:numPr>
          <w:ilvl w:val="0"/>
          <w:numId w:val="21"/>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Raporti për </w:t>
      </w:r>
      <w:proofErr w:type="spellStart"/>
      <w:r w:rsidRPr="004979D2">
        <w:rPr>
          <w:rFonts w:ascii="Times New Roman" w:hAnsi="Times New Roman" w:cs="Times New Roman"/>
          <w:sz w:val="24"/>
          <w:szCs w:val="24"/>
        </w:rPr>
        <w:t>P</w:t>
      </w:r>
      <w:r w:rsidR="00FE7A1A" w:rsidRPr="004979D2">
        <w:rPr>
          <w:rFonts w:ascii="Times New Roman" w:hAnsi="Times New Roman" w:cs="Times New Roman"/>
          <w:sz w:val="24"/>
          <w:szCs w:val="24"/>
        </w:rPr>
        <w:t>ë</w:t>
      </w:r>
      <w:r w:rsidRPr="004979D2">
        <w:rPr>
          <w:rFonts w:ascii="Times New Roman" w:hAnsi="Times New Roman" w:cs="Times New Roman"/>
          <w:sz w:val="24"/>
          <w:szCs w:val="24"/>
        </w:rPr>
        <w:t>rformancën</w:t>
      </w:r>
      <w:proofErr w:type="spellEnd"/>
      <w:r w:rsidRPr="004979D2">
        <w:rPr>
          <w:rFonts w:ascii="Times New Roman" w:hAnsi="Times New Roman" w:cs="Times New Roman"/>
          <w:sz w:val="24"/>
          <w:szCs w:val="24"/>
        </w:rPr>
        <w:t xml:space="preserve"> e Autoriteti të Konkurrencës (GLPS)</w:t>
      </w:r>
      <w:r w:rsidR="006824F7" w:rsidRPr="004979D2">
        <w:rPr>
          <w:rStyle w:val="FootnoteReference"/>
          <w:rFonts w:ascii="Times New Roman" w:hAnsi="Times New Roman" w:cs="Times New Roman"/>
          <w:sz w:val="24"/>
          <w:szCs w:val="24"/>
        </w:rPr>
        <w:footnoteReference w:id="2"/>
      </w:r>
      <w:r w:rsidR="00BF051B" w:rsidRPr="004979D2">
        <w:rPr>
          <w:rFonts w:ascii="Times New Roman" w:hAnsi="Times New Roman" w:cs="Times New Roman"/>
          <w:sz w:val="24"/>
          <w:szCs w:val="24"/>
        </w:rPr>
        <w:t xml:space="preserve"> </w:t>
      </w:r>
    </w:p>
    <w:p w14:paraId="5E09B12C" w14:textId="77777777" w:rsidR="00B15C8D" w:rsidRPr="004979D2" w:rsidRDefault="00B15C8D" w:rsidP="002B1BC6">
      <w:pPr>
        <w:pStyle w:val="ListParagraph"/>
        <w:numPr>
          <w:ilvl w:val="0"/>
          <w:numId w:val="21"/>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R</w:t>
      </w:r>
      <w:r w:rsidR="00CC77E9" w:rsidRPr="004979D2">
        <w:rPr>
          <w:rFonts w:ascii="Times New Roman" w:hAnsi="Times New Roman" w:cs="Times New Roman"/>
          <w:sz w:val="24"/>
          <w:szCs w:val="24"/>
        </w:rPr>
        <w:t>aporti</w:t>
      </w:r>
      <w:r w:rsidRPr="004979D2">
        <w:rPr>
          <w:rFonts w:ascii="Times New Roman" w:hAnsi="Times New Roman" w:cs="Times New Roman"/>
          <w:sz w:val="24"/>
          <w:szCs w:val="24"/>
        </w:rPr>
        <w:t xml:space="preserve"> </w:t>
      </w:r>
      <w:r w:rsidR="00CC77E9" w:rsidRPr="004979D2">
        <w:rPr>
          <w:rFonts w:ascii="Times New Roman" w:hAnsi="Times New Roman" w:cs="Times New Roman"/>
          <w:sz w:val="24"/>
          <w:szCs w:val="24"/>
        </w:rPr>
        <w:t>“</w:t>
      </w:r>
      <w:r w:rsidR="00176499" w:rsidRPr="004979D2">
        <w:rPr>
          <w:rFonts w:ascii="Times New Roman" w:hAnsi="Times New Roman" w:cs="Times New Roman"/>
          <w:sz w:val="24"/>
          <w:szCs w:val="24"/>
        </w:rPr>
        <w:t xml:space="preserve">GAP </w:t>
      </w:r>
      <w:proofErr w:type="spellStart"/>
      <w:r w:rsidR="00176499" w:rsidRPr="004979D2">
        <w:rPr>
          <w:rFonts w:ascii="Times New Roman" w:hAnsi="Times New Roman" w:cs="Times New Roman"/>
          <w:sz w:val="24"/>
          <w:szCs w:val="24"/>
        </w:rPr>
        <w:t>Asses</w:t>
      </w:r>
      <w:r w:rsidR="00CC77E9" w:rsidRPr="004979D2">
        <w:rPr>
          <w:rFonts w:ascii="Times New Roman" w:hAnsi="Times New Roman" w:cs="Times New Roman"/>
          <w:sz w:val="24"/>
          <w:szCs w:val="24"/>
        </w:rPr>
        <w:t>s</w:t>
      </w:r>
      <w:r w:rsidR="00176499" w:rsidRPr="004979D2">
        <w:rPr>
          <w:rFonts w:ascii="Times New Roman" w:hAnsi="Times New Roman" w:cs="Times New Roman"/>
          <w:sz w:val="24"/>
          <w:szCs w:val="24"/>
        </w:rPr>
        <w:t>me</w:t>
      </w:r>
      <w:r w:rsidR="00CC77E9" w:rsidRPr="004979D2">
        <w:rPr>
          <w:rFonts w:ascii="Times New Roman" w:hAnsi="Times New Roman" w:cs="Times New Roman"/>
          <w:sz w:val="24"/>
          <w:szCs w:val="24"/>
        </w:rPr>
        <w:t>n</w:t>
      </w:r>
      <w:r w:rsidR="00176499" w:rsidRPr="004979D2">
        <w:rPr>
          <w:rFonts w:ascii="Times New Roman" w:hAnsi="Times New Roman" w:cs="Times New Roman"/>
          <w:sz w:val="24"/>
          <w:szCs w:val="24"/>
        </w:rPr>
        <w:t>t</w:t>
      </w:r>
      <w:proofErr w:type="spellEnd"/>
      <w:r w:rsidR="00176499" w:rsidRPr="004979D2">
        <w:rPr>
          <w:rFonts w:ascii="Times New Roman" w:hAnsi="Times New Roman" w:cs="Times New Roman"/>
          <w:sz w:val="24"/>
          <w:szCs w:val="24"/>
        </w:rPr>
        <w:t>”</w:t>
      </w:r>
      <w:r w:rsidR="001D7987" w:rsidRPr="004979D2">
        <w:rPr>
          <w:rFonts w:ascii="Times New Roman" w:hAnsi="Times New Roman" w:cs="Times New Roman"/>
          <w:sz w:val="24"/>
          <w:szCs w:val="24"/>
        </w:rPr>
        <w:t xml:space="preserve"> kapitullit të</w:t>
      </w:r>
      <w:r w:rsidR="00176499" w:rsidRPr="004979D2">
        <w:rPr>
          <w:rFonts w:ascii="Times New Roman" w:hAnsi="Times New Roman" w:cs="Times New Roman"/>
          <w:sz w:val="24"/>
          <w:szCs w:val="24"/>
        </w:rPr>
        <w:t xml:space="preserve"> 8</w:t>
      </w:r>
      <w:r w:rsidR="001D7987" w:rsidRPr="004979D2">
        <w:rPr>
          <w:rFonts w:ascii="Times New Roman" w:hAnsi="Times New Roman" w:cs="Times New Roman"/>
          <w:sz w:val="24"/>
          <w:szCs w:val="24"/>
        </w:rPr>
        <w:t xml:space="preserve">-të të </w:t>
      </w:r>
      <w:proofErr w:type="spellStart"/>
      <w:r w:rsidR="001D7987" w:rsidRPr="004979D2">
        <w:rPr>
          <w:rFonts w:ascii="Times New Roman" w:hAnsi="Times New Roman" w:cs="Times New Roman"/>
          <w:sz w:val="24"/>
          <w:szCs w:val="24"/>
        </w:rPr>
        <w:t>Acquis</w:t>
      </w:r>
      <w:proofErr w:type="spellEnd"/>
      <w:r w:rsidR="001D7987" w:rsidRPr="004979D2">
        <w:rPr>
          <w:rFonts w:ascii="Times New Roman" w:hAnsi="Times New Roman" w:cs="Times New Roman"/>
          <w:sz w:val="24"/>
          <w:szCs w:val="24"/>
        </w:rPr>
        <w:t>-së</w:t>
      </w:r>
      <w:r w:rsidR="00176499" w:rsidRPr="004979D2">
        <w:rPr>
          <w:rFonts w:ascii="Times New Roman" w:hAnsi="Times New Roman" w:cs="Times New Roman"/>
          <w:sz w:val="24"/>
          <w:szCs w:val="24"/>
        </w:rPr>
        <w:t xml:space="preserve">, </w:t>
      </w:r>
    </w:p>
    <w:p w14:paraId="34DECABE" w14:textId="3F60F00C" w:rsidR="00B15C8D" w:rsidRPr="004979D2" w:rsidRDefault="00B15C8D" w:rsidP="002B1BC6">
      <w:pPr>
        <w:pStyle w:val="ListParagraph"/>
        <w:numPr>
          <w:ilvl w:val="0"/>
          <w:numId w:val="21"/>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Raporti </w:t>
      </w:r>
      <w:r w:rsidR="006824F7" w:rsidRPr="004979D2">
        <w:rPr>
          <w:rFonts w:ascii="Times New Roman" w:hAnsi="Times New Roman" w:cs="Times New Roman"/>
          <w:sz w:val="24"/>
          <w:szCs w:val="24"/>
        </w:rPr>
        <w:t xml:space="preserve">i Komisionit Evropian </w:t>
      </w:r>
      <w:r w:rsidRPr="004979D2">
        <w:rPr>
          <w:rFonts w:ascii="Times New Roman" w:hAnsi="Times New Roman" w:cs="Times New Roman"/>
          <w:sz w:val="24"/>
          <w:szCs w:val="24"/>
        </w:rPr>
        <w:t>për Vendin 2018</w:t>
      </w:r>
      <w:r w:rsidR="006824F7" w:rsidRPr="004979D2">
        <w:rPr>
          <w:rStyle w:val="FootnoteReference"/>
          <w:rFonts w:ascii="Times New Roman" w:hAnsi="Times New Roman" w:cs="Times New Roman"/>
          <w:sz w:val="24"/>
          <w:szCs w:val="24"/>
        </w:rPr>
        <w:footnoteReference w:id="3"/>
      </w:r>
      <w:r w:rsidR="00BF051B" w:rsidRPr="004979D2">
        <w:rPr>
          <w:rFonts w:ascii="Times New Roman" w:hAnsi="Times New Roman" w:cs="Times New Roman"/>
          <w:sz w:val="24"/>
          <w:szCs w:val="24"/>
        </w:rPr>
        <w:t xml:space="preserve"> ()</w:t>
      </w:r>
      <w:r w:rsidR="006824F7" w:rsidRPr="004979D2">
        <w:rPr>
          <w:rFonts w:ascii="Times New Roman" w:hAnsi="Times New Roman" w:cs="Times New Roman"/>
          <w:sz w:val="24"/>
          <w:szCs w:val="24"/>
        </w:rPr>
        <w:t>, dhe</w:t>
      </w:r>
    </w:p>
    <w:p w14:paraId="621498C3" w14:textId="63AD256A" w:rsidR="00623738" w:rsidRPr="004979D2" w:rsidRDefault="00B15C8D" w:rsidP="002B1BC6">
      <w:pPr>
        <w:pStyle w:val="ListParagraph"/>
        <w:numPr>
          <w:ilvl w:val="0"/>
          <w:numId w:val="21"/>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A</w:t>
      </w:r>
      <w:r w:rsidR="00176499" w:rsidRPr="004979D2">
        <w:rPr>
          <w:rFonts w:ascii="Times New Roman" w:hAnsi="Times New Roman" w:cs="Times New Roman"/>
          <w:sz w:val="24"/>
          <w:szCs w:val="24"/>
        </w:rPr>
        <w:t xml:space="preserve">naliza e Grupit Punues </w:t>
      </w:r>
      <w:r w:rsidR="001D7987" w:rsidRPr="004979D2">
        <w:rPr>
          <w:rFonts w:ascii="Times New Roman" w:hAnsi="Times New Roman" w:cs="Times New Roman"/>
          <w:sz w:val="24"/>
          <w:szCs w:val="24"/>
        </w:rPr>
        <w:t>për h</w:t>
      </w:r>
      <w:r w:rsidR="00176499" w:rsidRPr="004979D2">
        <w:rPr>
          <w:rFonts w:ascii="Times New Roman" w:hAnsi="Times New Roman" w:cs="Times New Roman"/>
          <w:sz w:val="24"/>
          <w:szCs w:val="24"/>
        </w:rPr>
        <w:t>artimin e Koncept Dokumentit n</w:t>
      </w:r>
      <w:r w:rsidRPr="004979D2">
        <w:rPr>
          <w:rFonts w:ascii="Times New Roman" w:hAnsi="Times New Roman" w:cs="Times New Roman"/>
          <w:sz w:val="24"/>
          <w:szCs w:val="24"/>
        </w:rPr>
        <w:t>ë</w:t>
      </w:r>
      <w:r w:rsidR="00176499" w:rsidRPr="004979D2">
        <w:rPr>
          <w:rFonts w:ascii="Times New Roman" w:hAnsi="Times New Roman" w:cs="Times New Roman"/>
          <w:sz w:val="24"/>
          <w:szCs w:val="24"/>
        </w:rPr>
        <w:t xml:space="preserve"> fushën e </w:t>
      </w:r>
      <w:r w:rsidR="001D7987" w:rsidRPr="004979D2">
        <w:rPr>
          <w:rFonts w:ascii="Times New Roman" w:hAnsi="Times New Roman" w:cs="Times New Roman"/>
          <w:sz w:val="24"/>
          <w:szCs w:val="24"/>
        </w:rPr>
        <w:t>Konkurrencës</w:t>
      </w:r>
      <w:r w:rsidR="00176499" w:rsidRPr="004979D2">
        <w:rPr>
          <w:rFonts w:ascii="Times New Roman" w:hAnsi="Times New Roman" w:cs="Times New Roman"/>
          <w:sz w:val="24"/>
          <w:szCs w:val="24"/>
        </w:rPr>
        <w:t>.</w:t>
      </w:r>
      <w:r w:rsidR="006824F7" w:rsidRPr="004979D2">
        <w:rPr>
          <w:rStyle w:val="FootnoteReference"/>
          <w:rFonts w:ascii="Times New Roman" w:hAnsi="Times New Roman" w:cs="Times New Roman"/>
          <w:sz w:val="24"/>
          <w:szCs w:val="24"/>
        </w:rPr>
        <w:footnoteReference w:id="4"/>
      </w:r>
      <w:r w:rsidR="00176499" w:rsidRPr="004979D2">
        <w:rPr>
          <w:rFonts w:ascii="Times New Roman" w:hAnsi="Times New Roman" w:cs="Times New Roman"/>
          <w:sz w:val="24"/>
          <w:szCs w:val="24"/>
        </w:rPr>
        <w:t xml:space="preserve"> </w:t>
      </w:r>
      <w:r w:rsidR="00BF051B" w:rsidRPr="004979D2">
        <w:rPr>
          <w:rFonts w:ascii="Times New Roman" w:hAnsi="Times New Roman" w:cs="Times New Roman"/>
          <w:sz w:val="24"/>
          <w:szCs w:val="24"/>
        </w:rPr>
        <w:t xml:space="preserve"> </w:t>
      </w:r>
    </w:p>
    <w:p w14:paraId="5A5B9A65" w14:textId="5A9E7AE7" w:rsidR="00B24E1F" w:rsidRPr="004979D2" w:rsidRDefault="0069575C" w:rsidP="002B1BC6">
      <w:pPr>
        <w:pStyle w:val="Heading2"/>
        <w:numPr>
          <w:ilvl w:val="1"/>
          <w:numId w:val="50"/>
        </w:numPr>
        <w:tabs>
          <w:tab w:val="left" w:pos="0"/>
        </w:tabs>
        <w:spacing w:line="360" w:lineRule="auto"/>
        <w:rPr>
          <w:rFonts w:cs="Times New Roman"/>
          <w:szCs w:val="24"/>
        </w:rPr>
      </w:pPr>
      <w:bookmarkStart w:id="4" w:name="_Toc1114315"/>
      <w:r w:rsidRPr="004979D2">
        <w:rPr>
          <w:rFonts w:cs="Times New Roman"/>
          <w:szCs w:val="24"/>
        </w:rPr>
        <w:lastRenderedPageBreak/>
        <w:t xml:space="preserve">Analiza e </w:t>
      </w:r>
      <w:proofErr w:type="spellStart"/>
      <w:r w:rsidRPr="004979D2">
        <w:rPr>
          <w:rFonts w:cs="Times New Roman"/>
          <w:szCs w:val="24"/>
        </w:rPr>
        <w:t>T</w:t>
      </w:r>
      <w:r w:rsidR="00623738" w:rsidRPr="004979D2">
        <w:rPr>
          <w:rFonts w:cs="Times New Roman"/>
          <w:szCs w:val="24"/>
        </w:rPr>
        <w:t>ranspozimit</w:t>
      </w:r>
      <w:proofErr w:type="spellEnd"/>
      <w:r w:rsidR="00623738" w:rsidRPr="004979D2">
        <w:rPr>
          <w:rFonts w:cs="Times New Roman"/>
          <w:szCs w:val="24"/>
        </w:rPr>
        <w:t xml:space="preserve"> të </w:t>
      </w:r>
      <w:proofErr w:type="spellStart"/>
      <w:r w:rsidR="00623738" w:rsidRPr="004979D2">
        <w:rPr>
          <w:rFonts w:cs="Times New Roman"/>
          <w:i/>
          <w:szCs w:val="24"/>
        </w:rPr>
        <w:t>Acquis</w:t>
      </w:r>
      <w:proofErr w:type="spellEnd"/>
      <w:r w:rsidR="00623738" w:rsidRPr="004979D2">
        <w:rPr>
          <w:rFonts w:cs="Times New Roman"/>
          <w:i/>
          <w:szCs w:val="24"/>
        </w:rPr>
        <w:t xml:space="preserve"> </w:t>
      </w:r>
      <w:r w:rsidR="00623738" w:rsidRPr="004979D2">
        <w:rPr>
          <w:rFonts w:cs="Times New Roman"/>
          <w:szCs w:val="24"/>
        </w:rPr>
        <w:t>së BE-së</w:t>
      </w:r>
      <w:bookmarkEnd w:id="4"/>
    </w:p>
    <w:p w14:paraId="7D13125D" w14:textId="77777777" w:rsidR="00F64151" w:rsidRPr="004979D2" w:rsidRDefault="00F64151" w:rsidP="002B1BC6">
      <w:pPr>
        <w:spacing w:line="360" w:lineRule="auto"/>
        <w:rPr>
          <w:rFonts w:ascii="Times New Roman" w:hAnsi="Times New Roman" w:cs="Times New Roman"/>
          <w:sz w:val="24"/>
          <w:szCs w:val="24"/>
        </w:rPr>
      </w:pPr>
    </w:p>
    <w:p w14:paraId="148566C1" w14:textId="1A929196" w:rsidR="00012308" w:rsidRPr="004979D2" w:rsidRDefault="00012308" w:rsidP="002B1BC6">
      <w:pPr>
        <w:pStyle w:val="Heading3"/>
        <w:numPr>
          <w:ilvl w:val="2"/>
          <w:numId w:val="50"/>
        </w:numPr>
        <w:spacing w:line="360" w:lineRule="auto"/>
        <w:rPr>
          <w:rFonts w:cs="Times New Roman"/>
        </w:rPr>
      </w:pPr>
      <w:bookmarkStart w:id="5" w:name="_Toc965371"/>
      <w:bookmarkStart w:id="6" w:name="_Toc965432"/>
      <w:bookmarkStart w:id="7" w:name="_Toc1029628"/>
      <w:bookmarkStart w:id="8" w:name="_Toc1029684"/>
      <w:bookmarkStart w:id="9" w:name="_Toc1030036"/>
      <w:bookmarkStart w:id="10" w:name="_Toc1114316"/>
      <w:bookmarkEnd w:id="5"/>
      <w:bookmarkEnd w:id="6"/>
      <w:bookmarkEnd w:id="7"/>
      <w:bookmarkEnd w:id="8"/>
      <w:bookmarkEnd w:id="9"/>
      <w:r w:rsidRPr="004979D2">
        <w:rPr>
          <w:rFonts w:cs="Times New Roman"/>
        </w:rPr>
        <w:t xml:space="preserve">Zbatimi i Marrëveshjes së Stabilizim </w:t>
      </w:r>
      <w:proofErr w:type="spellStart"/>
      <w:r w:rsidRPr="004979D2">
        <w:rPr>
          <w:rFonts w:cs="Times New Roman"/>
        </w:rPr>
        <w:t>Asociimit</w:t>
      </w:r>
      <w:bookmarkEnd w:id="10"/>
      <w:proofErr w:type="spellEnd"/>
    </w:p>
    <w:p w14:paraId="5CC3AFB0" w14:textId="77777777" w:rsidR="00012308" w:rsidRPr="004979D2" w:rsidRDefault="00012308" w:rsidP="002B1BC6">
      <w:pPr>
        <w:pStyle w:val="ListParagraph"/>
        <w:spacing w:line="360" w:lineRule="auto"/>
        <w:ind w:left="1260"/>
        <w:rPr>
          <w:rFonts w:ascii="Times New Roman" w:hAnsi="Times New Roman" w:cs="Times New Roman"/>
          <w:sz w:val="24"/>
          <w:szCs w:val="24"/>
        </w:rPr>
      </w:pPr>
    </w:p>
    <w:p w14:paraId="28FCE85F" w14:textId="77777777" w:rsidR="00CF3745" w:rsidRPr="004979D2" w:rsidRDefault="00CF3745"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Përkufizimi i problemit fillon me një analizë të përgjithshme bazuar në Marrëveshjen e Stabilizim </w:t>
      </w:r>
      <w:proofErr w:type="spellStart"/>
      <w:r w:rsidRPr="004979D2">
        <w:rPr>
          <w:rFonts w:ascii="Times New Roman" w:hAnsi="Times New Roman" w:cs="Times New Roman"/>
          <w:sz w:val="24"/>
          <w:szCs w:val="24"/>
        </w:rPr>
        <w:t>Asociimit</w:t>
      </w:r>
      <w:proofErr w:type="spellEnd"/>
      <w:r w:rsidR="00FC1E39" w:rsidRPr="004979D2">
        <w:rPr>
          <w:rFonts w:ascii="Times New Roman" w:hAnsi="Times New Roman" w:cs="Times New Roman"/>
          <w:sz w:val="24"/>
          <w:szCs w:val="24"/>
        </w:rPr>
        <w:t xml:space="preserve"> (MSA)</w:t>
      </w:r>
      <w:r w:rsidRPr="004979D2">
        <w:rPr>
          <w:rFonts w:ascii="Times New Roman" w:hAnsi="Times New Roman" w:cs="Times New Roman"/>
          <w:sz w:val="24"/>
          <w:szCs w:val="24"/>
        </w:rPr>
        <w:t xml:space="preserve"> dhe Programin Kombëtar për Zbatimin e Marrëveshjes së Stabilizim </w:t>
      </w:r>
      <w:proofErr w:type="spellStart"/>
      <w:r w:rsidRPr="004979D2">
        <w:rPr>
          <w:rFonts w:ascii="Times New Roman" w:hAnsi="Times New Roman" w:cs="Times New Roman"/>
          <w:sz w:val="24"/>
          <w:szCs w:val="24"/>
        </w:rPr>
        <w:t>Asociimit</w:t>
      </w:r>
      <w:proofErr w:type="spellEnd"/>
      <w:r w:rsidRPr="004979D2">
        <w:rPr>
          <w:rFonts w:ascii="Times New Roman" w:hAnsi="Times New Roman" w:cs="Times New Roman"/>
          <w:sz w:val="24"/>
          <w:szCs w:val="24"/>
        </w:rPr>
        <w:t xml:space="preserve"> (PKZMSA) 2018-2022. </w:t>
      </w:r>
    </w:p>
    <w:p w14:paraId="76E4564E" w14:textId="1A98C31B" w:rsidR="00B24E1F" w:rsidRPr="004979D2" w:rsidRDefault="00B24E1F"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Sa i përket politikave të konkurrencës, dispozitat e MSA-së kërkojnë që Republika e Kosovës të zbatojë rregullat e konkurrencës dhe gradualisht të përafroj legjislacionin e saj me legjislacionin e BE-së duke filluar nga hyrja në fuqi e Marrëveshjes (nenet 74, 75 të MSA-së).Më konkretisht, neni 75 </w:t>
      </w:r>
      <w:r w:rsidRPr="004979D2">
        <w:rPr>
          <w:rFonts w:ascii="Times New Roman" w:hAnsi="Times New Roman" w:cs="Times New Roman"/>
          <w:i/>
          <w:sz w:val="24"/>
          <w:szCs w:val="24"/>
        </w:rPr>
        <w:t>“Konkurrenca dhe Dispozitat tjera”</w:t>
      </w:r>
      <w:r w:rsidRPr="004979D2">
        <w:rPr>
          <w:rFonts w:ascii="Times New Roman" w:hAnsi="Times New Roman" w:cs="Times New Roman"/>
          <w:sz w:val="24"/>
          <w:szCs w:val="24"/>
        </w:rPr>
        <w:t xml:space="preserve"> definon përgjegjësitë e Autoritetit të Konkurrencës dhe ofron kornizën për funksionimin e marrëveshjes në lidhje me tregtinë mes BE-së dhe Kosovës në të gjitha marrëveshjet midis ndërmarrjeve, vendimet nga grupe ndërmarrjesh dhe praktikat e bashkërenduara midis ndërmarrjeve që parandalojnë, kufizojnë ose çrregullojnë konkurrencën. </w:t>
      </w:r>
    </w:p>
    <w:p w14:paraId="30CFDF2E" w14:textId="77777777" w:rsidR="00CF3745" w:rsidRPr="004979D2" w:rsidRDefault="00FC1E39"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Në PKZMSA, përkatësisht</w:t>
      </w:r>
      <w:r w:rsidR="00CF3745" w:rsidRPr="004979D2">
        <w:rPr>
          <w:rFonts w:ascii="Times New Roman" w:hAnsi="Times New Roman" w:cs="Times New Roman"/>
          <w:sz w:val="24"/>
          <w:szCs w:val="24"/>
        </w:rPr>
        <w:t xml:space="preserve"> në bllokun tre: “</w:t>
      </w:r>
      <w:r w:rsidR="00CF3745" w:rsidRPr="004979D2">
        <w:rPr>
          <w:rFonts w:ascii="Times New Roman" w:hAnsi="Times New Roman" w:cs="Times New Roman"/>
          <w:i/>
          <w:sz w:val="24"/>
          <w:szCs w:val="24"/>
        </w:rPr>
        <w:t xml:space="preserve">Standardet  Evropiane – Përafrimi i Legjislacionit të Kosovës me </w:t>
      </w:r>
      <w:proofErr w:type="spellStart"/>
      <w:r w:rsidR="00CF3745" w:rsidRPr="004979D2">
        <w:rPr>
          <w:rFonts w:ascii="Times New Roman" w:hAnsi="Times New Roman" w:cs="Times New Roman"/>
          <w:i/>
          <w:sz w:val="24"/>
          <w:szCs w:val="24"/>
        </w:rPr>
        <w:t>acquis</w:t>
      </w:r>
      <w:proofErr w:type="spellEnd"/>
      <w:r w:rsidR="00CF3745" w:rsidRPr="004979D2">
        <w:rPr>
          <w:rFonts w:ascii="Times New Roman" w:hAnsi="Times New Roman" w:cs="Times New Roman"/>
          <w:i/>
          <w:sz w:val="24"/>
          <w:szCs w:val="24"/>
        </w:rPr>
        <w:t xml:space="preserve"> së BE-së në kapitullin 8 - Politikat e Konkurrencës</w:t>
      </w:r>
      <w:r w:rsidR="00CF3745" w:rsidRPr="004979D2">
        <w:rPr>
          <w:rFonts w:ascii="Times New Roman" w:hAnsi="Times New Roman" w:cs="Times New Roman"/>
          <w:sz w:val="24"/>
          <w:szCs w:val="24"/>
        </w:rPr>
        <w:t>”</w:t>
      </w:r>
      <w:r w:rsidRPr="004979D2">
        <w:rPr>
          <w:rFonts w:ascii="Times New Roman" w:hAnsi="Times New Roman" w:cs="Times New Roman"/>
          <w:sz w:val="24"/>
          <w:szCs w:val="24"/>
        </w:rPr>
        <w:t>, AKK</w:t>
      </w:r>
      <w:r w:rsidR="00CF3745" w:rsidRPr="004979D2">
        <w:rPr>
          <w:rFonts w:ascii="Times New Roman" w:hAnsi="Times New Roman" w:cs="Times New Roman"/>
          <w:sz w:val="24"/>
          <w:szCs w:val="24"/>
        </w:rPr>
        <w:t xml:space="preserve"> ka listuar një numër masash afatshkurtër dhe afatmesme të cilat duhet të realizohen në periudhën e paraparë në MSA. </w:t>
      </w:r>
    </w:p>
    <w:p w14:paraId="48D219DF" w14:textId="46E467AC" w:rsidR="001622C0" w:rsidRPr="004979D2" w:rsidRDefault="00CF3745"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Kosova obligohet të përafroj legjislacionin vendor me </w:t>
      </w:r>
      <w:proofErr w:type="spellStart"/>
      <w:r w:rsidRPr="004979D2">
        <w:rPr>
          <w:rFonts w:ascii="Times New Roman" w:hAnsi="Times New Roman" w:cs="Times New Roman"/>
          <w:i/>
          <w:sz w:val="24"/>
          <w:szCs w:val="24"/>
        </w:rPr>
        <w:t>Acquis</w:t>
      </w:r>
      <w:proofErr w:type="spellEnd"/>
      <w:r w:rsidRPr="004979D2">
        <w:rPr>
          <w:rFonts w:ascii="Times New Roman" w:hAnsi="Times New Roman" w:cs="Times New Roman"/>
          <w:i/>
          <w:sz w:val="24"/>
          <w:szCs w:val="24"/>
        </w:rPr>
        <w:t xml:space="preserve"> </w:t>
      </w:r>
      <w:r w:rsidRPr="004979D2">
        <w:rPr>
          <w:rFonts w:ascii="Times New Roman" w:hAnsi="Times New Roman" w:cs="Times New Roman"/>
          <w:sz w:val="24"/>
          <w:szCs w:val="24"/>
        </w:rPr>
        <w:t xml:space="preserve">të BE-së. </w:t>
      </w:r>
      <w:r w:rsidR="008E599F" w:rsidRPr="004979D2">
        <w:rPr>
          <w:rFonts w:ascii="Times New Roman" w:hAnsi="Times New Roman" w:cs="Times New Roman"/>
          <w:sz w:val="24"/>
          <w:szCs w:val="24"/>
        </w:rPr>
        <w:t>Sa i përket legjislacionit të BE-së, duke u bazuar në k</w:t>
      </w:r>
      <w:r w:rsidR="00BB7593" w:rsidRPr="004979D2">
        <w:rPr>
          <w:rFonts w:ascii="Times New Roman" w:hAnsi="Times New Roman" w:cs="Times New Roman"/>
          <w:sz w:val="24"/>
          <w:szCs w:val="24"/>
        </w:rPr>
        <w:t>apitulli</w:t>
      </w:r>
      <w:r w:rsidR="008E599F" w:rsidRPr="004979D2">
        <w:rPr>
          <w:rFonts w:ascii="Times New Roman" w:hAnsi="Times New Roman" w:cs="Times New Roman"/>
          <w:sz w:val="24"/>
          <w:szCs w:val="24"/>
        </w:rPr>
        <w:t>n</w:t>
      </w:r>
      <w:r w:rsidR="00BB7593" w:rsidRPr="004979D2">
        <w:rPr>
          <w:rFonts w:ascii="Times New Roman" w:hAnsi="Times New Roman" w:cs="Times New Roman"/>
          <w:sz w:val="24"/>
          <w:szCs w:val="24"/>
        </w:rPr>
        <w:t xml:space="preserve"> </w:t>
      </w:r>
      <w:r w:rsidR="008E599F" w:rsidRPr="004979D2">
        <w:rPr>
          <w:rFonts w:ascii="Times New Roman" w:hAnsi="Times New Roman" w:cs="Times New Roman"/>
          <w:sz w:val="24"/>
          <w:szCs w:val="24"/>
        </w:rPr>
        <w:t xml:space="preserve">e </w:t>
      </w:r>
      <w:r w:rsidR="00BB7593" w:rsidRPr="004979D2">
        <w:rPr>
          <w:rFonts w:ascii="Times New Roman" w:hAnsi="Times New Roman" w:cs="Times New Roman"/>
          <w:sz w:val="24"/>
          <w:szCs w:val="24"/>
        </w:rPr>
        <w:t>8</w:t>
      </w:r>
      <w:r w:rsidR="008E599F" w:rsidRPr="004979D2">
        <w:rPr>
          <w:rFonts w:ascii="Times New Roman" w:hAnsi="Times New Roman" w:cs="Times New Roman"/>
          <w:sz w:val="24"/>
          <w:szCs w:val="24"/>
        </w:rPr>
        <w:t>-të</w:t>
      </w:r>
      <w:r w:rsidR="00BB7593" w:rsidRPr="004979D2">
        <w:rPr>
          <w:rFonts w:ascii="Times New Roman" w:hAnsi="Times New Roman" w:cs="Times New Roman"/>
          <w:sz w:val="24"/>
          <w:szCs w:val="24"/>
        </w:rPr>
        <w:t xml:space="preserve"> </w:t>
      </w:r>
      <w:r w:rsidR="008E599F" w:rsidRPr="004979D2">
        <w:rPr>
          <w:rFonts w:ascii="Times New Roman" w:hAnsi="Times New Roman" w:cs="Times New Roman"/>
          <w:sz w:val="24"/>
          <w:szCs w:val="24"/>
        </w:rPr>
        <w:t>të</w:t>
      </w:r>
      <w:r w:rsidR="00BB7593" w:rsidRPr="004979D2">
        <w:rPr>
          <w:rFonts w:ascii="Times New Roman" w:hAnsi="Times New Roman" w:cs="Times New Roman"/>
          <w:sz w:val="24"/>
          <w:szCs w:val="24"/>
        </w:rPr>
        <w:t xml:space="preserve"> </w:t>
      </w:r>
      <w:proofErr w:type="spellStart"/>
      <w:r w:rsidR="008E599F" w:rsidRPr="004979D2">
        <w:rPr>
          <w:rFonts w:ascii="Times New Roman" w:hAnsi="Times New Roman" w:cs="Times New Roman"/>
          <w:i/>
          <w:sz w:val="24"/>
          <w:szCs w:val="24"/>
        </w:rPr>
        <w:t>A</w:t>
      </w:r>
      <w:r w:rsidR="00BB7593" w:rsidRPr="004979D2">
        <w:rPr>
          <w:rFonts w:ascii="Times New Roman" w:hAnsi="Times New Roman" w:cs="Times New Roman"/>
          <w:i/>
          <w:sz w:val="24"/>
          <w:szCs w:val="24"/>
        </w:rPr>
        <w:t>cquis</w:t>
      </w:r>
      <w:proofErr w:type="spellEnd"/>
      <w:r w:rsidR="00FC1E39" w:rsidRPr="004979D2">
        <w:rPr>
          <w:rFonts w:ascii="Times New Roman" w:hAnsi="Times New Roman" w:cs="Times New Roman"/>
          <w:sz w:val="24"/>
          <w:szCs w:val="24"/>
        </w:rPr>
        <w:t>-</w:t>
      </w:r>
      <w:r w:rsidR="008E599F" w:rsidRPr="004979D2">
        <w:rPr>
          <w:rFonts w:ascii="Times New Roman" w:hAnsi="Times New Roman" w:cs="Times New Roman"/>
          <w:sz w:val="24"/>
          <w:szCs w:val="24"/>
        </w:rPr>
        <w:t xml:space="preserve"> p</w:t>
      </w:r>
      <w:r w:rsidR="00BB7593" w:rsidRPr="004979D2">
        <w:rPr>
          <w:rFonts w:ascii="Times New Roman" w:hAnsi="Times New Roman" w:cs="Times New Roman"/>
          <w:sz w:val="24"/>
          <w:szCs w:val="24"/>
        </w:rPr>
        <w:t>olitika e konkurrencës</w:t>
      </w:r>
      <w:bookmarkEnd w:id="3"/>
      <w:r w:rsidR="00BB7593" w:rsidRPr="004979D2">
        <w:rPr>
          <w:rFonts w:ascii="Times New Roman" w:hAnsi="Times New Roman" w:cs="Times New Roman"/>
          <w:sz w:val="24"/>
          <w:szCs w:val="24"/>
        </w:rPr>
        <w:t xml:space="preserve"> është një nga parimet bazë të tregut të brendshëm të BE</w:t>
      </w:r>
      <w:r w:rsidR="008E599F" w:rsidRPr="004979D2">
        <w:rPr>
          <w:rFonts w:ascii="Times New Roman" w:hAnsi="Times New Roman" w:cs="Times New Roman"/>
          <w:sz w:val="24"/>
          <w:szCs w:val="24"/>
        </w:rPr>
        <w:t>-së</w:t>
      </w:r>
      <w:r w:rsidR="00BB7593" w:rsidRPr="004979D2">
        <w:rPr>
          <w:rFonts w:ascii="Times New Roman" w:hAnsi="Times New Roman" w:cs="Times New Roman"/>
          <w:sz w:val="24"/>
          <w:szCs w:val="24"/>
        </w:rPr>
        <w:t xml:space="preserve">. </w:t>
      </w:r>
      <w:proofErr w:type="spellStart"/>
      <w:r w:rsidR="00BB7593" w:rsidRPr="004979D2">
        <w:rPr>
          <w:rFonts w:ascii="Times New Roman" w:hAnsi="Times New Roman" w:cs="Times New Roman"/>
          <w:i/>
          <w:sz w:val="24"/>
          <w:szCs w:val="24"/>
        </w:rPr>
        <w:t>Acquis</w:t>
      </w:r>
      <w:proofErr w:type="spellEnd"/>
      <w:r w:rsidR="00BB7593" w:rsidRPr="004979D2">
        <w:rPr>
          <w:rFonts w:ascii="Times New Roman" w:hAnsi="Times New Roman" w:cs="Times New Roman"/>
          <w:sz w:val="24"/>
          <w:szCs w:val="24"/>
        </w:rPr>
        <w:t xml:space="preserve"> në fushën e konkurrencës përfshin </w:t>
      </w:r>
      <w:proofErr w:type="spellStart"/>
      <w:r w:rsidR="00BB7593" w:rsidRPr="004979D2">
        <w:rPr>
          <w:rFonts w:ascii="Times New Roman" w:hAnsi="Times New Roman" w:cs="Times New Roman"/>
          <w:sz w:val="24"/>
          <w:szCs w:val="24"/>
        </w:rPr>
        <w:t>anti</w:t>
      </w:r>
      <w:proofErr w:type="spellEnd"/>
      <w:r w:rsidR="00BB7593" w:rsidRPr="004979D2">
        <w:rPr>
          <w:rFonts w:ascii="Times New Roman" w:hAnsi="Times New Roman" w:cs="Times New Roman"/>
          <w:sz w:val="24"/>
          <w:szCs w:val="24"/>
        </w:rPr>
        <w:t xml:space="preserve">-trustin dhe politikat e kontrollit të ndihmës shtetërore. Kapitulli përmban legjislacion, rregulla dhe procedura për sjelljen jo-konkurruese të ndërmarrjeve siç janë marrëveshjet e ndaluara ndërmjet ndërmarrjeve dhe abuzimi me pozitën dominuese në treg. Këtu </w:t>
      </w:r>
      <w:r w:rsidR="008E599F" w:rsidRPr="004979D2">
        <w:rPr>
          <w:rFonts w:ascii="Times New Roman" w:hAnsi="Times New Roman" w:cs="Times New Roman"/>
          <w:sz w:val="24"/>
          <w:szCs w:val="24"/>
        </w:rPr>
        <w:t>g</w:t>
      </w:r>
      <w:r w:rsidR="00BB7593" w:rsidRPr="004979D2">
        <w:rPr>
          <w:rFonts w:ascii="Times New Roman" w:hAnsi="Times New Roman" w:cs="Times New Roman"/>
          <w:sz w:val="24"/>
          <w:szCs w:val="24"/>
        </w:rPr>
        <w:t xml:space="preserve">jithashtu </w:t>
      </w:r>
      <w:r w:rsidR="008E599F" w:rsidRPr="004979D2">
        <w:rPr>
          <w:rFonts w:ascii="Times New Roman" w:hAnsi="Times New Roman" w:cs="Times New Roman"/>
          <w:sz w:val="24"/>
          <w:szCs w:val="24"/>
        </w:rPr>
        <w:t>përfshihen edhe</w:t>
      </w:r>
      <w:r w:rsidR="00BB7593" w:rsidRPr="004979D2">
        <w:rPr>
          <w:rFonts w:ascii="Times New Roman" w:hAnsi="Times New Roman" w:cs="Times New Roman"/>
          <w:sz w:val="24"/>
          <w:szCs w:val="24"/>
        </w:rPr>
        <w:t xml:space="preserve"> analiza</w:t>
      </w:r>
      <w:r w:rsidR="008E599F" w:rsidRPr="004979D2">
        <w:rPr>
          <w:rFonts w:ascii="Times New Roman" w:hAnsi="Times New Roman" w:cs="Times New Roman"/>
          <w:sz w:val="24"/>
          <w:szCs w:val="24"/>
        </w:rPr>
        <w:t>t</w:t>
      </w:r>
      <w:r w:rsidR="00BB7593" w:rsidRPr="004979D2">
        <w:rPr>
          <w:rFonts w:ascii="Times New Roman" w:hAnsi="Times New Roman" w:cs="Times New Roman"/>
          <w:sz w:val="24"/>
          <w:szCs w:val="24"/>
        </w:rPr>
        <w:t xml:space="preserve"> e bashkimit të ndërmarrjeve dhe funksioni parandalues i </w:t>
      </w:r>
      <w:r w:rsidR="00FC1E39" w:rsidRPr="004979D2">
        <w:rPr>
          <w:rFonts w:ascii="Times New Roman" w:hAnsi="Times New Roman" w:cs="Times New Roman"/>
          <w:sz w:val="24"/>
          <w:szCs w:val="24"/>
        </w:rPr>
        <w:t xml:space="preserve">institucioneve shtetërore </w:t>
      </w:r>
      <w:r w:rsidR="00BB7593" w:rsidRPr="004979D2">
        <w:rPr>
          <w:rFonts w:ascii="Times New Roman" w:hAnsi="Times New Roman" w:cs="Times New Roman"/>
          <w:sz w:val="24"/>
          <w:szCs w:val="24"/>
        </w:rPr>
        <w:t>në dhënien e ndihmës shtetërore që çrregullon konkurrencën në treg. Legjislacioni i BE</w:t>
      </w:r>
      <w:r w:rsidR="00FE7A1A" w:rsidRPr="004979D2">
        <w:rPr>
          <w:rFonts w:ascii="Times New Roman" w:hAnsi="Times New Roman" w:cs="Times New Roman"/>
          <w:sz w:val="24"/>
          <w:szCs w:val="24"/>
        </w:rPr>
        <w:t>-së</w:t>
      </w:r>
      <w:r w:rsidR="00BB7593" w:rsidRPr="004979D2">
        <w:rPr>
          <w:rFonts w:ascii="Times New Roman" w:hAnsi="Times New Roman" w:cs="Times New Roman"/>
          <w:sz w:val="24"/>
          <w:szCs w:val="24"/>
        </w:rPr>
        <w:t xml:space="preserve"> në fushën e konkurrencës buron nga Traktati për </w:t>
      </w:r>
      <w:r w:rsidR="00BB7593" w:rsidRPr="004979D2">
        <w:rPr>
          <w:rFonts w:ascii="Times New Roman" w:hAnsi="Times New Roman" w:cs="Times New Roman"/>
          <w:sz w:val="24"/>
          <w:szCs w:val="24"/>
        </w:rPr>
        <w:lastRenderedPageBreak/>
        <w:t>Funksionimin e BE</w:t>
      </w:r>
      <w:r w:rsidR="00FE7A1A" w:rsidRPr="004979D2">
        <w:rPr>
          <w:rFonts w:ascii="Times New Roman" w:hAnsi="Times New Roman" w:cs="Times New Roman"/>
          <w:sz w:val="24"/>
          <w:szCs w:val="24"/>
        </w:rPr>
        <w:t>-së</w:t>
      </w:r>
      <w:r w:rsidR="00BB7593" w:rsidRPr="004979D2">
        <w:rPr>
          <w:rFonts w:ascii="Times New Roman" w:hAnsi="Times New Roman" w:cs="Times New Roman"/>
          <w:sz w:val="24"/>
          <w:szCs w:val="24"/>
        </w:rPr>
        <w:t xml:space="preserve"> (TFBE). Më konkretisht, </w:t>
      </w:r>
      <w:r w:rsidR="00FE7A1A" w:rsidRPr="004979D2">
        <w:rPr>
          <w:rFonts w:ascii="Times New Roman" w:hAnsi="Times New Roman" w:cs="Times New Roman"/>
          <w:sz w:val="24"/>
          <w:szCs w:val="24"/>
        </w:rPr>
        <w:t>n</w:t>
      </w:r>
      <w:r w:rsidR="00BB7593" w:rsidRPr="004979D2">
        <w:rPr>
          <w:rFonts w:ascii="Times New Roman" w:hAnsi="Times New Roman" w:cs="Times New Roman"/>
          <w:sz w:val="24"/>
          <w:szCs w:val="24"/>
        </w:rPr>
        <w:t xml:space="preserve">eni 37 i TFBE rregullon monopolet shtetërore të karakterit komercial, </w:t>
      </w:r>
      <w:r w:rsidR="00FE7A1A" w:rsidRPr="004979D2">
        <w:rPr>
          <w:rFonts w:ascii="Times New Roman" w:hAnsi="Times New Roman" w:cs="Times New Roman"/>
          <w:sz w:val="24"/>
          <w:szCs w:val="24"/>
        </w:rPr>
        <w:t>n</w:t>
      </w:r>
      <w:r w:rsidR="00BB7593" w:rsidRPr="004979D2">
        <w:rPr>
          <w:rFonts w:ascii="Times New Roman" w:hAnsi="Times New Roman" w:cs="Times New Roman"/>
          <w:sz w:val="24"/>
          <w:szCs w:val="24"/>
        </w:rPr>
        <w:t xml:space="preserve">enet 101-105 kanë të bëjnë me rregullat e zbatueshme për ndërmarrjet, </w:t>
      </w:r>
      <w:r w:rsidR="00FE7A1A" w:rsidRPr="004979D2">
        <w:rPr>
          <w:rFonts w:ascii="Times New Roman" w:hAnsi="Times New Roman" w:cs="Times New Roman"/>
          <w:sz w:val="24"/>
          <w:szCs w:val="24"/>
        </w:rPr>
        <w:t>n</w:t>
      </w:r>
      <w:r w:rsidR="00BB7593" w:rsidRPr="004979D2">
        <w:rPr>
          <w:rFonts w:ascii="Times New Roman" w:hAnsi="Times New Roman" w:cs="Times New Roman"/>
          <w:sz w:val="24"/>
          <w:szCs w:val="24"/>
        </w:rPr>
        <w:t xml:space="preserve">eni 106 me ndërmarrjet publike dhe ndërmarrjet me të drejta të veçanta ose ekskluzive, dhe </w:t>
      </w:r>
      <w:r w:rsidR="00FE7A1A" w:rsidRPr="004979D2">
        <w:rPr>
          <w:rFonts w:ascii="Times New Roman" w:hAnsi="Times New Roman" w:cs="Times New Roman"/>
          <w:sz w:val="24"/>
          <w:szCs w:val="24"/>
        </w:rPr>
        <w:t>n</w:t>
      </w:r>
      <w:r w:rsidR="00BB7593" w:rsidRPr="004979D2">
        <w:rPr>
          <w:rFonts w:ascii="Times New Roman" w:hAnsi="Times New Roman" w:cs="Times New Roman"/>
          <w:sz w:val="24"/>
          <w:szCs w:val="24"/>
        </w:rPr>
        <w:t xml:space="preserve">enet 107-109 të traktatit kanë të bëjnë me rregullat e zbatueshme për ndihmën shtetërore.  </w:t>
      </w:r>
      <w:r w:rsidR="001622C0" w:rsidRPr="004979D2">
        <w:rPr>
          <w:rFonts w:ascii="Times New Roman" w:hAnsi="Times New Roman" w:cs="Times New Roman"/>
          <w:sz w:val="24"/>
          <w:szCs w:val="24"/>
        </w:rPr>
        <w:t>Përveç kësaj, politikat e konkurrencës janë një ndër prioritetet e Agjendës për Reforma Evropiane (ERA), përkatësisht: “</w:t>
      </w:r>
      <w:proofErr w:type="spellStart"/>
      <w:r w:rsidR="001622C0" w:rsidRPr="004979D2">
        <w:rPr>
          <w:rFonts w:ascii="Times New Roman" w:hAnsi="Times New Roman" w:cs="Times New Roman"/>
          <w:i/>
          <w:sz w:val="24"/>
          <w:szCs w:val="24"/>
        </w:rPr>
        <w:t>Konkurrueshmëria</w:t>
      </w:r>
      <w:proofErr w:type="spellEnd"/>
      <w:r w:rsidR="001622C0" w:rsidRPr="004979D2">
        <w:rPr>
          <w:rFonts w:ascii="Times New Roman" w:hAnsi="Times New Roman" w:cs="Times New Roman"/>
          <w:i/>
          <w:sz w:val="24"/>
          <w:szCs w:val="24"/>
        </w:rPr>
        <w:t xml:space="preserve"> dhe Klima e Investimeve</w:t>
      </w:r>
      <w:r w:rsidR="001622C0" w:rsidRPr="004979D2">
        <w:rPr>
          <w:rFonts w:ascii="Times New Roman" w:hAnsi="Times New Roman" w:cs="Times New Roman"/>
          <w:sz w:val="24"/>
          <w:szCs w:val="24"/>
        </w:rPr>
        <w:t>” ku janë vendosur masat që duhet të realizohen në një afat të caktuar.</w:t>
      </w:r>
    </w:p>
    <w:p w14:paraId="3F375BCD" w14:textId="55512B11" w:rsidR="00623738" w:rsidRPr="004979D2" w:rsidRDefault="00623738" w:rsidP="002B1BC6">
      <w:pPr>
        <w:pStyle w:val="Heading3"/>
        <w:numPr>
          <w:ilvl w:val="2"/>
          <w:numId w:val="50"/>
        </w:numPr>
        <w:spacing w:line="360" w:lineRule="auto"/>
        <w:rPr>
          <w:rFonts w:cs="Times New Roman"/>
        </w:rPr>
      </w:pPr>
      <w:bookmarkStart w:id="11" w:name="_Toc1114317"/>
      <w:r w:rsidRPr="004979D2">
        <w:rPr>
          <w:rFonts w:cs="Times New Roman"/>
        </w:rPr>
        <w:t xml:space="preserve">Raporti për Vlerësimin e Zbrazëtirave nga Kapitulli i 8 i </w:t>
      </w:r>
      <w:proofErr w:type="spellStart"/>
      <w:r w:rsidRPr="004979D2">
        <w:rPr>
          <w:rFonts w:cs="Times New Roman"/>
        </w:rPr>
        <w:t>Acquis</w:t>
      </w:r>
      <w:proofErr w:type="spellEnd"/>
      <w:r w:rsidRPr="004979D2">
        <w:rPr>
          <w:rFonts w:cs="Times New Roman"/>
        </w:rPr>
        <w:t xml:space="preserve"> – </w:t>
      </w:r>
      <w:r w:rsidRPr="004979D2">
        <w:rPr>
          <w:rFonts w:cs="Times New Roman"/>
          <w:i/>
        </w:rPr>
        <w:t>‘</w:t>
      </w:r>
      <w:proofErr w:type="spellStart"/>
      <w:r w:rsidRPr="004979D2">
        <w:rPr>
          <w:rFonts w:cs="Times New Roman"/>
          <w:i/>
        </w:rPr>
        <w:t>Gap</w:t>
      </w:r>
      <w:proofErr w:type="spellEnd"/>
      <w:r w:rsidRPr="004979D2">
        <w:rPr>
          <w:rFonts w:cs="Times New Roman"/>
          <w:i/>
        </w:rPr>
        <w:t xml:space="preserve"> </w:t>
      </w:r>
      <w:proofErr w:type="spellStart"/>
      <w:r w:rsidRPr="004979D2">
        <w:rPr>
          <w:rFonts w:cs="Times New Roman"/>
          <w:i/>
        </w:rPr>
        <w:t>Assessment</w:t>
      </w:r>
      <w:proofErr w:type="spellEnd"/>
      <w:r w:rsidRPr="004979D2">
        <w:rPr>
          <w:rFonts w:cs="Times New Roman"/>
          <w:i/>
        </w:rPr>
        <w:t xml:space="preserve"> </w:t>
      </w:r>
      <w:proofErr w:type="spellStart"/>
      <w:r w:rsidRPr="004979D2">
        <w:rPr>
          <w:rFonts w:cs="Times New Roman"/>
          <w:i/>
        </w:rPr>
        <w:t>Report</w:t>
      </w:r>
      <w:proofErr w:type="spellEnd"/>
      <w:r w:rsidRPr="004979D2">
        <w:rPr>
          <w:rFonts w:cs="Times New Roman"/>
          <w:i/>
        </w:rPr>
        <w:t xml:space="preserve"> </w:t>
      </w:r>
      <w:proofErr w:type="spellStart"/>
      <w:r w:rsidRPr="004979D2">
        <w:rPr>
          <w:rFonts w:cs="Times New Roman"/>
          <w:i/>
        </w:rPr>
        <w:t>on</w:t>
      </w:r>
      <w:proofErr w:type="spellEnd"/>
      <w:r w:rsidRPr="004979D2">
        <w:rPr>
          <w:rFonts w:cs="Times New Roman"/>
          <w:i/>
        </w:rPr>
        <w:t xml:space="preserve"> </w:t>
      </w:r>
      <w:proofErr w:type="spellStart"/>
      <w:r w:rsidRPr="004979D2">
        <w:rPr>
          <w:rFonts w:cs="Times New Roman"/>
          <w:i/>
        </w:rPr>
        <w:t>Chapter</w:t>
      </w:r>
      <w:proofErr w:type="spellEnd"/>
      <w:r w:rsidRPr="004979D2">
        <w:rPr>
          <w:rFonts w:cs="Times New Roman"/>
          <w:i/>
        </w:rPr>
        <w:t xml:space="preserve"> 8’</w:t>
      </w:r>
      <w:bookmarkEnd w:id="11"/>
    </w:p>
    <w:p w14:paraId="5694B35D" w14:textId="77777777" w:rsidR="001622C0" w:rsidRPr="004979D2" w:rsidRDefault="001622C0"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Ministria e Integrimit Evropian </w:t>
      </w:r>
      <w:r w:rsidR="004B09FC" w:rsidRPr="004979D2">
        <w:rPr>
          <w:rFonts w:ascii="Times New Roman" w:hAnsi="Times New Roman" w:cs="Times New Roman"/>
          <w:sz w:val="24"/>
          <w:szCs w:val="24"/>
        </w:rPr>
        <w:t xml:space="preserve">(MIE) </w:t>
      </w:r>
      <w:r w:rsidRPr="004979D2">
        <w:rPr>
          <w:rFonts w:ascii="Times New Roman" w:hAnsi="Times New Roman" w:cs="Times New Roman"/>
          <w:sz w:val="24"/>
          <w:szCs w:val="24"/>
        </w:rPr>
        <w:t>në bashkëpunim me Projektin e Binjakëzimit të BE-së</w:t>
      </w:r>
      <w:r w:rsidRPr="004979D2">
        <w:rPr>
          <w:rStyle w:val="FootnoteReference"/>
          <w:rFonts w:ascii="Times New Roman" w:hAnsi="Times New Roman" w:cs="Times New Roman"/>
          <w:sz w:val="24"/>
          <w:szCs w:val="24"/>
        </w:rPr>
        <w:footnoteReference w:id="5"/>
      </w:r>
      <w:r w:rsidRPr="004979D2">
        <w:rPr>
          <w:rFonts w:ascii="Times New Roman" w:hAnsi="Times New Roman" w:cs="Times New Roman"/>
          <w:sz w:val="24"/>
          <w:szCs w:val="24"/>
        </w:rPr>
        <w:t xml:space="preserve">, dhe institucionet e tjera relevante, ka përgatitur </w:t>
      </w:r>
      <w:r w:rsidRPr="004979D2">
        <w:rPr>
          <w:rFonts w:ascii="Times New Roman" w:hAnsi="Times New Roman" w:cs="Times New Roman"/>
          <w:i/>
          <w:sz w:val="24"/>
          <w:szCs w:val="24"/>
        </w:rPr>
        <w:t>Raportin për vlerësimin e zbrazëtirave (hendekut) nga Kapitulli 8</w:t>
      </w:r>
      <w:r w:rsidRPr="004979D2">
        <w:rPr>
          <w:rFonts w:ascii="Times New Roman" w:hAnsi="Times New Roman" w:cs="Times New Roman"/>
          <w:sz w:val="24"/>
          <w:szCs w:val="24"/>
        </w:rPr>
        <w:t xml:space="preserve"> (</w:t>
      </w:r>
      <w:r w:rsidRPr="004979D2">
        <w:rPr>
          <w:rFonts w:ascii="Times New Roman" w:hAnsi="Times New Roman" w:cs="Times New Roman"/>
          <w:i/>
          <w:sz w:val="24"/>
          <w:szCs w:val="24"/>
        </w:rPr>
        <w:t>“</w:t>
      </w:r>
      <w:proofErr w:type="spellStart"/>
      <w:r w:rsidRPr="004979D2">
        <w:rPr>
          <w:rFonts w:ascii="Times New Roman" w:hAnsi="Times New Roman" w:cs="Times New Roman"/>
          <w:i/>
          <w:sz w:val="24"/>
          <w:szCs w:val="24"/>
        </w:rPr>
        <w:t>Gap</w:t>
      </w:r>
      <w:proofErr w:type="spellEnd"/>
      <w:r w:rsidRPr="004979D2">
        <w:rPr>
          <w:rFonts w:ascii="Times New Roman" w:hAnsi="Times New Roman" w:cs="Times New Roman"/>
          <w:i/>
          <w:sz w:val="24"/>
          <w:szCs w:val="24"/>
        </w:rPr>
        <w:t xml:space="preserve"> </w:t>
      </w:r>
      <w:proofErr w:type="spellStart"/>
      <w:r w:rsidRPr="004979D2">
        <w:rPr>
          <w:rFonts w:ascii="Times New Roman" w:hAnsi="Times New Roman" w:cs="Times New Roman"/>
          <w:i/>
          <w:sz w:val="24"/>
          <w:szCs w:val="24"/>
        </w:rPr>
        <w:t>assessment</w:t>
      </w:r>
      <w:proofErr w:type="spellEnd"/>
      <w:r w:rsidRPr="004979D2">
        <w:rPr>
          <w:rFonts w:ascii="Times New Roman" w:hAnsi="Times New Roman" w:cs="Times New Roman"/>
          <w:i/>
          <w:sz w:val="24"/>
          <w:szCs w:val="24"/>
        </w:rPr>
        <w:t xml:space="preserve"> </w:t>
      </w:r>
      <w:proofErr w:type="spellStart"/>
      <w:r w:rsidRPr="004979D2">
        <w:rPr>
          <w:rFonts w:ascii="Times New Roman" w:hAnsi="Times New Roman" w:cs="Times New Roman"/>
          <w:i/>
          <w:sz w:val="24"/>
          <w:szCs w:val="24"/>
        </w:rPr>
        <w:t>Report</w:t>
      </w:r>
      <w:proofErr w:type="spellEnd"/>
      <w:r w:rsidRPr="004979D2">
        <w:rPr>
          <w:rFonts w:ascii="Times New Roman" w:hAnsi="Times New Roman" w:cs="Times New Roman"/>
          <w:i/>
          <w:sz w:val="24"/>
          <w:szCs w:val="24"/>
        </w:rPr>
        <w:t xml:space="preserve"> </w:t>
      </w:r>
      <w:proofErr w:type="spellStart"/>
      <w:r w:rsidRPr="004979D2">
        <w:rPr>
          <w:rFonts w:ascii="Times New Roman" w:hAnsi="Times New Roman" w:cs="Times New Roman"/>
          <w:i/>
          <w:sz w:val="24"/>
          <w:szCs w:val="24"/>
        </w:rPr>
        <w:t>on</w:t>
      </w:r>
      <w:proofErr w:type="spellEnd"/>
      <w:r w:rsidRPr="004979D2">
        <w:rPr>
          <w:rFonts w:ascii="Times New Roman" w:hAnsi="Times New Roman" w:cs="Times New Roman"/>
          <w:i/>
          <w:sz w:val="24"/>
          <w:szCs w:val="24"/>
        </w:rPr>
        <w:t xml:space="preserve"> </w:t>
      </w:r>
      <w:proofErr w:type="spellStart"/>
      <w:r w:rsidRPr="004979D2">
        <w:rPr>
          <w:rFonts w:ascii="Times New Roman" w:hAnsi="Times New Roman" w:cs="Times New Roman"/>
          <w:i/>
          <w:sz w:val="24"/>
          <w:szCs w:val="24"/>
        </w:rPr>
        <w:t>Chapter</w:t>
      </w:r>
      <w:proofErr w:type="spellEnd"/>
      <w:r w:rsidRPr="004979D2">
        <w:rPr>
          <w:rFonts w:ascii="Times New Roman" w:hAnsi="Times New Roman" w:cs="Times New Roman"/>
          <w:i/>
          <w:sz w:val="24"/>
          <w:szCs w:val="24"/>
        </w:rPr>
        <w:t xml:space="preserve"> 8”</w:t>
      </w:r>
      <w:r w:rsidRPr="004979D2">
        <w:rPr>
          <w:rStyle w:val="FootnoteReference"/>
          <w:rFonts w:ascii="Times New Roman" w:hAnsi="Times New Roman" w:cs="Times New Roman"/>
          <w:i/>
          <w:sz w:val="24"/>
          <w:szCs w:val="24"/>
        </w:rPr>
        <w:footnoteReference w:id="6"/>
      </w:r>
      <w:r w:rsidRPr="004979D2">
        <w:rPr>
          <w:rFonts w:ascii="Times New Roman" w:hAnsi="Times New Roman" w:cs="Times New Roman"/>
          <w:i/>
          <w:sz w:val="24"/>
          <w:szCs w:val="24"/>
        </w:rPr>
        <w:t>).</w:t>
      </w:r>
      <w:r w:rsidRPr="004979D2">
        <w:rPr>
          <w:rFonts w:ascii="Times New Roman" w:hAnsi="Times New Roman" w:cs="Times New Roman"/>
          <w:sz w:val="24"/>
          <w:szCs w:val="24"/>
        </w:rPr>
        <w:t xml:space="preserve"> Në këtë Raport paraqitet vlerësimi i nivelit të </w:t>
      </w:r>
      <w:proofErr w:type="spellStart"/>
      <w:r w:rsidRPr="004979D2">
        <w:rPr>
          <w:rFonts w:ascii="Times New Roman" w:hAnsi="Times New Roman" w:cs="Times New Roman"/>
          <w:sz w:val="24"/>
          <w:szCs w:val="24"/>
        </w:rPr>
        <w:t>transpozimit</w:t>
      </w:r>
      <w:proofErr w:type="spellEnd"/>
      <w:r w:rsidRPr="004979D2">
        <w:rPr>
          <w:rFonts w:ascii="Times New Roman" w:hAnsi="Times New Roman" w:cs="Times New Roman"/>
          <w:sz w:val="24"/>
          <w:szCs w:val="24"/>
        </w:rPr>
        <w:t xml:space="preserve"> të Kapitulli 8 </w:t>
      </w:r>
      <w:r w:rsidR="00FE2C50" w:rsidRPr="004979D2">
        <w:rPr>
          <w:rFonts w:ascii="Times New Roman" w:hAnsi="Times New Roman" w:cs="Times New Roman"/>
          <w:sz w:val="24"/>
          <w:szCs w:val="24"/>
        </w:rPr>
        <w:t xml:space="preserve">të </w:t>
      </w:r>
      <w:proofErr w:type="spellStart"/>
      <w:r w:rsidRPr="004979D2">
        <w:rPr>
          <w:rFonts w:ascii="Times New Roman" w:hAnsi="Times New Roman" w:cs="Times New Roman"/>
          <w:i/>
          <w:sz w:val="24"/>
          <w:szCs w:val="24"/>
        </w:rPr>
        <w:t>acquis</w:t>
      </w:r>
      <w:proofErr w:type="spellEnd"/>
      <w:r w:rsidRPr="004979D2">
        <w:rPr>
          <w:rFonts w:ascii="Times New Roman" w:hAnsi="Times New Roman" w:cs="Times New Roman"/>
          <w:i/>
          <w:sz w:val="24"/>
          <w:szCs w:val="24"/>
        </w:rPr>
        <w:t xml:space="preserve"> </w:t>
      </w:r>
      <w:r w:rsidRPr="004979D2">
        <w:rPr>
          <w:rFonts w:ascii="Times New Roman" w:hAnsi="Times New Roman" w:cs="Times New Roman"/>
          <w:sz w:val="24"/>
          <w:szCs w:val="24"/>
        </w:rPr>
        <w:t>të BE-së në legjislacionin vendor.</w:t>
      </w:r>
    </w:p>
    <w:p w14:paraId="21B1DD24" w14:textId="77777777" w:rsidR="001622C0" w:rsidRDefault="001622C0"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Raporti është i ndarë në dy pjesë:</w:t>
      </w:r>
      <w:r w:rsidRPr="004979D2">
        <w:rPr>
          <w:rFonts w:ascii="Times New Roman" w:hAnsi="Times New Roman" w:cs="Times New Roman"/>
          <w:i/>
          <w:sz w:val="24"/>
          <w:szCs w:val="24"/>
        </w:rPr>
        <w:t xml:space="preserve"> konkurrenca</w:t>
      </w:r>
      <w:r w:rsidRPr="004979D2">
        <w:rPr>
          <w:rFonts w:ascii="Times New Roman" w:hAnsi="Times New Roman" w:cs="Times New Roman"/>
          <w:sz w:val="24"/>
          <w:szCs w:val="24"/>
        </w:rPr>
        <w:t xml:space="preserve"> dhe </w:t>
      </w:r>
      <w:r w:rsidRPr="004979D2">
        <w:rPr>
          <w:rFonts w:ascii="Times New Roman" w:hAnsi="Times New Roman" w:cs="Times New Roman"/>
          <w:i/>
          <w:sz w:val="24"/>
          <w:szCs w:val="24"/>
        </w:rPr>
        <w:t>ndihma shtetërore</w:t>
      </w:r>
      <w:r w:rsidRPr="004979D2">
        <w:rPr>
          <w:rFonts w:ascii="Times New Roman" w:hAnsi="Times New Roman" w:cs="Times New Roman"/>
          <w:sz w:val="24"/>
          <w:szCs w:val="24"/>
        </w:rPr>
        <w:t xml:space="preserve">. Sa i përket pjesës së konkurrencës, Raporti liston të gjithë legjislacionin relevant që duhet të </w:t>
      </w:r>
      <w:proofErr w:type="spellStart"/>
      <w:r w:rsidRPr="004979D2">
        <w:rPr>
          <w:rFonts w:ascii="Times New Roman" w:hAnsi="Times New Roman" w:cs="Times New Roman"/>
          <w:sz w:val="24"/>
          <w:szCs w:val="24"/>
        </w:rPr>
        <w:t>transpozohet</w:t>
      </w:r>
      <w:proofErr w:type="spellEnd"/>
      <w:r w:rsidRPr="004979D2">
        <w:rPr>
          <w:rFonts w:ascii="Times New Roman" w:hAnsi="Times New Roman" w:cs="Times New Roman"/>
          <w:sz w:val="24"/>
          <w:szCs w:val="24"/>
        </w:rPr>
        <w:t xml:space="preserve"> në proces të përafrimit të </w:t>
      </w:r>
      <w:proofErr w:type="spellStart"/>
      <w:r w:rsidRPr="004979D2">
        <w:rPr>
          <w:rFonts w:ascii="Times New Roman" w:hAnsi="Times New Roman" w:cs="Times New Roman"/>
          <w:sz w:val="24"/>
          <w:szCs w:val="24"/>
        </w:rPr>
        <w:t>legjilsacionit</w:t>
      </w:r>
      <w:proofErr w:type="spellEnd"/>
      <w:r w:rsidRPr="004979D2">
        <w:rPr>
          <w:rFonts w:ascii="Times New Roman" w:hAnsi="Times New Roman" w:cs="Times New Roman"/>
          <w:sz w:val="24"/>
          <w:szCs w:val="24"/>
        </w:rPr>
        <w:t xml:space="preserve"> vendor me atë të BE-së.</w:t>
      </w:r>
      <w:r w:rsidRPr="004979D2">
        <w:rPr>
          <w:rStyle w:val="FootnoteReference"/>
          <w:rFonts w:ascii="Times New Roman" w:hAnsi="Times New Roman" w:cs="Times New Roman"/>
          <w:sz w:val="24"/>
          <w:szCs w:val="24"/>
        </w:rPr>
        <w:footnoteReference w:id="7"/>
      </w:r>
      <w:r w:rsidRPr="004979D2">
        <w:rPr>
          <w:rFonts w:ascii="Times New Roman" w:hAnsi="Times New Roman" w:cs="Times New Roman"/>
          <w:sz w:val="24"/>
          <w:szCs w:val="24"/>
        </w:rPr>
        <w:t xml:space="preserve"> Nga kjo listë, Raporti gjithashtu paraqet aktet më të rëndësishme të </w:t>
      </w:r>
      <w:proofErr w:type="spellStart"/>
      <w:r w:rsidRPr="004979D2">
        <w:rPr>
          <w:rFonts w:ascii="Times New Roman" w:hAnsi="Times New Roman" w:cs="Times New Roman"/>
          <w:i/>
          <w:sz w:val="24"/>
          <w:szCs w:val="24"/>
        </w:rPr>
        <w:t>acquis</w:t>
      </w:r>
      <w:proofErr w:type="spellEnd"/>
      <w:r w:rsidRPr="004979D2">
        <w:rPr>
          <w:rFonts w:ascii="Times New Roman" w:hAnsi="Times New Roman" w:cs="Times New Roman"/>
          <w:i/>
          <w:sz w:val="24"/>
          <w:szCs w:val="24"/>
        </w:rPr>
        <w:t xml:space="preserve"> </w:t>
      </w:r>
      <w:r w:rsidRPr="004979D2">
        <w:rPr>
          <w:rFonts w:ascii="Times New Roman" w:hAnsi="Times New Roman" w:cs="Times New Roman"/>
          <w:sz w:val="24"/>
          <w:szCs w:val="24"/>
        </w:rPr>
        <w:t xml:space="preserve">relevante për këtë fazë të integrimit të Republikës së Kosovës, dhe nivelin aktual të </w:t>
      </w:r>
      <w:proofErr w:type="spellStart"/>
      <w:r w:rsidRPr="004979D2">
        <w:rPr>
          <w:rFonts w:ascii="Times New Roman" w:hAnsi="Times New Roman" w:cs="Times New Roman"/>
          <w:sz w:val="24"/>
          <w:szCs w:val="24"/>
        </w:rPr>
        <w:t>transpozimit</w:t>
      </w:r>
      <w:proofErr w:type="spellEnd"/>
      <w:r w:rsidRPr="004979D2">
        <w:rPr>
          <w:rFonts w:ascii="Times New Roman" w:hAnsi="Times New Roman" w:cs="Times New Roman"/>
          <w:sz w:val="24"/>
          <w:szCs w:val="24"/>
        </w:rPr>
        <w:t xml:space="preserve"> të tyre në legjislacionin vendor. </w:t>
      </w:r>
    </w:p>
    <w:p w14:paraId="3FB9CAF3" w14:textId="77777777" w:rsidR="00321590" w:rsidRDefault="00321590" w:rsidP="002B1BC6">
      <w:pPr>
        <w:spacing w:line="360" w:lineRule="auto"/>
        <w:jc w:val="both"/>
        <w:rPr>
          <w:rFonts w:ascii="Times New Roman" w:hAnsi="Times New Roman" w:cs="Times New Roman"/>
          <w:sz w:val="24"/>
          <w:szCs w:val="24"/>
        </w:rPr>
      </w:pPr>
    </w:p>
    <w:p w14:paraId="55ABB33A" w14:textId="77777777" w:rsidR="00321590" w:rsidRDefault="00321590" w:rsidP="002B1BC6">
      <w:pPr>
        <w:spacing w:line="360" w:lineRule="auto"/>
        <w:jc w:val="both"/>
        <w:rPr>
          <w:rFonts w:ascii="Times New Roman" w:hAnsi="Times New Roman" w:cs="Times New Roman"/>
          <w:sz w:val="24"/>
          <w:szCs w:val="24"/>
        </w:rPr>
      </w:pPr>
    </w:p>
    <w:p w14:paraId="3707A7F0" w14:textId="77777777" w:rsidR="00321590" w:rsidRDefault="00321590" w:rsidP="002B1BC6">
      <w:pPr>
        <w:spacing w:line="360" w:lineRule="auto"/>
        <w:jc w:val="both"/>
        <w:rPr>
          <w:rFonts w:ascii="Times New Roman" w:hAnsi="Times New Roman" w:cs="Times New Roman"/>
          <w:sz w:val="24"/>
          <w:szCs w:val="24"/>
        </w:rPr>
      </w:pPr>
    </w:p>
    <w:p w14:paraId="3BC2834C" w14:textId="77777777" w:rsidR="00321590" w:rsidRDefault="00321590" w:rsidP="002B1BC6">
      <w:pPr>
        <w:spacing w:line="360" w:lineRule="auto"/>
        <w:jc w:val="both"/>
        <w:rPr>
          <w:rFonts w:ascii="Times New Roman" w:hAnsi="Times New Roman" w:cs="Times New Roman"/>
          <w:sz w:val="24"/>
          <w:szCs w:val="24"/>
        </w:rPr>
      </w:pPr>
    </w:p>
    <w:p w14:paraId="40022874" w14:textId="77777777" w:rsidR="00321590" w:rsidRDefault="00321590" w:rsidP="002B1BC6">
      <w:pPr>
        <w:spacing w:line="360" w:lineRule="auto"/>
        <w:jc w:val="both"/>
        <w:rPr>
          <w:rFonts w:ascii="Times New Roman" w:hAnsi="Times New Roman" w:cs="Times New Roman"/>
          <w:sz w:val="24"/>
          <w:szCs w:val="24"/>
        </w:rPr>
      </w:pPr>
    </w:p>
    <w:p w14:paraId="3033BDAC" w14:textId="77777777" w:rsidR="00321590" w:rsidRDefault="00321590" w:rsidP="002B1BC6">
      <w:pPr>
        <w:spacing w:line="360" w:lineRule="auto"/>
        <w:jc w:val="both"/>
        <w:rPr>
          <w:rFonts w:ascii="Times New Roman" w:hAnsi="Times New Roman" w:cs="Times New Roman"/>
          <w:sz w:val="24"/>
          <w:szCs w:val="24"/>
        </w:rPr>
      </w:pPr>
    </w:p>
    <w:p w14:paraId="3F7D6633" w14:textId="77777777" w:rsidR="001622C0" w:rsidRPr="004979D2" w:rsidRDefault="001622C0" w:rsidP="002B1BC6">
      <w:pPr>
        <w:pStyle w:val="Caption"/>
        <w:spacing w:line="360" w:lineRule="auto"/>
        <w:rPr>
          <w:rFonts w:ascii="Times New Roman" w:hAnsi="Times New Roman" w:cs="Times New Roman"/>
          <w:i w:val="0"/>
          <w:sz w:val="24"/>
          <w:szCs w:val="24"/>
        </w:rPr>
      </w:pPr>
      <w:r w:rsidRPr="004979D2">
        <w:rPr>
          <w:rFonts w:ascii="Times New Roman" w:hAnsi="Times New Roman" w:cs="Times New Roman"/>
          <w:sz w:val="24"/>
          <w:szCs w:val="24"/>
        </w:rPr>
        <w:lastRenderedPageBreak/>
        <w:t xml:space="preserve">Figura 2 – Lista e akteve më të rëndësishme të </w:t>
      </w:r>
      <w:proofErr w:type="spellStart"/>
      <w:r w:rsidRPr="004979D2">
        <w:rPr>
          <w:rFonts w:ascii="Times New Roman" w:hAnsi="Times New Roman" w:cs="Times New Roman"/>
          <w:sz w:val="24"/>
          <w:szCs w:val="24"/>
        </w:rPr>
        <w:t>acquis</w:t>
      </w:r>
      <w:proofErr w:type="spellEnd"/>
      <w:r w:rsidRPr="004979D2">
        <w:rPr>
          <w:rFonts w:ascii="Times New Roman" w:hAnsi="Times New Roman" w:cs="Times New Roman"/>
          <w:sz w:val="24"/>
          <w:szCs w:val="24"/>
        </w:rPr>
        <w:t xml:space="preserve"> nga fusha e Konkurrencës dhe niveli i </w:t>
      </w:r>
      <w:proofErr w:type="spellStart"/>
      <w:r w:rsidRPr="004979D2">
        <w:rPr>
          <w:rFonts w:ascii="Times New Roman" w:hAnsi="Times New Roman" w:cs="Times New Roman"/>
          <w:sz w:val="24"/>
          <w:szCs w:val="24"/>
        </w:rPr>
        <w:t>transpozimit</w:t>
      </w:r>
      <w:proofErr w:type="spellEnd"/>
    </w:p>
    <w:tbl>
      <w:tblPr>
        <w:tblW w:w="919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2873"/>
        <w:gridCol w:w="2790"/>
        <w:gridCol w:w="2970"/>
      </w:tblGrid>
      <w:tr w:rsidR="001622C0" w:rsidRPr="004979D2" w14:paraId="1D5BC1AB" w14:textId="77777777" w:rsidTr="00321590">
        <w:tc>
          <w:tcPr>
            <w:tcW w:w="557" w:type="dxa"/>
            <w:shd w:val="clear" w:color="auto" w:fill="D0CECE" w:themeFill="background2" w:themeFillShade="E6"/>
          </w:tcPr>
          <w:p w14:paraId="48C68E3D" w14:textId="77777777" w:rsidR="001622C0" w:rsidRPr="004979D2" w:rsidRDefault="001622C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Nr.</w:t>
            </w:r>
          </w:p>
        </w:tc>
        <w:tc>
          <w:tcPr>
            <w:tcW w:w="2873" w:type="dxa"/>
            <w:shd w:val="clear" w:color="auto" w:fill="D0CECE" w:themeFill="background2" w:themeFillShade="E6"/>
          </w:tcPr>
          <w:p w14:paraId="044BA097" w14:textId="77777777" w:rsidR="001622C0" w:rsidRPr="004979D2" w:rsidRDefault="001622C0" w:rsidP="00321590">
            <w:pPr>
              <w:spacing w:before="120" w:line="240" w:lineRule="auto"/>
              <w:jc w:val="center"/>
              <w:rPr>
                <w:rFonts w:ascii="Times New Roman" w:hAnsi="Times New Roman" w:cs="Times New Roman"/>
                <w:sz w:val="24"/>
                <w:szCs w:val="24"/>
              </w:rPr>
            </w:pPr>
            <w:r w:rsidRPr="004979D2">
              <w:rPr>
                <w:rFonts w:ascii="Times New Roman" w:hAnsi="Times New Roman" w:cs="Times New Roman"/>
                <w:sz w:val="24"/>
                <w:szCs w:val="24"/>
              </w:rPr>
              <w:t>Dispozitat e Traktatit / Rregulloret / Direktivat / Legjislacioni dytësor</w:t>
            </w:r>
          </w:p>
        </w:tc>
        <w:tc>
          <w:tcPr>
            <w:tcW w:w="2790" w:type="dxa"/>
            <w:shd w:val="clear" w:color="auto" w:fill="D0CECE" w:themeFill="background2" w:themeFillShade="E6"/>
          </w:tcPr>
          <w:p w14:paraId="645C7FF1" w14:textId="77777777" w:rsidR="001622C0" w:rsidRPr="004979D2" w:rsidRDefault="001622C0" w:rsidP="00321590">
            <w:pPr>
              <w:spacing w:before="120" w:line="240" w:lineRule="auto"/>
              <w:jc w:val="center"/>
              <w:rPr>
                <w:rFonts w:ascii="Times New Roman" w:hAnsi="Times New Roman" w:cs="Times New Roman"/>
                <w:b/>
                <w:sz w:val="24"/>
                <w:szCs w:val="24"/>
              </w:rPr>
            </w:pPr>
            <w:r w:rsidRPr="004979D2">
              <w:rPr>
                <w:rFonts w:ascii="Times New Roman" w:hAnsi="Times New Roman" w:cs="Times New Roman"/>
                <w:sz w:val="24"/>
                <w:szCs w:val="24"/>
              </w:rPr>
              <w:t>P</w:t>
            </w:r>
            <w:r w:rsidRPr="004979D2">
              <w:rPr>
                <w:rFonts w:ascii="Times New Roman" w:hAnsi="Times New Roman" w:cs="Times New Roman"/>
                <w:sz w:val="24"/>
                <w:szCs w:val="24"/>
                <w:lang w:eastAsia="zh-CN"/>
              </w:rPr>
              <w:t>ërmbajtja dhe qëllimi</w:t>
            </w:r>
          </w:p>
        </w:tc>
        <w:tc>
          <w:tcPr>
            <w:tcW w:w="2970" w:type="dxa"/>
            <w:shd w:val="clear" w:color="auto" w:fill="D0CECE" w:themeFill="background2" w:themeFillShade="E6"/>
          </w:tcPr>
          <w:p w14:paraId="4BA53E81" w14:textId="77777777" w:rsidR="001622C0" w:rsidRPr="004979D2" w:rsidRDefault="001622C0" w:rsidP="00321590">
            <w:pPr>
              <w:spacing w:before="120" w:line="240" w:lineRule="auto"/>
              <w:jc w:val="center"/>
              <w:rPr>
                <w:rFonts w:ascii="Times New Roman" w:hAnsi="Times New Roman" w:cs="Times New Roman"/>
                <w:sz w:val="24"/>
                <w:szCs w:val="24"/>
              </w:rPr>
            </w:pPr>
            <w:r w:rsidRPr="004979D2">
              <w:rPr>
                <w:rFonts w:ascii="Times New Roman" w:hAnsi="Times New Roman" w:cs="Times New Roman"/>
                <w:sz w:val="24"/>
                <w:szCs w:val="24"/>
              </w:rPr>
              <w:t>Legjislacioni vendor q</w:t>
            </w:r>
            <w:r w:rsidRPr="004979D2">
              <w:rPr>
                <w:rFonts w:ascii="Times New Roman" w:hAnsi="Times New Roman" w:cs="Times New Roman"/>
                <w:sz w:val="24"/>
                <w:szCs w:val="24"/>
                <w:lang w:eastAsia="zh-CN"/>
              </w:rPr>
              <w:t xml:space="preserve">ë </w:t>
            </w:r>
            <w:proofErr w:type="spellStart"/>
            <w:r w:rsidRPr="004979D2">
              <w:rPr>
                <w:rFonts w:ascii="Times New Roman" w:hAnsi="Times New Roman" w:cs="Times New Roman"/>
                <w:sz w:val="24"/>
                <w:szCs w:val="24"/>
                <w:lang w:eastAsia="zh-CN"/>
              </w:rPr>
              <w:t>transpo</w:t>
            </w:r>
            <w:r w:rsidR="00FE7A1A" w:rsidRPr="004979D2">
              <w:rPr>
                <w:rFonts w:ascii="Times New Roman" w:hAnsi="Times New Roman" w:cs="Times New Roman"/>
                <w:sz w:val="24"/>
                <w:szCs w:val="24"/>
                <w:lang w:eastAsia="zh-CN"/>
              </w:rPr>
              <w:t>z</w:t>
            </w:r>
            <w:r w:rsidRPr="004979D2">
              <w:rPr>
                <w:rFonts w:ascii="Times New Roman" w:hAnsi="Times New Roman" w:cs="Times New Roman"/>
                <w:sz w:val="24"/>
                <w:szCs w:val="24"/>
                <w:lang w:eastAsia="zh-CN"/>
              </w:rPr>
              <w:t>on</w:t>
            </w:r>
            <w:proofErr w:type="spellEnd"/>
            <w:r w:rsidRPr="004979D2">
              <w:rPr>
                <w:rFonts w:ascii="Times New Roman" w:hAnsi="Times New Roman" w:cs="Times New Roman"/>
                <w:sz w:val="24"/>
                <w:szCs w:val="24"/>
                <w:lang w:eastAsia="zh-CN"/>
              </w:rPr>
              <w:t xml:space="preserve"> </w:t>
            </w:r>
            <w:proofErr w:type="spellStart"/>
            <w:r w:rsidRPr="004979D2">
              <w:rPr>
                <w:rFonts w:ascii="Times New Roman" w:hAnsi="Times New Roman" w:cs="Times New Roman"/>
                <w:i/>
                <w:sz w:val="24"/>
                <w:szCs w:val="24"/>
                <w:lang w:eastAsia="zh-CN"/>
              </w:rPr>
              <w:t>acquis</w:t>
            </w:r>
            <w:proofErr w:type="spellEnd"/>
            <w:r w:rsidRPr="004979D2">
              <w:rPr>
                <w:rFonts w:ascii="Times New Roman" w:hAnsi="Times New Roman" w:cs="Times New Roman"/>
                <w:sz w:val="24"/>
                <w:szCs w:val="24"/>
                <w:lang w:eastAsia="zh-CN"/>
              </w:rPr>
              <w:t xml:space="preserve"> të BE-së </w:t>
            </w:r>
            <w:r w:rsidRPr="004979D2">
              <w:rPr>
                <w:rFonts w:ascii="Times New Roman" w:hAnsi="Times New Roman" w:cs="Times New Roman"/>
                <w:sz w:val="24"/>
                <w:szCs w:val="24"/>
              </w:rPr>
              <w:t>dhe niveli i p</w:t>
            </w:r>
            <w:r w:rsidRPr="004979D2">
              <w:rPr>
                <w:rFonts w:ascii="Times New Roman" w:hAnsi="Times New Roman" w:cs="Times New Roman"/>
                <w:sz w:val="24"/>
                <w:szCs w:val="24"/>
                <w:lang w:eastAsia="zh-CN"/>
              </w:rPr>
              <w:t>ërputhshmërisë</w:t>
            </w:r>
          </w:p>
        </w:tc>
      </w:tr>
      <w:tr w:rsidR="001622C0" w:rsidRPr="004979D2" w14:paraId="7A1DB811" w14:textId="77777777" w:rsidTr="00B11DC4">
        <w:tc>
          <w:tcPr>
            <w:tcW w:w="557" w:type="dxa"/>
          </w:tcPr>
          <w:p w14:paraId="642178B0" w14:textId="77777777" w:rsidR="001622C0" w:rsidRPr="004979D2" w:rsidRDefault="001622C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1</w:t>
            </w:r>
          </w:p>
        </w:tc>
        <w:tc>
          <w:tcPr>
            <w:tcW w:w="2873" w:type="dxa"/>
          </w:tcPr>
          <w:p w14:paraId="731FE149" w14:textId="77777777" w:rsidR="001622C0" w:rsidRPr="004979D2" w:rsidRDefault="001622C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lang w:eastAsia="fr-BE"/>
              </w:rPr>
              <w:t>Neni 101 dhe 102 i TFBE-së</w:t>
            </w:r>
            <w:r w:rsidRPr="004979D2">
              <w:rPr>
                <w:rStyle w:val="FootnoteReference"/>
                <w:rFonts w:ascii="Times New Roman" w:hAnsi="Times New Roman" w:cs="Times New Roman"/>
                <w:sz w:val="24"/>
                <w:szCs w:val="24"/>
                <w:lang w:eastAsia="fr-BE"/>
              </w:rPr>
              <w:footnoteReference w:id="8"/>
            </w:r>
          </w:p>
        </w:tc>
        <w:tc>
          <w:tcPr>
            <w:tcW w:w="2790" w:type="dxa"/>
          </w:tcPr>
          <w:p w14:paraId="29129632" w14:textId="77777777" w:rsidR="001622C0" w:rsidRPr="004979D2" w:rsidRDefault="001622C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lang w:eastAsia="zh-CN"/>
              </w:rPr>
              <w:t xml:space="preserve">Synon të sigurojë konkurrencë të lirë dhe efektive përmes dispozitave që ndër të tjera kanë për qëllim ndalimin e marrëveshjeve dhe kartelave </w:t>
            </w:r>
            <w:proofErr w:type="spellStart"/>
            <w:r w:rsidRPr="004979D2">
              <w:rPr>
                <w:rFonts w:ascii="Times New Roman" w:hAnsi="Times New Roman" w:cs="Times New Roman"/>
                <w:sz w:val="24"/>
                <w:szCs w:val="24"/>
                <w:lang w:eastAsia="zh-CN"/>
              </w:rPr>
              <w:t>anti</w:t>
            </w:r>
            <w:proofErr w:type="spellEnd"/>
            <w:r w:rsidRPr="004979D2">
              <w:rPr>
                <w:rFonts w:ascii="Times New Roman" w:hAnsi="Times New Roman" w:cs="Times New Roman"/>
                <w:sz w:val="24"/>
                <w:szCs w:val="24"/>
                <w:lang w:eastAsia="zh-CN"/>
              </w:rPr>
              <w:t>-konkurruese dhe abuzimin me pozitë dominuese.</w:t>
            </w:r>
          </w:p>
        </w:tc>
        <w:tc>
          <w:tcPr>
            <w:tcW w:w="2970" w:type="dxa"/>
          </w:tcPr>
          <w:p w14:paraId="4918CC90" w14:textId="77777777" w:rsidR="001622C0" w:rsidRPr="004979D2" w:rsidRDefault="001622C0" w:rsidP="002B1BC6">
            <w:pPr>
              <w:spacing w:before="120" w:line="360" w:lineRule="auto"/>
              <w:jc w:val="both"/>
              <w:rPr>
                <w:rFonts w:ascii="Times New Roman" w:hAnsi="Times New Roman" w:cs="Times New Roman"/>
                <w:sz w:val="24"/>
                <w:szCs w:val="24"/>
              </w:rPr>
            </w:pPr>
            <w:bookmarkStart w:id="12" w:name="_Hlk516053216"/>
            <w:r w:rsidRPr="004979D2">
              <w:rPr>
                <w:rFonts w:ascii="Times New Roman" w:hAnsi="Times New Roman" w:cs="Times New Roman"/>
                <w:sz w:val="24"/>
                <w:szCs w:val="24"/>
              </w:rPr>
              <w:t xml:space="preserve">Ligji Nr. 03/L-229 për Mbrojtjen e Konkurrencës, 2010; </w:t>
            </w:r>
          </w:p>
          <w:p w14:paraId="576C8654" w14:textId="77777777" w:rsidR="001622C0" w:rsidRPr="004979D2" w:rsidRDefault="001622C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Ligji Nr. 04/L-226 për ndryshimin dhe plotësimin e Ligjit Nr. 03/L-229 për Mbrojtjen e Konkurrencës</w:t>
            </w:r>
            <w:bookmarkEnd w:id="12"/>
            <w:r w:rsidRPr="004979D2">
              <w:rPr>
                <w:rFonts w:ascii="Times New Roman" w:hAnsi="Times New Roman" w:cs="Times New Roman"/>
                <w:sz w:val="24"/>
                <w:szCs w:val="24"/>
              </w:rPr>
              <w:t>, 2014.</w:t>
            </w:r>
          </w:p>
          <w:p w14:paraId="796A326F" w14:textId="77777777" w:rsidR="001622C0" w:rsidRPr="004979D2" w:rsidRDefault="001622C0" w:rsidP="002B1BC6">
            <w:pPr>
              <w:spacing w:before="120" w:line="360" w:lineRule="auto"/>
              <w:jc w:val="both"/>
              <w:rPr>
                <w:rFonts w:ascii="Times New Roman" w:hAnsi="Times New Roman" w:cs="Times New Roman"/>
                <w:i/>
                <w:sz w:val="24"/>
                <w:szCs w:val="24"/>
              </w:rPr>
            </w:pPr>
            <w:r w:rsidRPr="004979D2">
              <w:rPr>
                <w:rFonts w:ascii="Times New Roman" w:hAnsi="Times New Roman" w:cs="Times New Roman"/>
                <w:i/>
                <w:sz w:val="24"/>
                <w:szCs w:val="24"/>
              </w:rPr>
              <w:t xml:space="preserve">Pjesërisht e </w:t>
            </w:r>
            <w:proofErr w:type="spellStart"/>
            <w:r w:rsidRPr="004979D2">
              <w:rPr>
                <w:rFonts w:ascii="Times New Roman" w:hAnsi="Times New Roman" w:cs="Times New Roman"/>
                <w:i/>
                <w:sz w:val="24"/>
                <w:szCs w:val="24"/>
              </w:rPr>
              <w:t>transpozuar</w:t>
            </w:r>
            <w:proofErr w:type="spellEnd"/>
            <w:r w:rsidRPr="004979D2">
              <w:rPr>
                <w:rFonts w:ascii="Times New Roman" w:hAnsi="Times New Roman" w:cs="Times New Roman"/>
                <w:i/>
                <w:sz w:val="24"/>
                <w:szCs w:val="24"/>
              </w:rPr>
              <w:t>.</w:t>
            </w:r>
          </w:p>
        </w:tc>
      </w:tr>
      <w:tr w:rsidR="001622C0" w:rsidRPr="004979D2" w14:paraId="696F3877" w14:textId="77777777" w:rsidTr="00B11DC4">
        <w:tc>
          <w:tcPr>
            <w:tcW w:w="557" w:type="dxa"/>
          </w:tcPr>
          <w:p w14:paraId="612B6C2B" w14:textId="77777777" w:rsidR="001622C0" w:rsidRPr="004979D2" w:rsidRDefault="001622C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2</w:t>
            </w:r>
          </w:p>
        </w:tc>
        <w:tc>
          <w:tcPr>
            <w:tcW w:w="2873" w:type="dxa"/>
          </w:tcPr>
          <w:p w14:paraId="59E1A189" w14:textId="77777777" w:rsidR="001622C0" w:rsidRPr="004979D2" w:rsidRDefault="001622C0" w:rsidP="002B1BC6">
            <w:pPr>
              <w:spacing w:before="120" w:line="360" w:lineRule="auto"/>
              <w:jc w:val="both"/>
              <w:rPr>
                <w:rFonts w:ascii="Times New Roman" w:hAnsi="Times New Roman" w:cs="Times New Roman"/>
                <w:sz w:val="24"/>
                <w:szCs w:val="24"/>
                <w:lang w:eastAsia="fr-BE"/>
              </w:rPr>
            </w:pPr>
            <w:r w:rsidRPr="004979D2">
              <w:rPr>
                <w:rFonts w:ascii="Times New Roman" w:hAnsi="Times New Roman" w:cs="Times New Roman"/>
                <w:sz w:val="24"/>
                <w:szCs w:val="24"/>
                <w:lang w:eastAsia="fr-BE"/>
              </w:rPr>
              <w:t>Rregullorja e Këshillit (KE) Nr. 1/2003 e datës 16 dhjetor 2002 mbi zbatimin e rregullave të konkurrencës të përcaktuara në nenet 81 dhe 82 të Traktatit me amendamente (OJ L 1, 04.01.2003, f. 1-25)</w:t>
            </w:r>
            <w:r w:rsidRPr="004979D2">
              <w:rPr>
                <w:rStyle w:val="FootnoteReference"/>
                <w:rFonts w:ascii="Times New Roman" w:hAnsi="Times New Roman" w:cs="Times New Roman"/>
                <w:sz w:val="24"/>
                <w:szCs w:val="24"/>
                <w:lang w:eastAsia="fr-BE"/>
              </w:rPr>
              <w:footnoteReference w:id="9"/>
            </w:r>
          </w:p>
          <w:p w14:paraId="3FFEDE89" w14:textId="77777777" w:rsidR="001622C0" w:rsidRPr="004979D2" w:rsidRDefault="001622C0" w:rsidP="002B1BC6">
            <w:pPr>
              <w:spacing w:before="120" w:line="360" w:lineRule="auto"/>
              <w:jc w:val="both"/>
              <w:rPr>
                <w:rFonts w:ascii="Times New Roman" w:hAnsi="Times New Roman" w:cs="Times New Roman"/>
                <w:i/>
                <w:sz w:val="24"/>
                <w:szCs w:val="24"/>
              </w:rPr>
            </w:pPr>
          </w:p>
        </w:tc>
        <w:tc>
          <w:tcPr>
            <w:tcW w:w="2790" w:type="dxa"/>
          </w:tcPr>
          <w:p w14:paraId="2FABF879" w14:textId="77777777" w:rsidR="001622C0" w:rsidRPr="004979D2" w:rsidRDefault="001622C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lang w:eastAsia="zh-CN"/>
              </w:rPr>
              <w:t>Siguron rregulla për procedurat për të siguruar një zbatim efektiv të rregullave të konkurrencës së BE-së. Në të njëjtën kohë, respekton të drejtat themelore të mbrojtjes dhe rregullon barrën e provës sipas nenit 101 dhe 102 të TFBE-së.</w:t>
            </w:r>
          </w:p>
        </w:tc>
        <w:tc>
          <w:tcPr>
            <w:tcW w:w="2970" w:type="dxa"/>
          </w:tcPr>
          <w:p w14:paraId="73681777" w14:textId="77777777" w:rsidR="001622C0" w:rsidRPr="004979D2" w:rsidRDefault="001622C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Ligji Nr. 03/L-229 për Mbrojtjen e Konkurrencës, 2010; </w:t>
            </w:r>
          </w:p>
          <w:p w14:paraId="7B592471" w14:textId="77777777" w:rsidR="001622C0" w:rsidRPr="004979D2" w:rsidRDefault="001622C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Ligji Nr. 04/L-226 për ndryshimin dhe plotësimin e Ligjit Nr. 03/L-229 për Mbrojtjen e Konkurrencës, 2014.</w:t>
            </w:r>
          </w:p>
          <w:p w14:paraId="25D7F8C4" w14:textId="77777777" w:rsidR="001622C0" w:rsidRPr="004979D2" w:rsidRDefault="001622C0" w:rsidP="002B1BC6">
            <w:pPr>
              <w:spacing w:before="120" w:line="360" w:lineRule="auto"/>
              <w:jc w:val="both"/>
              <w:rPr>
                <w:rFonts w:ascii="Times New Roman" w:hAnsi="Times New Roman" w:cs="Times New Roman"/>
                <w:i/>
                <w:sz w:val="24"/>
                <w:szCs w:val="24"/>
              </w:rPr>
            </w:pPr>
            <w:r w:rsidRPr="004979D2">
              <w:rPr>
                <w:rFonts w:ascii="Times New Roman" w:hAnsi="Times New Roman" w:cs="Times New Roman"/>
                <w:i/>
                <w:sz w:val="24"/>
                <w:szCs w:val="24"/>
              </w:rPr>
              <w:t xml:space="preserve">Pjesërisht e </w:t>
            </w:r>
            <w:proofErr w:type="spellStart"/>
            <w:r w:rsidRPr="004979D2">
              <w:rPr>
                <w:rFonts w:ascii="Times New Roman" w:hAnsi="Times New Roman" w:cs="Times New Roman"/>
                <w:i/>
                <w:sz w:val="24"/>
                <w:szCs w:val="24"/>
              </w:rPr>
              <w:t>transpozuar</w:t>
            </w:r>
            <w:proofErr w:type="spellEnd"/>
            <w:r w:rsidRPr="004979D2">
              <w:rPr>
                <w:rFonts w:ascii="Times New Roman" w:hAnsi="Times New Roman" w:cs="Times New Roman"/>
                <w:i/>
                <w:sz w:val="24"/>
                <w:szCs w:val="24"/>
              </w:rPr>
              <w:t>.</w:t>
            </w:r>
          </w:p>
        </w:tc>
      </w:tr>
      <w:tr w:rsidR="00321590" w:rsidRPr="004979D2" w14:paraId="7DF1BD28" w14:textId="77777777" w:rsidTr="00321590">
        <w:tc>
          <w:tcPr>
            <w:tcW w:w="557" w:type="dxa"/>
            <w:shd w:val="clear" w:color="auto" w:fill="D0CECE" w:themeFill="background2" w:themeFillShade="E6"/>
          </w:tcPr>
          <w:p w14:paraId="29054AFD" w14:textId="401BCF3D"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lastRenderedPageBreak/>
              <w:t>Nr.</w:t>
            </w:r>
          </w:p>
        </w:tc>
        <w:tc>
          <w:tcPr>
            <w:tcW w:w="2873" w:type="dxa"/>
            <w:shd w:val="clear" w:color="auto" w:fill="D0CECE" w:themeFill="background2" w:themeFillShade="E6"/>
          </w:tcPr>
          <w:p w14:paraId="4B1A95CA" w14:textId="05EA222B"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Dispozitat e Traktatit / Rregulloret / Direktivat / Legjislacioni dytësor</w:t>
            </w:r>
          </w:p>
        </w:tc>
        <w:tc>
          <w:tcPr>
            <w:tcW w:w="2790" w:type="dxa"/>
            <w:shd w:val="clear" w:color="auto" w:fill="D0CECE" w:themeFill="background2" w:themeFillShade="E6"/>
          </w:tcPr>
          <w:p w14:paraId="55F143F8" w14:textId="022D7848"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P</w:t>
            </w:r>
            <w:r w:rsidRPr="004979D2">
              <w:rPr>
                <w:rFonts w:ascii="Times New Roman" w:hAnsi="Times New Roman" w:cs="Times New Roman"/>
                <w:sz w:val="24"/>
                <w:szCs w:val="24"/>
                <w:lang w:eastAsia="zh-CN"/>
              </w:rPr>
              <w:t>ërmbajtja dhe qëllimi</w:t>
            </w:r>
          </w:p>
        </w:tc>
        <w:tc>
          <w:tcPr>
            <w:tcW w:w="2970" w:type="dxa"/>
            <w:shd w:val="clear" w:color="auto" w:fill="D0CECE" w:themeFill="background2" w:themeFillShade="E6"/>
          </w:tcPr>
          <w:p w14:paraId="23C955EA" w14:textId="256C1F86"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Legjislacioni vendor q</w:t>
            </w:r>
            <w:r w:rsidRPr="004979D2">
              <w:rPr>
                <w:rFonts w:ascii="Times New Roman" w:hAnsi="Times New Roman" w:cs="Times New Roman"/>
                <w:sz w:val="24"/>
                <w:szCs w:val="24"/>
                <w:lang w:eastAsia="zh-CN"/>
              </w:rPr>
              <w:t xml:space="preserve">ë </w:t>
            </w:r>
            <w:proofErr w:type="spellStart"/>
            <w:r w:rsidRPr="004979D2">
              <w:rPr>
                <w:rFonts w:ascii="Times New Roman" w:hAnsi="Times New Roman" w:cs="Times New Roman"/>
                <w:sz w:val="24"/>
                <w:szCs w:val="24"/>
                <w:lang w:eastAsia="zh-CN"/>
              </w:rPr>
              <w:t>transpozon</w:t>
            </w:r>
            <w:proofErr w:type="spellEnd"/>
            <w:r w:rsidRPr="004979D2">
              <w:rPr>
                <w:rFonts w:ascii="Times New Roman" w:hAnsi="Times New Roman" w:cs="Times New Roman"/>
                <w:sz w:val="24"/>
                <w:szCs w:val="24"/>
                <w:lang w:eastAsia="zh-CN"/>
              </w:rPr>
              <w:t xml:space="preserve"> </w:t>
            </w:r>
            <w:proofErr w:type="spellStart"/>
            <w:r w:rsidRPr="004979D2">
              <w:rPr>
                <w:rFonts w:ascii="Times New Roman" w:hAnsi="Times New Roman" w:cs="Times New Roman"/>
                <w:i/>
                <w:sz w:val="24"/>
                <w:szCs w:val="24"/>
                <w:lang w:eastAsia="zh-CN"/>
              </w:rPr>
              <w:t>acquis</w:t>
            </w:r>
            <w:proofErr w:type="spellEnd"/>
            <w:r w:rsidRPr="004979D2">
              <w:rPr>
                <w:rFonts w:ascii="Times New Roman" w:hAnsi="Times New Roman" w:cs="Times New Roman"/>
                <w:sz w:val="24"/>
                <w:szCs w:val="24"/>
                <w:lang w:eastAsia="zh-CN"/>
              </w:rPr>
              <w:t xml:space="preserve"> të BE-së </w:t>
            </w:r>
            <w:r w:rsidRPr="004979D2">
              <w:rPr>
                <w:rFonts w:ascii="Times New Roman" w:hAnsi="Times New Roman" w:cs="Times New Roman"/>
                <w:sz w:val="24"/>
                <w:szCs w:val="24"/>
              </w:rPr>
              <w:t>dhe niveli i p</w:t>
            </w:r>
            <w:r w:rsidRPr="004979D2">
              <w:rPr>
                <w:rFonts w:ascii="Times New Roman" w:hAnsi="Times New Roman" w:cs="Times New Roman"/>
                <w:sz w:val="24"/>
                <w:szCs w:val="24"/>
                <w:lang w:eastAsia="zh-CN"/>
              </w:rPr>
              <w:t>ërputhshmërisë</w:t>
            </w:r>
          </w:p>
        </w:tc>
      </w:tr>
      <w:tr w:rsidR="001622C0" w:rsidRPr="004979D2" w14:paraId="3CA0D990" w14:textId="77777777" w:rsidTr="00B11DC4">
        <w:tc>
          <w:tcPr>
            <w:tcW w:w="557" w:type="dxa"/>
          </w:tcPr>
          <w:p w14:paraId="6AD60F16" w14:textId="77777777" w:rsidR="001622C0" w:rsidRPr="004979D2" w:rsidRDefault="001622C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3</w:t>
            </w:r>
          </w:p>
        </w:tc>
        <w:tc>
          <w:tcPr>
            <w:tcW w:w="2873" w:type="dxa"/>
          </w:tcPr>
          <w:p w14:paraId="310DA160" w14:textId="77777777" w:rsidR="001622C0" w:rsidRPr="004979D2" w:rsidRDefault="001622C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Rregullorja e Komisionit (KE) Nr. 773/2004 e datës 7 prill 2004 në lidhje me zhvillimin e procedurave nga Komisioni në përputhje me nenet 81 dhe 82 të Traktatit të KE-së (OJ L 123, 27.04.2004, f. 18-24)</w:t>
            </w:r>
            <w:r w:rsidRPr="004979D2">
              <w:rPr>
                <w:rStyle w:val="FootnoteReference"/>
                <w:rFonts w:ascii="Times New Roman" w:hAnsi="Times New Roman" w:cs="Times New Roman"/>
                <w:sz w:val="24"/>
                <w:szCs w:val="24"/>
              </w:rPr>
              <w:footnoteReference w:id="10"/>
            </w:r>
          </w:p>
        </w:tc>
        <w:tc>
          <w:tcPr>
            <w:tcW w:w="2790" w:type="dxa"/>
          </w:tcPr>
          <w:p w14:paraId="72F4A661" w14:textId="77777777" w:rsidR="001622C0" w:rsidRPr="004979D2" w:rsidRDefault="001622C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Kjo rregullore fuqizon Komisionin për të rregulluar disa aspekte të procedurave siç janë trajtimi i ankesave, ushtrimi i së drejtës për t'u dëgjuar dhe qasja në dosje.</w:t>
            </w:r>
          </w:p>
          <w:p w14:paraId="2E9FD485" w14:textId="77777777" w:rsidR="001622C0" w:rsidRPr="004979D2" w:rsidRDefault="001622C0" w:rsidP="002B1BC6">
            <w:pPr>
              <w:spacing w:before="120" w:line="360" w:lineRule="auto"/>
              <w:jc w:val="both"/>
              <w:rPr>
                <w:rFonts w:ascii="Times New Roman" w:hAnsi="Times New Roman" w:cs="Times New Roman"/>
                <w:sz w:val="24"/>
                <w:szCs w:val="24"/>
              </w:rPr>
            </w:pPr>
          </w:p>
        </w:tc>
        <w:tc>
          <w:tcPr>
            <w:tcW w:w="2970" w:type="dxa"/>
          </w:tcPr>
          <w:p w14:paraId="44A8C0C4" w14:textId="77777777" w:rsidR="001622C0" w:rsidRPr="004979D2" w:rsidRDefault="001622C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Ligji Nr. 03/L-229 për Mbrojtjen e Konkurrencës, 2010; </w:t>
            </w:r>
          </w:p>
          <w:p w14:paraId="18F7FFDD" w14:textId="77777777" w:rsidR="001622C0" w:rsidRPr="004979D2" w:rsidRDefault="001622C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Ligji Nr. 04/L-226 për ndryshimin dhe plotësimin e Ligjit Nr. 03/L-229 për Mbrojtjen e Konkurrencës, 2014.</w:t>
            </w:r>
          </w:p>
          <w:p w14:paraId="7D1F80E5" w14:textId="77777777" w:rsidR="001622C0" w:rsidRPr="004979D2" w:rsidRDefault="001622C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i/>
                <w:sz w:val="24"/>
                <w:szCs w:val="24"/>
              </w:rPr>
              <w:t xml:space="preserve">Pjesërisht e </w:t>
            </w:r>
            <w:proofErr w:type="spellStart"/>
            <w:r w:rsidRPr="004979D2">
              <w:rPr>
                <w:rFonts w:ascii="Times New Roman" w:hAnsi="Times New Roman" w:cs="Times New Roman"/>
                <w:i/>
                <w:sz w:val="24"/>
                <w:szCs w:val="24"/>
              </w:rPr>
              <w:t>transpozuar</w:t>
            </w:r>
            <w:proofErr w:type="spellEnd"/>
            <w:r w:rsidRPr="004979D2">
              <w:rPr>
                <w:rFonts w:ascii="Times New Roman" w:hAnsi="Times New Roman" w:cs="Times New Roman"/>
                <w:sz w:val="24"/>
                <w:szCs w:val="24"/>
              </w:rPr>
              <w:t>.</w:t>
            </w:r>
          </w:p>
        </w:tc>
      </w:tr>
      <w:tr w:rsidR="001622C0" w:rsidRPr="004979D2" w14:paraId="75F59EF8" w14:textId="77777777" w:rsidTr="00B11DC4">
        <w:tc>
          <w:tcPr>
            <w:tcW w:w="557" w:type="dxa"/>
          </w:tcPr>
          <w:p w14:paraId="01C73345" w14:textId="77777777" w:rsidR="001622C0" w:rsidRPr="004979D2" w:rsidRDefault="001622C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4</w:t>
            </w:r>
          </w:p>
        </w:tc>
        <w:tc>
          <w:tcPr>
            <w:tcW w:w="2873" w:type="dxa"/>
          </w:tcPr>
          <w:p w14:paraId="52069C42" w14:textId="77777777" w:rsidR="001622C0" w:rsidRPr="004979D2" w:rsidRDefault="001622C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Udhëzime për mënyrën e përcaktimit të gjobave të shqiptuara në pajtim me nenin 23 (2) (a) të Rregullores nr. 1/2003 (OJ C 210, 1.09.2006, f. 2-5)</w:t>
            </w:r>
            <w:r w:rsidRPr="004979D2">
              <w:rPr>
                <w:rStyle w:val="FootnoteReference"/>
                <w:rFonts w:ascii="Times New Roman" w:hAnsi="Times New Roman" w:cs="Times New Roman"/>
                <w:sz w:val="24"/>
                <w:szCs w:val="24"/>
              </w:rPr>
              <w:footnoteReference w:id="11"/>
            </w:r>
          </w:p>
          <w:p w14:paraId="62A560AD" w14:textId="77777777" w:rsidR="001622C0" w:rsidRPr="004979D2" w:rsidRDefault="001622C0" w:rsidP="002B1BC6">
            <w:pPr>
              <w:spacing w:before="120" w:line="360" w:lineRule="auto"/>
              <w:jc w:val="both"/>
              <w:rPr>
                <w:rFonts w:ascii="Times New Roman" w:hAnsi="Times New Roman" w:cs="Times New Roman"/>
                <w:i/>
                <w:sz w:val="24"/>
                <w:szCs w:val="24"/>
              </w:rPr>
            </w:pPr>
          </w:p>
        </w:tc>
        <w:tc>
          <w:tcPr>
            <w:tcW w:w="2790" w:type="dxa"/>
          </w:tcPr>
          <w:p w14:paraId="7D7AAF60" w14:textId="77777777" w:rsidR="001622C0" w:rsidRPr="004979D2" w:rsidRDefault="001622C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Vendosja e një metode për përcaktimin e gjobave që do t'u shqiptohen sipërmarrjeve ose shoqatave të ndërmarrjeve për të garantuar transparencën dhe paanshmërinë e vendimit për gjobën.</w:t>
            </w:r>
          </w:p>
        </w:tc>
        <w:tc>
          <w:tcPr>
            <w:tcW w:w="2970" w:type="dxa"/>
          </w:tcPr>
          <w:p w14:paraId="66A6F09B" w14:textId="77777777" w:rsidR="001622C0" w:rsidRPr="004979D2" w:rsidRDefault="001622C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Ligji Nr. 03/L-229 për Mbrojtjen e Konkurrencës, 2010; </w:t>
            </w:r>
          </w:p>
          <w:p w14:paraId="2D695888" w14:textId="77777777" w:rsidR="001622C0" w:rsidRPr="004979D2" w:rsidRDefault="001622C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Ligji Nr. 04/L-226 për ndryshimin dhe plotësimin e Ligjit Nr. 03/L-229 për Mbrojtjen e Konkurrencës, 2014.</w:t>
            </w:r>
          </w:p>
          <w:p w14:paraId="3D76144D" w14:textId="77777777" w:rsidR="001622C0" w:rsidRPr="004979D2" w:rsidRDefault="001622C0" w:rsidP="002B1BC6">
            <w:pPr>
              <w:spacing w:before="120" w:line="360" w:lineRule="auto"/>
              <w:jc w:val="both"/>
              <w:rPr>
                <w:rFonts w:ascii="Times New Roman" w:hAnsi="Times New Roman" w:cs="Times New Roman"/>
                <w:i/>
                <w:sz w:val="24"/>
                <w:szCs w:val="24"/>
              </w:rPr>
            </w:pPr>
            <w:r w:rsidRPr="004979D2">
              <w:rPr>
                <w:rFonts w:ascii="Times New Roman" w:hAnsi="Times New Roman" w:cs="Times New Roman"/>
                <w:i/>
                <w:sz w:val="24"/>
                <w:szCs w:val="24"/>
              </w:rPr>
              <w:t xml:space="preserve">Pjesërisht e </w:t>
            </w:r>
            <w:proofErr w:type="spellStart"/>
            <w:r w:rsidRPr="004979D2">
              <w:rPr>
                <w:rFonts w:ascii="Times New Roman" w:hAnsi="Times New Roman" w:cs="Times New Roman"/>
                <w:i/>
                <w:sz w:val="24"/>
                <w:szCs w:val="24"/>
              </w:rPr>
              <w:t>transpozuar</w:t>
            </w:r>
            <w:proofErr w:type="spellEnd"/>
            <w:r w:rsidRPr="004979D2">
              <w:rPr>
                <w:rFonts w:ascii="Times New Roman" w:hAnsi="Times New Roman" w:cs="Times New Roman"/>
                <w:i/>
                <w:sz w:val="24"/>
                <w:szCs w:val="24"/>
              </w:rPr>
              <w:t>.</w:t>
            </w:r>
          </w:p>
        </w:tc>
      </w:tr>
      <w:tr w:rsidR="001622C0" w:rsidRPr="004979D2" w14:paraId="7B4743E8" w14:textId="77777777" w:rsidTr="00B11DC4">
        <w:tc>
          <w:tcPr>
            <w:tcW w:w="557" w:type="dxa"/>
          </w:tcPr>
          <w:p w14:paraId="6AE0777E" w14:textId="77777777" w:rsidR="001622C0" w:rsidRPr="004979D2" w:rsidRDefault="001622C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5</w:t>
            </w:r>
          </w:p>
        </w:tc>
        <w:tc>
          <w:tcPr>
            <w:tcW w:w="2873" w:type="dxa"/>
          </w:tcPr>
          <w:p w14:paraId="40551017" w14:textId="77777777" w:rsidR="001622C0" w:rsidRPr="004979D2" w:rsidRDefault="001622C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Njoftimi i Komisionit për </w:t>
            </w:r>
            <w:r w:rsidRPr="004979D2">
              <w:rPr>
                <w:rFonts w:ascii="Times New Roman" w:hAnsi="Times New Roman" w:cs="Times New Roman"/>
                <w:sz w:val="24"/>
                <w:szCs w:val="24"/>
              </w:rPr>
              <w:lastRenderedPageBreak/>
              <w:t xml:space="preserve">imunitetin nga gjobat dhe zvogëlimi i gjobave në rastet e kartelit (OJ C 298, 8.12.2006, </w:t>
            </w:r>
            <w:proofErr w:type="spellStart"/>
            <w:r w:rsidRPr="004979D2">
              <w:rPr>
                <w:rFonts w:ascii="Times New Roman" w:hAnsi="Times New Roman" w:cs="Times New Roman"/>
                <w:sz w:val="24"/>
                <w:szCs w:val="24"/>
              </w:rPr>
              <w:t>fq</w:t>
            </w:r>
            <w:proofErr w:type="spellEnd"/>
            <w:r w:rsidRPr="004979D2">
              <w:rPr>
                <w:rFonts w:ascii="Times New Roman" w:hAnsi="Times New Roman" w:cs="Times New Roman"/>
                <w:sz w:val="24"/>
                <w:szCs w:val="24"/>
              </w:rPr>
              <w:t>. 17), i ndryshuar nga një Njoftim i vitit 2015 (OJ C 256, 5.8.2015, f. 1)</w:t>
            </w:r>
            <w:r w:rsidRPr="004979D2">
              <w:rPr>
                <w:rStyle w:val="FootnoteReference"/>
                <w:rFonts w:ascii="Times New Roman" w:hAnsi="Times New Roman" w:cs="Times New Roman"/>
                <w:sz w:val="24"/>
                <w:szCs w:val="24"/>
              </w:rPr>
              <w:footnoteReference w:id="12"/>
            </w:r>
          </w:p>
        </w:tc>
        <w:tc>
          <w:tcPr>
            <w:tcW w:w="2790" w:type="dxa"/>
          </w:tcPr>
          <w:p w14:paraId="1A570AD0" w14:textId="77777777" w:rsidR="001622C0" w:rsidRPr="004979D2" w:rsidRDefault="001622C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lastRenderedPageBreak/>
              <w:t xml:space="preserve">Rregullon se në cilat </w:t>
            </w:r>
            <w:r w:rsidRPr="004979D2">
              <w:rPr>
                <w:rFonts w:ascii="Times New Roman" w:hAnsi="Times New Roman" w:cs="Times New Roman"/>
                <w:sz w:val="24"/>
                <w:szCs w:val="24"/>
              </w:rPr>
              <w:lastRenderedPageBreak/>
              <w:t>rrethana dhe sipas të cilave procedura, ndërmarrjet mund të shpërblehen me imunitet të plotë ose t’i zvogëlohen gjobat për bashkëpunimin e tyre në hetimin e autoritetit.</w:t>
            </w:r>
          </w:p>
        </w:tc>
        <w:tc>
          <w:tcPr>
            <w:tcW w:w="2970" w:type="dxa"/>
          </w:tcPr>
          <w:p w14:paraId="184699D8" w14:textId="77777777" w:rsidR="001622C0" w:rsidRPr="004979D2" w:rsidRDefault="001622C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lastRenderedPageBreak/>
              <w:t xml:space="preserve">Ligji Nr. 03/L-229 për </w:t>
            </w:r>
            <w:r w:rsidRPr="004979D2">
              <w:rPr>
                <w:rFonts w:ascii="Times New Roman" w:hAnsi="Times New Roman" w:cs="Times New Roman"/>
                <w:sz w:val="24"/>
                <w:szCs w:val="24"/>
              </w:rPr>
              <w:lastRenderedPageBreak/>
              <w:t xml:space="preserve">Mbrojtjen e Konkurrencës, 2010; </w:t>
            </w:r>
          </w:p>
          <w:p w14:paraId="6788A37F" w14:textId="77777777" w:rsidR="001622C0" w:rsidRPr="004979D2" w:rsidRDefault="001622C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Ligji Nr. 04/L-226 për ndryshimin dhe plotësimin e Ligjit Nr. 03/L-229 për Mbrojtjen e Konkurrencës, 2014.</w:t>
            </w:r>
          </w:p>
          <w:p w14:paraId="7FF52988" w14:textId="77777777" w:rsidR="001622C0" w:rsidRPr="004979D2" w:rsidRDefault="001622C0" w:rsidP="002B1BC6">
            <w:pPr>
              <w:spacing w:before="120" w:line="360" w:lineRule="auto"/>
              <w:jc w:val="both"/>
              <w:rPr>
                <w:rFonts w:ascii="Times New Roman" w:hAnsi="Times New Roman" w:cs="Times New Roman"/>
                <w:i/>
                <w:sz w:val="24"/>
                <w:szCs w:val="24"/>
              </w:rPr>
            </w:pPr>
            <w:r w:rsidRPr="004979D2">
              <w:rPr>
                <w:rFonts w:ascii="Times New Roman" w:hAnsi="Times New Roman" w:cs="Times New Roman"/>
                <w:i/>
                <w:sz w:val="24"/>
                <w:szCs w:val="24"/>
              </w:rPr>
              <w:t xml:space="preserve">Pjesërisht e </w:t>
            </w:r>
            <w:proofErr w:type="spellStart"/>
            <w:r w:rsidRPr="004979D2">
              <w:rPr>
                <w:rFonts w:ascii="Times New Roman" w:hAnsi="Times New Roman" w:cs="Times New Roman"/>
                <w:i/>
                <w:sz w:val="24"/>
                <w:szCs w:val="24"/>
              </w:rPr>
              <w:t>transpozuar</w:t>
            </w:r>
            <w:proofErr w:type="spellEnd"/>
            <w:r w:rsidRPr="004979D2">
              <w:rPr>
                <w:rFonts w:ascii="Times New Roman" w:hAnsi="Times New Roman" w:cs="Times New Roman"/>
                <w:i/>
                <w:sz w:val="24"/>
                <w:szCs w:val="24"/>
              </w:rPr>
              <w:t>.</w:t>
            </w:r>
          </w:p>
        </w:tc>
      </w:tr>
      <w:tr w:rsidR="00321590" w:rsidRPr="004979D2" w14:paraId="64048606" w14:textId="77777777" w:rsidTr="00321590">
        <w:tc>
          <w:tcPr>
            <w:tcW w:w="557" w:type="dxa"/>
            <w:shd w:val="clear" w:color="auto" w:fill="D0CECE" w:themeFill="background2" w:themeFillShade="E6"/>
          </w:tcPr>
          <w:p w14:paraId="71C8BE30" w14:textId="7DC22842"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lastRenderedPageBreak/>
              <w:t>Nr.</w:t>
            </w:r>
          </w:p>
        </w:tc>
        <w:tc>
          <w:tcPr>
            <w:tcW w:w="2873" w:type="dxa"/>
            <w:shd w:val="clear" w:color="auto" w:fill="D0CECE" w:themeFill="background2" w:themeFillShade="E6"/>
          </w:tcPr>
          <w:p w14:paraId="3D352D60" w14:textId="1C8F72A0"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Dispozitat e Traktatit / Rregulloret / Direktivat / Legjislacioni dytësor</w:t>
            </w:r>
          </w:p>
        </w:tc>
        <w:tc>
          <w:tcPr>
            <w:tcW w:w="2790" w:type="dxa"/>
            <w:shd w:val="clear" w:color="auto" w:fill="D0CECE" w:themeFill="background2" w:themeFillShade="E6"/>
          </w:tcPr>
          <w:p w14:paraId="3C1A91F8" w14:textId="462D2756" w:rsidR="00321590" w:rsidRPr="004979D2" w:rsidRDefault="00321590" w:rsidP="002B1BC6">
            <w:pPr>
              <w:spacing w:before="120" w:line="360" w:lineRule="auto"/>
              <w:jc w:val="both"/>
              <w:rPr>
                <w:rFonts w:ascii="Times New Roman" w:hAnsi="Times New Roman" w:cs="Times New Roman"/>
                <w:sz w:val="24"/>
                <w:szCs w:val="24"/>
                <w:lang w:eastAsia="zh-CN"/>
              </w:rPr>
            </w:pPr>
            <w:r w:rsidRPr="004979D2">
              <w:rPr>
                <w:rFonts w:ascii="Times New Roman" w:hAnsi="Times New Roman" w:cs="Times New Roman"/>
                <w:sz w:val="24"/>
                <w:szCs w:val="24"/>
              </w:rPr>
              <w:t>P</w:t>
            </w:r>
            <w:r w:rsidRPr="004979D2">
              <w:rPr>
                <w:rFonts w:ascii="Times New Roman" w:hAnsi="Times New Roman" w:cs="Times New Roman"/>
                <w:sz w:val="24"/>
                <w:szCs w:val="24"/>
                <w:lang w:eastAsia="zh-CN"/>
              </w:rPr>
              <w:t>ërmbajtja dhe qëllimi</w:t>
            </w:r>
          </w:p>
        </w:tc>
        <w:tc>
          <w:tcPr>
            <w:tcW w:w="2970" w:type="dxa"/>
            <w:shd w:val="clear" w:color="auto" w:fill="D0CECE" w:themeFill="background2" w:themeFillShade="E6"/>
          </w:tcPr>
          <w:p w14:paraId="625EA59E" w14:textId="4D4AE575"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Legjislacioni vendor q</w:t>
            </w:r>
            <w:r w:rsidRPr="004979D2">
              <w:rPr>
                <w:rFonts w:ascii="Times New Roman" w:hAnsi="Times New Roman" w:cs="Times New Roman"/>
                <w:sz w:val="24"/>
                <w:szCs w:val="24"/>
                <w:lang w:eastAsia="zh-CN"/>
              </w:rPr>
              <w:t xml:space="preserve">ë </w:t>
            </w:r>
            <w:proofErr w:type="spellStart"/>
            <w:r w:rsidRPr="004979D2">
              <w:rPr>
                <w:rFonts w:ascii="Times New Roman" w:hAnsi="Times New Roman" w:cs="Times New Roman"/>
                <w:sz w:val="24"/>
                <w:szCs w:val="24"/>
                <w:lang w:eastAsia="zh-CN"/>
              </w:rPr>
              <w:t>transpozon</w:t>
            </w:r>
            <w:proofErr w:type="spellEnd"/>
            <w:r w:rsidRPr="004979D2">
              <w:rPr>
                <w:rFonts w:ascii="Times New Roman" w:hAnsi="Times New Roman" w:cs="Times New Roman"/>
                <w:sz w:val="24"/>
                <w:szCs w:val="24"/>
                <w:lang w:eastAsia="zh-CN"/>
              </w:rPr>
              <w:t xml:space="preserve"> </w:t>
            </w:r>
            <w:proofErr w:type="spellStart"/>
            <w:r w:rsidRPr="004979D2">
              <w:rPr>
                <w:rFonts w:ascii="Times New Roman" w:hAnsi="Times New Roman" w:cs="Times New Roman"/>
                <w:i/>
                <w:sz w:val="24"/>
                <w:szCs w:val="24"/>
                <w:lang w:eastAsia="zh-CN"/>
              </w:rPr>
              <w:t>acquis</w:t>
            </w:r>
            <w:proofErr w:type="spellEnd"/>
            <w:r w:rsidRPr="004979D2">
              <w:rPr>
                <w:rFonts w:ascii="Times New Roman" w:hAnsi="Times New Roman" w:cs="Times New Roman"/>
                <w:sz w:val="24"/>
                <w:szCs w:val="24"/>
                <w:lang w:eastAsia="zh-CN"/>
              </w:rPr>
              <w:t xml:space="preserve"> të BE-së </w:t>
            </w:r>
            <w:r w:rsidRPr="004979D2">
              <w:rPr>
                <w:rFonts w:ascii="Times New Roman" w:hAnsi="Times New Roman" w:cs="Times New Roman"/>
                <w:sz w:val="24"/>
                <w:szCs w:val="24"/>
              </w:rPr>
              <w:t>dhe niveli i p</w:t>
            </w:r>
            <w:r w:rsidRPr="004979D2">
              <w:rPr>
                <w:rFonts w:ascii="Times New Roman" w:hAnsi="Times New Roman" w:cs="Times New Roman"/>
                <w:sz w:val="24"/>
                <w:szCs w:val="24"/>
                <w:lang w:eastAsia="zh-CN"/>
              </w:rPr>
              <w:t>ërputhshmërisë</w:t>
            </w:r>
          </w:p>
        </w:tc>
      </w:tr>
      <w:tr w:rsidR="001622C0" w:rsidRPr="004979D2" w14:paraId="7EC6F59A" w14:textId="77777777" w:rsidTr="00B11DC4">
        <w:tc>
          <w:tcPr>
            <w:tcW w:w="557" w:type="dxa"/>
          </w:tcPr>
          <w:p w14:paraId="78052512" w14:textId="77777777" w:rsidR="001622C0" w:rsidRPr="004979D2" w:rsidRDefault="001622C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6</w:t>
            </w:r>
          </w:p>
        </w:tc>
        <w:tc>
          <w:tcPr>
            <w:tcW w:w="2873" w:type="dxa"/>
          </w:tcPr>
          <w:p w14:paraId="786C253D" w14:textId="77777777" w:rsidR="001622C0" w:rsidRPr="004979D2" w:rsidRDefault="001622C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Njoftimi i Komisionit mbi përcaktimin e tregut relevant për qëllimet e ligjit të konkurrencës së Komunitetit (OJ C 372, 9.12.1997, f. 5-13)</w:t>
            </w:r>
            <w:r w:rsidRPr="004979D2">
              <w:rPr>
                <w:rStyle w:val="FootnoteReference"/>
                <w:rFonts w:ascii="Times New Roman" w:hAnsi="Times New Roman" w:cs="Times New Roman"/>
                <w:sz w:val="24"/>
                <w:szCs w:val="24"/>
              </w:rPr>
              <w:footnoteReference w:id="13"/>
            </w:r>
          </w:p>
          <w:p w14:paraId="67DD7F2E" w14:textId="77777777" w:rsidR="001622C0" w:rsidRPr="004979D2" w:rsidRDefault="001622C0" w:rsidP="002B1BC6">
            <w:pPr>
              <w:spacing w:before="120" w:line="360" w:lineRule="auto"/>
              <w:jc w:val="both"/>
              <w:rPr>
                <w:rFonts w:ascii="Times New Roman" w:hAnsi="Times New Roman" w:cs="Times New Roman"/>
                <w:i/>
                <w:sz w:val="24"/>
                <w:szCs w:val="24"/>
              </w:rPr>
            </w:pPr>
          </w:p>
        </w:tc>
        <w:tc>
          <w:tcPr>
            <w:tcW w:w="2790" w:type="dxa"/>
          </w:tcPr>
          <w:p w14:paraId="376508D0" w14:textId="77777777" w:rsidR="001622C0" w:rsidRPr="004979D2" w:rsidRDefault="001622C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lang w:eastAsia="zh-CN"/>
              </w:rPr>
              <w:t xml:space="preserve">Qëllimi i këtij njoftimi është të ofrojë udhëzime se si Komisioni zbaton konceptin e tregut relevant të produktit dhe gjeografik në zbatimin e tij të vazhdueshëm të ligjit të konkurrencës. Përkufizimi është një mjet për të identifikuar dhe përcaktuar kufijtë e konkurrencës ndërmjet </w:t>
            </w:r>
            <w:r w:rsidRPr="004979D2">
              <w:rPr>
                <w:rFonts w:ascii="Times New Roman" w:hAnsi="Times New Roman" w:cs="Times New Roman"/>
                <w:sz w:val="24"/>
                <w:szCs w:val="24"/>
                <w:lang w:eastAsia="zh-CN"/>
              </w:rPr>
              <w:lastRenderedPageBreak/>
              <w:t>ndërmarrjeve.</w:t>
            </w:r>
          </w:p>
        </w:tc>
        <w:tc>
          <w:tcPr>
            <w:tcW w:w="2970" w:type="dxa"/>
          </w:tcPr>
          <w:p w14:paraId="3A0FEC21" w14:textId="77777777" w:rsidR="001622C0" w:rsidRPr="004979D2" w:rsidRDefault="001622C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lastRenderedPageBreak/>
              <w:t xml:space="preserve">Udhëzim Administrativ Nr. 02/2011 për mënyrën dhe </w:t>
            </w:r>
            <w:proofErr w:type="spellStart"/>
            <w:r w:rsidRPr="004979D2">
              <w:rPr>
                <w:rFonts w:ascii="Times New Roman" w:hAnsi="Times New Roman" w:cs="Times New Roman"/>
                <w:sz w:val="24"/>
                <w:szCs w:val="24"/>
              </w:rPr>
              <w:t>Krieteret</w:t>
            </w:r>
            <w:proofErr w:type="spellEnd"/>
            <w:r w:rsidRPr="004979D2">
              <w:rPr>
                <w:rFonts w:ascii="Times New Roman" w:hAnsi="Times New Roman" w:cs="Times New Roman"/>
                <w:sz w:val="24"/>
                <w:szCs w:val="24"/>
              </w:rPr>
              <w:t xml:space="preserve"> për Përcaktimin e Tregut Relevant.</w:t>
            </w:r>
          </w:p>
          <w:p w14:paraId="0FE27C4B" w14:textId="77777777" w:rsidR="001622C0" w:rsidRPr="004979D2" w:rsidRDefault="001622C0" w:rsidP="002B1BC6">
            <w:pPr>
              <w:spacing w:before="120" w:line="360" w:lineRule="auto"/>
              <w:jc w:val="both"/>
              <w:rPr>
                <w:rFonts w:ascii="Times New Roman" w:hAnsi="Times New Roman" w:cs="Times New Roman"/>
                <w:i/>
                <w:sz w:val="24"/>
                <w:szCs w:val="24"/>
              </w:rPr>
            </w:pPr>
            <w:r w:rsidRPr="004979D2">
              <w:rPr>
                <w:rFonts w:ascii="Times New Roman" w:hAnsi="Times New Roman" w:cs="Times New Roman"/>
                <w:i/>
                <w:sz w:val="24"/>
                <w:szCs w:val="24"/>
              </w:rPr>
              <w:t xml:space="preserve"> Pjesërisht e </w:t>
            </w:r>
            <w:proofErr w:type="spellStart"/>
            <w:r w:rsidRPr="004979D2">
              <w:rPr>
                <w:rFonts w:ascii="Times New Roman" w:hAnsi="Times New Roman" w:cs="Times New Roman"/>
                <w:i/>
                <w:sz w:val="24"/>
                <w:szCs w:val="24"/>
              </w:rPr>
              <w:t>transpozuar</w:t>
            </w:r>
            <w:proofErr w:type="spellEnd"/>
            <w:r w:rsidRPr="004979D2">
              <w:rPr>
                <w:rFonts w:ascii="Times New Roman" w:hAnsi="Times New Roman" w:cs="Times New Roman"/>
                <w:i/>
                <w:sz w:val="24"/>
                <w:szCs w:val="24"/>
              </w:rPr>
              <w:t>.</w:t>
            </w:r>
          </w:p>
        </w:tc>
      </w:tr>
      <w:tr w:rsidR="00321590" w:rsidRPr="004979D2" w14:paraId="37647A92" w14:textId="77777777" w:rsidTr="00321590">
        <w:tc>
          <w:tcPr>
            <w:tcW w:w="557" w:type="dxa"/>
            <w:shd w:val="clear" w:color="auto" w:fill="D0CECE" w:themeFill="background2" w:themeFillShade="E6"/>
          </w:tcPr>
          <w:p w14:paraId="1B6F16B9" w14:textId="5E450033"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lastRenderedPageBreak/>
              <w:t>Nr.</w:t>
            </w:r>
          </w:p>
        </w:tc>
        <w:tc>
          <w:tcPr>
            <w:tcW w:w="2873" w:type="dxa"/>
            <w:shd w:val="clear" w:color="auto" w:fill="D0CECE" w:themeFill="background2" w:themeFillShade="E6"/>
          </w:tcPr>
          <w:p w14:paraId="0FC77CF8" w14:textId="18259C91"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Dispozitat e Traktatit / Rregulloret / Direktivat / Legjislacioni dytësor</w:t>
            </w:r>
          </w:p>
        </w:tc>
        <w:tc>
          <w:tcPr>
            <w:tcW w:w="2790" w:type="dxa"/>
            <w:shd w:val="clear" w:color="auto" w:fill="D0CECE" w:themeFill="background2" w:themeFillShade="E6"/>
          </w:tcPr>
          <w:p w14:paraId="7311EDB0" w14:textId="75F419B3" w:rsidR="00321590" w:rsidRPr="004979D2" w:rsidRDefault="00321590" w:rsidP="002B1BC6">
            <w:pPr>
              <w:spacing w:before="120" w:line="360" w:lineRule="auto"/>
              <w:jc w:val="both"/>
              <w:rPr>
                <w:rFonts w:ascii="Times New Roman" w:hAnsi="Times New Roman" w:cs="Times New Roman"/>
                <w:sz w:val="24"/>
                <w:szCs w:val="24"/>
                <w:lang w:eastAsia="zh-CN"/>
              </w:rPr>
            </w:pPr>
            <w:r w:rsidRPr="004979D2">
              <w:rPr>
                <w:rFonts w:ascii="Times New Roman" w:hAnsi="Times New Roman" w:cs="Times New Roman"/>
                <w:sz w:val="24"/>
                <w:szCs w:val="24"/>
              </w:rPr>
              <w:t>P</w:t>
            </w:r>
            <w:r w:rsidRPr="004979D2">
              <w:rPr>
                <w:rFonts w:ascii="Times New Roman" w:hAnsi="Times New Roman" w:cs="Times New Roman"/>
                <w:sz w:val="24"/>
                <w:szCs w:val="24"/>
                <w:lang w:eastAsia="zh-CN"/>
              </w:rPr>
              <w:t>ërmbajtja dhe qëllimi</w:t>
            </w:r>
          </w:p>
        </w:tc>
        <w:tc>
          <w:tcPr>
            <w:tcW w:w="2970" w:type="dxa"/>
            <w:shd w:val="clear" w:color="auto" w:fill="D0CECE" w:themeFill="background2" w:themeFillShade="E6"/>
          </w:tcPr>
          <w:p w14:paraId="11D8709A" w14:textId="308ADC9E"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Legjislacioni vendor q</w:t>
            </w:r>
            <w:r w:rsidRPr="004979D2">
              <w:rPr>
                <w:rFonts w:ascii="Times New Roman" w:hAnsi="Times New Roman" w:cs="Times New Roman"/>
                <w:sz w:val="24"/>
                <w:szCs w:val="24"/>
                <w:lang w:eastAsia="zh-CN"/>
              </w:rPr>
              <w:t xml:space="preserve">ë </w:t>
            </w:r>
            <w:proofErr w:type="spellStart"/>
            <w:r w:rsidRPr="004979D2">
              <w:rPr>
                <w:rFonts w:ascii="Times New Roman" w:hAnsi="Times New Roman" w:cs="Times New Roman"/>
                <w:sz w:val="24"/>
                <w:szCs w:val="24"/>
                <w:lang w:eastAsia="zh-CN"/>
              </w:rPr>
              <w:t>transpozon</w:t>
            </w:r>
            <w:proofErr w:type="spellEnd"/>
            <w:r w:rsidRPr="004979D2">
              <w:rPr>
                <w:rFonts w:ascii="Times New Roman" w:hAnsi="Times New Roman" w:cs="Times New Roman"/>
                <w:sz w:val="24"/>
                <w:szCs w:val="24"/>
                <w:lang w:eastAsia="zh-CN"/>
              </w:rPr>
              <w:t xml:space="preserve"> </w:t>
            </w:r>
            <w:proofErr w:type="spellStart"/>
            <w:r w:rsidRPr="004979D2">
              <w:rPr>
                <w:rFonts w:ascii="Times New Roman" w:hAnsi="Times New Roman" w:cs="Times New Roman"/>
                <w:i/>
                <w:sz w:val="24"/>
                <w:szCs w:val="24"/>
                <w:lang w:eastAsia="zh-CN"/>
              </w:rPr>
              <w:t>acquis</w:t>
            </w:r>
            <w:proofErr w:type="spellEnd"/>
            <w:r w:rsidRPr="004979D2">
              <w:rPr>
                <w:rFonts w:ascii="Times New Roman" w:hAnsi="Times New Roman" w:cs="Times New Roman"/>
                <w:sz w:val="24"/>
                <w:szCs w:val="24"/>
                <w:lang w:eastAsia="zh-CN"/>
              </w:rPr>
              <w:t xml:space="preserve"> të BE-së </w:t>
            </w:r>
            <w:r w:rsidRPr="004979D2">
              <w:rPr>
                <w:rFonts w:ascii="Times New Roman" w:hAnsi="Times New Roman" w:cs="Times New Roman"/>
                <w:sz w:val="24"/>
                <w:szCs w:val="24"/>
              </w:rPr>
              <w:t>dhe niveli i p</w:t>
            </w:r>
            <w:r w:rsidRPr="004979D2">
              <w:rPr>
                <w:rFonts w:ascii="Times New Roman" w:hAnsi="Times New Roman" w:cs="Times New Roman"/>
                <w:sz w:val="24"/>
                <w:szCs w:val="24"/>
                <w:lang w:eastAsia="zh-CN"/>
              </w:rPr>
              <w:t>ërputhshmërisë</w:t>
            </w:r>
          </w:p>
        </w:tc>
      </w:tr>
      <w:tr w:rsidR="00321590" w:rsidRPr="004979D2" w14:paraId="135516CC" w14:textId="77777777" w:rsidTr="00B11DC4">
        <w:tc>
          <w:tcPr>
            <w:tcW w:w="557" w:type="dxa"/>
          </w:tcPr>
          <w:p w14:paraId="31C9032B"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7</w:t>
            </w:r>
          </w:p>
        </w:tc>
        <w:tc>
          <w:tcPr>
            <w:tcW w:w="2873" w:type="dxa"/>
          </w:tcPr>
          <w:p w14:paraId="078B4398"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Njoftimi i Komisionit mbi praktikat më të mira për zhvillimin e procedurave në lidhje me nenet 101 dhe 102 TFEU (OJ C 308, 20.10.2011, f. 6-32)</w:t>
            </w:r>
            <w:r w:rsidRPr="004979D2">
              <w:rPr>
                <w:rStyle w:val="FootnoteReference"/>
                <w:rFonts w:ascii="Times New Roman" w:hAnsi="Times New Roman" w:cs="Times New Roman"/>
                <w:sz w:val="24"/>
                <w:szCs w:val="24"/>
              </w:rPr>
              <w:footnoteReference w:id="14"/>
            </w:r>
          </w:p>
          <w:p w14:paraId="04ACCFD3" w14:textId="77777777" w:rsidR="00321590" w:rsidRPr="004979D2" w:rsidRDefault="00321590" w:rsidP="002B1BC6">
            <w:pPr>
              <w:spacing w:before="120" w:line="360" w:lineRule="auto"/>
              <w:jc w:val="both"/>
              <w:rPr>
                <w:rFonts w:ascii="Times New Roman" w:hAnsi="Times New Roman" w:cs="Times New Roman"/>
                <w:i/>
                <w:sz w:val="24"/>
                <w:szCs w:val="24"/>
              </w:rPr>
            </w:pPr>
          </w:p>
        </w:tc>
        <w:tc>
          <w:tcPr>
            <w:tcW w:w="2790" w:type="dxa"/>
          </w:tcPr>
          <w:p w14:paraId="74AD8E91" w14:textId="77777777" w:rsidR="00321590" w:rsidRPr="004979D2" w:rsidRDefault="00321590" w:rsidP="002B1BC6">
            <w:pPr>
              <w:spacing w:before="120" w:line="360" w:lineRule="auto"/>
              <w:jc w:val="both"/>
              <w:rPr>
                <w:rFonts w:ascii="Times New Roman" w:hAnsi="Times New Roman" w:cs="Times New Roman"/>
                <w:sz w:val="24"/>
                <w:szCs w:val="24"/>
                <w:lang w:eastAsia="zh-CN"/>
              </w:rPr>
            </w:pPr>
            <w:r w:rsidRPr="004979D2">
              <w:rPr>
                <w:rFonts w:ascii="Times New Roman" w:hAnsi="Times New Roman" w:cs="Times New Roman"/>
                <w:sz w:val="24"/>
                <w:szCs w:val="24"/>
                <w:lang w:eastAsia="zh-CN"/>
              </w:rPr>
              <w:t>Qëllimi kryesor i këtij njoftimi është të sigurojë transparencë me anë të udhëzimeve praktike për zhvillimin e procedurave para Autoritetit të Konkurrencës. Ky udhëzim kërkon të rrisë kuptueshmërinë e procesit të hetimit.</w:t>
            </w:r>
          </w:p>
        </w:tc>
        <w:tc>
          <w:tcPr>
            <w:tcW w:w="2970" w:type="dxa"/>
          </w:tcPr>
          <w:p w14:paraId="4143445E"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Rregullore Nr. 01/ 2017 për Procedurën Hetimore të Autoritetit Kosovar të Konkurrencës. </w:t>
            </w:r>
          </w:p>
          <w:p w14:paraId="4CA28F02" w14:textId="77777777" w:rsidR="00321590" w:rsidRPr="004979D2" w:rsidRDefault="00321590" w:rsidP="002B1BC6">
            <w:pPr>
              <w:spacing w:before="120" w:line="360" w:lineRule="auto"/>
              <w:jc w:val="both"/>
              <w:rPr>
                <w:rFonts w:ascii="Times New Roman" w:hAnsi="Times New Roman" w:cs="Times New Roman"/>
                <w:i/>
                <w:sz w:val="24"/>
                <w:szCs w:val="24"/>
              </w:rPr>
            </w:pPr>
            <w:r w:rsidRPr="004979D2">
              <w:rPr>
                <w:rFonts w:ascii="Times New Roman" w:hAnsi="Times New Roman" w:cs="Times New Roman"/>
                <w:i/>
                <w:sz w:val="24"/>
                <w:szCs w:val="24"/>
              </w:rPr>
              <w:t xml:space="preserve">Pjesërisht e </w:t>
            </w:r>
            <w:proofErr w:type="spellStart"/>
            <w:r w:rsidRPr="004979D2">
              <w:rPr>
                <w:rFonts w:ascii="Times New Roman" w:hAnsi="Times New Roman" w:cs="Times New Roman"/>
                <w:i/>
                <w:sz w:val="24"/>
                <w:szCs w:val="24"/>
              </w:rPr>
              <w:t>transpozuar</w:t>
            </w:r>
            <w:proofErr w:type="spellEnd"/>
            <w:r w:rsidRPr="004979D2">
              <w:rPr>
                <w:rFonts w:ascii="Times New Roman" w:hAnsi="Times New Roman" w:cs="Times New Roman"/>
                <w:i/>
                <w:sz w:val="24"/>
                <w:szCs w:val="24"/>
              </w:rPr>
              <w:t>.</w:t>
            </w:r>
          </w:p>
        </w:tc>
      </w:tr>
      <w:tr w:rsidR="00321590" w:rsidRPr="004979D2" w14:paraId="5B0B0725" w14:textId="77777777" w:rsidTr="00B11DC4">
        <w:tc>
          <w:tcPr>
            <w:tcW w:w="557" w:type="dxa"/>
          </w:tcPr>
          <w:p w14:paraId="42584622"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8</w:t>
            </w:r>
          </w:p>
        </w:tc>
        <w:tc>
          <w:tcPr>
            <w:tcW w:w="2873" w:type="dxa"/>
          </w:tcPr>
          <w:p w14:paraId="4F875EC4"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Komunikimi nga Komisioni - Njoftimi për marrëveshjet me rëndësi të vogël që nuk e kufizojnë ndjeshëm konkurrencën sipas nenit 101 (1) të Traktatit për Funksionimin e Bashkimit Evropian (Njoftimi De </w:t>
            </w:r>
            <w:proofErr w:type="spellStart"/>
            <w:r w:rsidRPr="004979D2">
              <w:rPr>
                <w:rFonts w:ascii="Times New Roman" w:hAnsi="Times New Roman" w:cs="Times New Roman"/>
                <w:sz w:val="24"/>
                <w:szCs w:val="24"/>
              </w:rPr>
              <w:t>Minimis</w:t>
            </w:r>
            <w:proofErr w:type="spellEnd"/>
            <w:r w:rsidRPr="004979D2">
              <w:rPr>
                <w:rFonts w:ascii="Times New Roman" w:hAnsi="Times New Roman" w:cs="Times New Roman"/>
                <w:sz w:val="24"/>
                <w:szCs w:val="24"/>
              </w:rPr>
              <w:t>) (OJ C 291, 30.08.2014, f. 1-4)</w:t>
            </w:r>
            <w:r w:rsidRPr="004979D2">
              <w:rPr>
                <w:rStyle w:val="FootnoteReference"/>
                <w:rFonts w:ascii="Times New Roman" w:hAnsi="Times New Roman" w:cs="Times New Roman"/>
                <w:sz w:val="24"/>
                <w:szCs w:val="24"/>
              </w:rPr>
              <w:footnoteReference w:id="15"/>
            </w:r>
          </w:p>
          <w:p w14:paraId="174B6BEF" w14:textId="77777777" w:rsidR="00321590" w:rsidRPr="004979D2" w:rsidRDefault="00321590" w:rsidP="002B1BC6">
            <w:pPr>
              <w:spacing w:before="120" w:line="360" w:lineRule="auto"/>
              <w:jc w:val="both"/>
              <w:rPr>
                <w:rFonts w:ascii="Times New Roman" w:hAnsi="Times New Roman" w:cs="Times New Roman"/>
                <w:i/>
                <w:sz w:val="24"/>
                <w:szCs w:val="24"/>
              </w:rPr>
            </w:pPr>
          </w:p>
        </w:tc>
        <w:tc>
          <w:tcPr>
            <w:tcW w:w="2790" w:type="dxa"/>
          </w:tcPr>
          <w:p w14:paraId="4378646D"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lang w:eastAsia="zh-CN"/>
              </w:rPr>
              <w:lastRenderedPageBreak/>
              <w:t xml:space="preserve">Njoftimi tregon, me ndihmën e pragjeve të pjesëmarrjes në treg, se në cilat rrethana marrëveshjet që konsiderohen të kenë si efekt parandalimin, kufizimin ose shtrembërimin e konkurrencës brenda tregut të brendshëm nuk përbëjnë një kufizim të </w:t>
            </w:r>
            <w:r w:rsidRPr="004979D2">
              <w:rPr>
                <w:rFonts w:ascii="Times New Roman" w:hAnsi="Times New Roman" w:cs="Times New Roman"/>
                <w:sz w:val="24"/>
                <w:szCs w:val="24"/>
                <w:lang w:eastAsia="zh-CN"/>
              </w:rPr>
              <w:lastRenderedPageBreak/>
              <w:t>ndjeshëm të konkurrencës.</w:t>
            </w:r>
          </w:p>
        </w:tc>
        <w:tc>
          <w:tcPr>
            <w:tcW w:w="2970" w:type="dxa"/>
          </w:tcPr>
          <w:p w14:paraId="7CB170B4"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lastRenderedPageBreak/>
              <w:t>Udhëzim Administrativ Nr. 05/2012 për Kriteret dhe Kushtet për Përcaktimin e Marrëveshjeve me Vlerë të Vogël.</w:t>
            </w:r>
          </w:p>
          <w:p w14:paraId="3E3D91B1" w14:textId="77777777" w:rsidR="00321590" w:rsidRPr="004979D2" w:rsidRDefault="00321590" w:rsidP="002B1BC6">
            <w:pPr>
              <w:spacing w:before="120" w:line="360" w:lineRule="auto"/>
              <w:jc w:val="both"/>
              <w:rPr>
                <w:rFonts w:ascii="Times New Roman" w:hAnsi="Times New Roman" w:cs="Times New Roman"/>
                <w:i/>
                <w:sz w:val="24"/>
                <w:szCs w:val="24"/>
              </w:rPr>
            </w:pPr>
            <w:r w:rsidRPr="004979D2">
              <w:rPr>
                <w:rFonts w:ascii="Times New Roman" w:hAnsi="Times New Roman" w:cs="Times New Roman"/>
                <w:i/>
                <w:sz w:val="24"/>
                <w:szCs w:val="24"/>
              </w:rPr>
              <w:t xml:space="preserve">Pjesërisht e </w:t>
            </w:r>
            <w:proofErr w:type="spellStart"/>
            <w:r w:rsidRPr="004979D2">
              <w:rPr>
                <w:rFonts w:ascii="Times New Roman" w:hAnsi="Times New Roman" w:cs="Times New Roman"/>
                <w:i/>
                <w:sz w:val="24"/>
                <w:szCs w:val="24"/>
              </w:rPr>
              <w:t>transpozuar</w:t>
            </w:r>
            <w:proofErr w:type="spellEnd"/>
            <w:r w:rsidRPr="004979D2">
              <w:rPr>
                <w:rFonts w:ascii="Times New Roman" w:hAnsi="Times New Roman" w:cs="Times New Roman"/>
                <w:i/>
                <w:sz w:val="24"/>
                <w:szCs w:val="24"/>
              </w:rPr>
              <w:t>.</w:t>
            </w:r>
          </w:p>
        </w:tc>
      </w:tr>
      <w:tr w:rsidR="00321590" w:rsidRPr="004979D2" w14:paraId="6F8BD3AA" w14:textId="77777777" w:rsidTr="00321590">
        <w:tc>
          <w:tcPr>
            <w:tcW w:w="557" w:type="dxa"/>
            <w:shd w:val="clear" w:color="auto" w:fill="D0CECE" w:themeFill="background2" w:themeFillShade="E6"/>
          </w:tcPr>
          <w:p w14:paraId="4DAFC520" w14:textId="04775C94"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lastRenderedPageBreak/>
              <w:t>Nr.</w:t>
            </w:r>
          </w:p>
        </w:tc>
        <w:tc>
          <w:tcPr>
            <w:tcW w:w="2873" w:type="dxa"/>
            <w:shd w:val="clear" w:color="auto" w:fill="D0CECE" w:themeFill="background2" w:themeFillShade="E6"/>
          </w:tcPr>
          <w:p w14:paraId="6B2A4E10" w14:textId="72275661"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Dispozitat e Traktatit / Rregulloret / Direktivat / Legjislacioni dytësor</w:t>
            </w:r>
          </w:p>
        </w:tc>
        <w:tc>
          <w:tcPr>
            <w:tcW w:w="2790" w:type="dxa"/>
            <w:shd w:val="clear" w:color="auto" w:fill="D0CECE" w:themeFill="background2" w:themeFillShade="E6"/>
          </w:tcPr>
          <w:p w14:paraId="5101BC2A" w14:textId="6A29C56A"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P</w:t>
            </w:r>
            <w:r w:rsidRPr="004979D2">
              <w:rPr>
                <w:rFonts w:ascii="Times New Roman" w:hAnsi="Times New Roman" w:cs="Times New Roman"/>
                <w:sz w:val="24"/>
                <w:szCs w:val="24"/>
                <w:lang w:eastAsia="zh-CN"/>
              </w:rPr>
              <w:t>ërmbajtja dhe qëllimi</w:t>
            </w:r>
          </w:p>
        </w:tc>
        <w:tc>
          <w:tcPr>
            <w:tcW w:w="2970" w:type="dxa"/>
            <w:shd w:val="clear" w:color="auto" w:fill="D0CECE" w:themeFill="background2" w:themeFillShade="E6"/>
          </w:tcPr>
          <w:p w14:paraId="4A9C76F1" w14:textId="5F876F36"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Legjislacioni vendor q</w:t>
            </w:r>
            <w:r w:rsidRPr="004979D2">
              <w:rPr>
                <w:rFonts w:ascii="Times New Roman" w:hAnsi="Times New Roman" w:cs="Times New Roman"/>
                <w:sz w:val="24"/>
                <w:szCs w:val="24"/>
                <w:lang w:eastAsia="zh-CN"/>
              </w:rPr>
              <w:t xml:space="preserve">ë </w:t>
            </w:r>
            <w:proofErr w:type="spellStart"/>
            <w:r w:rsidRPr="004979D2">
              <w:rPr>
                <w:rFonts w:ascii="Times New Roman" w:hAnsi="Times New Roman" w:cs="Times New Roman"/>
                <w:sz w:val="24"/>
                <w:szCs w:val="24"/>
                <w:lang w:eastAsia="zh-CN"/>
              </w:rPr>
              <w:t>transpozon</w:t>
            </w:r>
            <w:proofErr w:type="spellEnd"/>
            <w:r w:rsidRPr="004979D2">
              <w:rPr>
                <w:rFonts w:ascii="Times New Roman" w:hAnsi="Times New Roman" w:cs="Times New Roman"/>
                <w:sz w:val="24"/>
                <w:szCs w:val="24"/>
                <w:lang w:eastAsia="zh-CN"/>
              </w:rPr>
              <w:t xml:space="preserve"> </w:t>
            </w:r>
            <w:proofErr w:type="spellStart"/>
            <w:r w:rsidRPr="004979D2">
              <w:rPr>
                <w:rFonts w:ascii="Times New Roman" w:hAnsi="Times New Roman" w:cs="Times New Roman"/>
                <w:i/>
                <w:sz w:val="24"/>
                <w:szCs w:val="24"/>
                <w:lang w:eastAsia="zh-CN"/>
              </w:rPr>
              <w:t>acquis</w:t>
            </w:r>
            <w:proofErr w:type="spellEnd"/>
            <w:r w:rsidRPr="004979D2">
              <w:rPr>
                <w:rFonts w:ascii="Times New Roman" w:hAnsi="Times New Roman" w:cs="Times New Roman"/>
                <w:sz w:val="24"/>
                <w:szCs w:val="24"/>
                <w:lang w:eastAsia="zh-CN"/>
              </w:rPr>
              <w:t xml:space="preserve"> të BE-së </w:t>
            </w:r>
            <w:r w:rsidRPr="004979D2">
              <w:rPr>
                <w:rFonts w:ascii="Times New Roman" w:hAnsi="Times New Roman" w:cs="Times New Roman"/>
                <w:sz w:val="24"/>
                <w:szCs w:val="24"/>
              </w:rPr>
              <w:t>dhe niveli i p</w:t>
            </w:r>
            <w:r w:rsidRPr="004979D2">
              <w:rPr>
                <w:rFonts w:ascii="Times New Roman" w:hAnsi="Times New Roman" w:cs="Times New Roman"/>
                <w:sz w:val="24"/>
                <w:szCs w:val="24"/>
                <w:lang w:eastAsia="zh-CN"/>
              </w:rPr>
              <w:t>ërputhshmërisë</w:t>
            </w:r>
          </w:p>
        </w:tc>
      </w:tr>
      <w:tr w:rsidR="00321590" w:rsidRPr="004979D2" w14:paraId="17CC848F" w14:textId="77777777" w:rsidTr="00B11DC4">
        <w:tc>
          <w:tcPr>
            <w:tcW w:w="557" w:type="dxa"/>
          </w:tcPr>
          <w:p w14:paraId="511DFA18"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9</w:t>
            </w:r>
          </w:p>
        </w:tc>
        <w:tc>
          <w:tcPr>
            <w:tcW w:w="2873" w:type="dxa"/>
          </w:tcPr>
          <w:p w14:paraId="06105AE4"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Rregullorja e Komisionit (BE) 330/2010 e datës 20 prill 2010 mbi zbatimin e nenit 101 (3) të Traktatit për Funksionimin e Bashkimit Evropian në kategoritë e marrëveshjeve vertikale dhe praktikave të bashkërenduara (OJ L 102, 23.04.2010, f. 1-7)</w:t>
            </w:r>
            <w:r w:rsidRPr="004979D2">
              <w:rPr>
                <w:rStyle w:val="FootnoteReference"/>
                <w:rFonts w:ascii="Times New Roman" w:hAnsi="Times New Roman" w:cs="Times New Roman"/>
                <w:sz w:val="24"/>
                <w:szCs w:val="24"/>
              </w:rPr>
              <w:footnoteReference w:id="16"/>
            </w:r>
          </w:p>
        </w:tc>
        <w:tc>
          <w:tcPr>
            <w:tcW w:w="2790" w:type="dxa"/>
          </w:tcPr>
          <w:p w14:paraId="3C7B8D15"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Rregullorja përcakton kategoritë e marrëveshjeve vertikale dhe praktikave të bashkërenduara të cilat mund të konsiderohen se normalisht plotësojnë kushtet e përcaktuara në nenin 101 (3) të Traktatit, pasi që disa lloje të marrëveshjeve vertikale mund të përmirësojnë efikasitetin ekonomik brenda një zinxhiri prodhimi ose shpërndarjeje duke lehtësuar më mirë koordinimi midis ndërmarrjeve pjesëmarrëse</w:t>
            </w:r>
          </w:p>
        </w:tc>
        <w:tc>
          <w:tcPr>
            <w:tcW w:w="2970" w:type="dxa"/>
          </w:tcPr>
          <w:p w14:paraId="6AE03791"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Udhëzim Administrativ Nr. 03/2017 për Përjashtimet Grupore të Marrëveshjeve Vertikale ndërmjet Ndërmarrësve.</w:t>
            </w:r>
          </w:p>
          <w:p w14:paraId="36C0A6D2" w14:textId="77777777" w:rsidR="00321590" w:rsidRPr="004979D2" w:rsidRDefault="00321590" w:rsidP="002B1BC6">
            <w:pPr>
              <w:spacing w:before="120" w:line="360" w:lineRule="auto"/>
              <w:jc w:val="both"/>
              <w:rPr>
                <w:rFonts w:ascii="Times New Roman" w:hAnsi="Times New Roman" w:cs="Times New Roman"/>
                <w:i/>
                <w:sz w:val="24"/>
                <w:szCs w:val="24"/>
              </w:rPr>
            </w:pPr>
            <w:r w:rsidRPr="004979D2">
              <w:rPr>
                <w:rFonts w:ascii="Times New Roman" w:hAnsi="Times New Roman" w:cs="Times New Roman"/>
                <w:i/>
                <w:sz w:val="24"/>
                <w:szCs w:val="24"/>
              </w:rPr>
              <w:t xml:space="preserve"> Pjesërisht e </w:t>
            </w:r>
            <w:proofErr w:type="spellStart"/>
            <w:r w:rsidRPr="004979D2">
              <w:rPr>
                <w:rFonts w:ascii="Times New Roman" w:hAnsi="Times New Roman" w:cs="Times New Roman"/>
                <w:i/>
                <w:sz w:val="24"/>
                <w:szCs w:val="24"/>
              </w:rPr>
              <w:t>transpozuar</w:t>
            </w:r>
            <w:proofErr w:type="spellEnd"/>
            <w:r w:rsidRPr="004979D2">
              <w:rPr>
                <w:rFonts w:ascii="Times New Roman" w:hAnsi="Times New Roman" w:cs="Times New Roman"/>
                <w:i/>
                <w:sz w:val="24"/>
                <w:szCs w:val="24"/>
              </w:rPr>
              <w:t>.</w:t>
            </w:r>
          </w:p>
        </w:tc>
      </w:tr>
      <w:tr w:rsidR="00321590" w:rsidRPr="004979D2" w14:paraId="1FC3F805" w14:textId="77777777" w:rsidTr="00321590">
        <w:tc>
          <w:tcPr>
            <w:tcW w:w="557" w:type="dxa"/>
            <w:shd w:val="clear" w:color="auto" w:fill="D0CECE" w:themeFill="background2" w:themeFillShade="E6"/>
          </w:tcPr>
          <w:p w14:paraId="2A780E1D" w14:textId="5936668F"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lastRenderedPageBreak/>
              <w:t>Nr.</w:t>
            </w:r>
          </w:p>
        </w:tc>
        <w:tc>
          <w:tcPr>
            <w:tcW w:w="2873" w:type="dxa"/>
            <w:shd w:val="clear" w:color="auto" w:fill="D0CECE" w:themeFill="background2" w:themeFillShade="E6"/>
          </w:tcPr>
          <w:p w14:paraId="5AC22BC0" w14:textId="1709539E"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Dispozitat e Traktatit / Rregulloret / Direktivat / Legjislacioni dytësor</w:t>
            </w:r>
          </w:p>
        </w:tc>
        <w:tc>
          <w:tcPr>
            <w:tcW w:w="2790" w:type="dxa"/>
            <w:shd w:val="clear" w:color="auto" w:fill="D0CECE" w:themeFill="background2" w:themeFillShade="E6"/>
          </w:tcPr>
          <w:p w14:paraId="66154DF3" w14:textId="5BD99BCE"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P</w:t>
            </w:r>
            <w:r w:rsidRPr="004979D2">
              <w:rPr>
                <w:rFonts w:ascii="Times New Roman" w:hAnsi="Times New Roman" w:cs="Times New Roman"/>
                <w:sz w:val="24"/>
                <w:szCs w:val="24"/>
                <w:lang w:eastAsia="zh-CN"/>
              </w:rPr>
              <w:t>ërmbajtja dhe qëllimi</w:t>
            </w:r>
          </w:p>
        </w:tc>
        <w:tc>
          <w:tcPr>
            <w:tcW w:w="2970" w:type="dxa"/>
            <w:shd w:val="clear" w:color="auto" w:fill="D0CECE" w:themeFill="background2" w:themeFillShade="E6"/>
          </w:tcPr>
          <w:p w14:paraId="5A5C3E04" w14:textId="463B0BA5"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Legjislacioni vendor q</w:t>
            </w:r>
            <w:r w:rsidRPr="004979D2">
              <w:rPr>
                <w:rFonts w:ascii="Times New Roman" w:hAnsi="Times New Roman" w:cs="Times New Roman"/>
                <w:sz w:val="24"/>
                <w:szCs w:val="24"/>
                <w:lang w:eastAsia="zh-CN"/>
              </w:rPr>
              <w:t xml:space="preserve">ë </w:t>
            </w:r>
            <w:proofErr w:type="spellStart"/>
            <w:r w:rsidRPr="004979D2">
              <w:rPr>
                <w:rFonts w:ascii="Times New Roman" w:hAnsi="Times New Roman" w:cs="Times New Roman"/>
                <w:sz w:val="24"/>
                <w:szCs w:val="24"/>
                <w:lang w:eastAsia="zh-CN"/>
              </w:rPr>
              <w:t>transpozon</w:t>
            </w:r>
            <w:proofErr w:type="spellEnd"/>
            <w:r w:rsidRPr="004979D2">
              <w:rPr>
                <w:rFonts w:ascii="Times New Roman" w:hAnsi="Times New Roman" w:cs="Times New Roman"/>
                <w:sz w:val="24"/>
                <w:szCs w:val="24"/>
                <w:lang w:eastAsia="zh-CN"/>
              </w:rPr>
              <w:t xml:space="preserve"> </w:t>
            </w:r>
            <w:proofErr w:type="spellStart"/>
            <w:r w:rsidRPr="004979D2">
              <w:rPr>
                <w:rFonts w:ascii="Times New Roman" w:hAnsi="Times New Roman" w:cs="Times New Roman"/>
                <w:i/>
                <w:sz w:val="24"/>
                <w:szCs w:val="24"/>
                <w:lang w:eastAsia="zh-CN"/>
              </w:rPr>
              <w:t>acquis</w:t>
            </w:r>
            <w:proofErr w:type="spellEnd"/>
            <w:r w:rsidRPr="004979D2">
              <w:rPr>
                <w:rFonts w:ascii="Times New Roman" w:hAnsi="Times New Roman" w:cs="Times New Roman"/>
                <w:sz w:val="24"/>
                <w:szCs w:val="24"/>
                <w:lang w:eastAsia="zh-CN"/>
              </w:rPr>
              <w:t xml:space="preserve"> të BE-së </w:t>
            </w:r>
            <w:r w:rsidRPr="004979D2">
              <w:rPr>
                <w:rFonts w:ascii="Times New Roman" w:hAnsi="Times New Roman" w:cs="Times New Roman"/>
                <w:sz w:val="24"/>
                <w:szCs w:val="24"/>
              </w:rPr>
              <w:t>dhe niveli i p</w:t>
            </w:r>
            <w:r w:rsidRPr="004979D2">
              <w:rPr>
                <w:rFonts w:ascii="Times New Roman" w:hAnsi="Times New Roman" w:cs="Times New Roman"/>
                <w:sz w:val="24"/>
                <w:szCs w:val="24"/>
                <w:lang w:eastAsia="zh-CN"/>
              </w:rPr>
              <w:t>ërputhshmërisë</w:t>
            </w:r>
          </w:p>
        </w:tc>
      </w:tr>
      <w:tr w:rsidR="00321590" w:rsidRPr="004979D2" w14:paraId="5461554D" w14:textId="77777777" w:rsidTr="00B11DC4">
        <w:tc>
          <w:tcPr>
            <w:tcW w:w="557" w:type="dxa"/>
          </w:tcPr>
          <w:p w14:paraId="1C061341"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10</w:t>
            </w:r>
          </w:p>
        </w:tc>
        <w:tc>
          <w:tcPr>
            <w:tcW w:w="2873" w:type="dxa"/>
          </w:tcPr>
          <w:p w14:paraId="301D6C05"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Rregullorja e Komisionit (BE) Nr. 461/2010 e 27 majit 2010 mbi zbatimin e nenit 101 (3) të Traktatit për Funksionimin e Bashkimit Evropian në kategoritë e marrëveshjeve vertikale dhe praktikave të bashkërenduara në sektorin e automjeteve motorike (OJ L 129, 28.05.2010, f. 52-57)</w:t>
            </w:r>
            <w:r w:rsidRPr="004979D2">
              <w:rPr>
                <w:rStyle w:val="FootnoteReference"/>
                <w:rFonts w:ascii="Times New Roman" w:hAnsi="Times New Roman" w:cs="Times New Roman"/>
                <w:sz w:val="24"/>
                <w:szCs w:val="24"/>
              </w:rPr>
              <w:footnoteReference w:id="17"/>
            </w:r>
          </w:p>
          <w:p w14:paraId="73C5D9A0" w14:textId="77777777" w:rsidR="00321590" w:rsidRPr="004979D2" w:rsidRDefault="00321590" w:rsidP="002B1BC6">
            <w:pPr>
              <w:spacing w:before="120" w:line="360" w:lineRule="auto"/>
              <w:jc w:val="both"/>
              <w:rPr>
                <w:rFonts w:ascii="Times New Roman" w:hAnsi="Times New Roman" w:cs="Times New Roman"/>
                <w:i/>
                <w:sz w:val="24"/>
                <w:szCs w:val="24"/>
              </w:rPr>
            </w:pPr>
          </w:p>
        </w:tc>
        <w:tc>
          <w:tcPr>
            <w:tcW w:w="2790" w:type="dxa"/>
          </w:tcPr>
          <w:p w14:paraId="083AB8DA"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Ky përjashtim nga grupi i sektorit përfshin marrëveshjet vertikale për blerjen, shitjen ose rishitjen e automjeteve të reja, marrëveshjet vertikale për blerjen, shitjen ose rishitjen e pjesëve rezervë për mjetet motorike dhe marrëveshjet vertikale për ofrimin e shërbimeve të riparimit dhe mirëmbajtjes për këto automjete, kur këto marrëveshje janë lidhur midis ndërmarrjeve jo-konkurruese, midis konkurrentëve të caktuar ose disa shoqatave të shitësve me pakicë ose riparuesish.</w:t>
            </w:r>
          </w:p>
        </w:tc>
        <w:tc>
          <w:tcPr>
            <w:tcW w:w="2970" w:type="dxa"/>
          </w:tcPr>
          <w:p w14:paraId="4FD2420F"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Udhëzim Administrativ Nr. 06/2017 për Përjashtimet Grupore të Marrëveshjeve për </w:t>
            </w:r>
            <w:proofErr w:type="spellStart"/>
            <w:r w:rsidRPr="004979D2">
              <w:rPr>
                <w:rFonts w:ascii="Times New Roman" w:hAnsi="Times New Roman" w:cs="Times New Roman"/>
                <w:sz w:val="24"/>
                <w:szCs w:val="24"/>
              </w:rPr>
              <w:t>Distribuimin</w:t>
            </w:r>
            <w:proofErr w:type="spellEnd"/>
            <w:r w:rsidRPr="004979D2">
              <w:rPr>
                <w:rFonts w:ascii="Times New Roman" w:hAnsi="Times New Roman" w:cs="Times New Roman"/>
                <w:sz w:val="24"/>
                <w:szCs w:val="24"/>
              </w:rPr>
              <w:t xml:space="preserve"> dhe </w:t>
            </w:r>
            <w:proofErr w:type="spellStart"/>
            <w:r w:rsidRPr="004979D2">
              <w:rPr>
                <w:rFonts w:ascii="Times New Roman" w:hAnsi="Times New Roman" w:cs="Times New Roman"/>
                <w:sz w:val="24"/>
                <w:szCs w:val="24"/>
              </w:rPr>
              <w:t>Servisimin</w:t>
            </w:r>
            <w:proofErr w:type="spellEnd"/>
            <w:r w:rsidRPr="004979D2">
              <w:rPr>
                <w:rFonts w:ascii="Times New Roman" w:hAnsi="Times New Roman" w:cs="Times New Roman"/>
                <w:sz w:val="24"/>
                <w:szCs w:val="24"/>
              </w:rPr>
              <w:t xml:space="preserve"> e Automjeteve Motorike.</w:t>
            </w:r>
          </w:p>
          <w:p w14:paraId="503D227F" w14:textId="77777777" w:rsidR="00321590" w:rsidRPr="004979D2" w:rsidRDefault="00321590" w:rsidP="002B1BC6">
            <w:pPr>
              <w:spacing w:before="120" w:line="360" w:lineRule="auto"/>
              <w:jc w:val="both"/>
              <w:rPr>
                <w:rFonts w:ascii="Times New Roman" w:hAnsi="Times New Roman" w:cs="Times New Roman"/>
                <w:i/>
                <w:sz w:val="24"/>
                <w:szCs w:val="24"/>
              </w:rPr>
            </w:pPr>
            <w:r w:rsidRPr="004979D2">
              <w:rPr>
                <w:rFonts w:ascii="Times New Roman" w:hAnsi="Times New Roman" w:cs="Times New Roman"/>
                <w:i/>
                <w:sz w:val="24"/>
                <w:szCs w:val="24"/>
              </w:rPr>
              <w:t xml:space="preserve">Pjesërisht e </w:t>
            </w:r>
            <w:proofErr w:type="spellStart"/>
            <w:r w:rsidRPr="004979D2">
              <w:rPr>
                <w:rFonts w:ascii="Times New Roman" w:hAnsi="Times New Roman" w:cs="Times New Roman"/>
                <w:i/>
                <w:sz w:val="24"/>
                <w:szCs w:val="24"/>
              </w:rPr>
              <w:t>transpozuar</w:t>
            </w:r>
            <w:proofErr w:type="spellEnd"/>
            <w:r w:rsidRPr="004979D2">
              <w:rPr>
                <w:rFonts w:ascii="Times New Roman" w:hAnsi="Times New Roman" w:cs="Times New Roman"/>
                <w:i/>
                <w:sz w:val="24"/>
                <w:szCs w:val="24"/>
              </w:rPr>
              <w:t>.</w:t>
            </w:r>
          </w:p>
        </w:tc>
      </w:tr>
      <w:tr w:rsidR="00321590" w:rsidRPr="004979D2" w14:paraId="5764F8D0" w14:textId="77777777" w:rsidTr="00B11DC4">
        <w:tc>
          <w:tcPr>
            <w:tcW w:w="557" w:type="dxa"/>
          </w:tcPr>
          <w:p w14:paraId="35124BC8"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11</w:t>
            </w:r>
          </w:p>
        </w:tc>
        <w:tc>
          <w:tcPr>
            <w:tcW w:w="2873" w:type="dxa"/>
          </w:tcPr>
          <w:p w14:paraId="19F20536"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Udhëzime mbi </w:t>
            </w:r>
            <w:proofErr w:type="spellStart"/>
            <w:r w:rsidRPr="004979D2">
              <w:rPr>
                <w:rFonts w:ascii="Times New Roman" w:hAnsi="Times New Roman" w:cs="Times New Roman"/>
                <w:sz w:val="24"/>
                <w:szCs w:val="24"/>
              </w:rPr>
              <w:t>zbatueshmërinë</w:t>
            </w:r>
            <w:proofErr w:type="spellEnd"/>
            <w:r w:rsidRPr="004979D2">
              <w:rPr>
                <w:rFonts w:ascii="Times New Roman" w:hAnsi="Times New Roman" w:cs="Times New Roman"/>
                <w:sz w:val="24"/>
                <w:szCs w:val="24"/>
              </w:rPr>
              <w:t xml:space="preserve"> e nenit 101 </w:t>
            </w:r>
            <w:r w:rsidRPr="004979D2">
              <w:rPr>
                <w:rFonts w:ascii="Times New Roman" w:hAnsi="Times New Roman" w:cs="Times New Roman"/>
                <w:sz w:val="24"/>
                <w:szCs w:val="24"/>
              </w:rPr>
              <w:lastRenderedPageBreak/>
              <w:t>të Traktatit për Funksionimin e Bashkimit Evropian në marrëveshjet e bashkëpunimit horizontal (OJ C 11, 14.01.2011, f. 1-72)</w:t>
            </w:r>
            <w:r w:rsidRPr="004979D2">
              <w:rPr>
                <w:rStyle w:val="FootnoteReference"/>
                <w:rFonts w:ascii="Times New Roman" w:hAnsi="Times New Roman" w:cs="Times New Roman"/>
                <w:sz w:val="24"/>
                <w:szCs w:val="24"/>
              </w:rPr>
              <w:footnoteReference w:id="18"/>
            </w:r>
          </w:p>
          <w:p w14:paraId="74BE9C04" w14:textId="77777777" w:rsidR="00321590" w:rsidRPr="004979D2" w:rsidRDefault="00321590" w:rsidP="002B1BC6">
            <w:pPr>
              <w:spacing w:before="120" w:line="360" w:lineRule="auto"/>
              <w:jc w:val="both"/>
              <w:rPr>
                <w:rFonts w:ascii="Times New Roman" w:hAnsi="Times New Roman" w:cs="Times New Roman"/>
                <w:i/>
                <w:sz w:val="24"/>
                <w:szCs w:val="24"/>
              </w:rPr>
            </w:pPr>
          </w:p>
        </w:tc>
        <w:tc>
          <w:tcPr>
            <w:tcW w:w="2790" w:type="dxa"/>
          </w:tcPr>
          <w:p w14:paraId="4F743685" w14:textId="77777777" w:rsidR="00321590" w:rsidRPr="004979D2" w:rsidRDefault="00321590" w:rsidP="002B1BC6">
            <w:pPr>
              <w:spacing w:before="120" w:line="360" w:lineRule="auto"/>
              <w:jc w:val="both"/>
              <w:rPr>
                <w:rFonts w:ascii="Times New Roman" w:hAnsi="Times New Roman" w:cs="Times New Roman"/>
                <w:sz w:val="24"/>
                <w:szCs w:val="24"/>
                <w:lang w:eastAsia="zh-CN"/>
              </w:rPr>
            </w:pPr>
            <w:r w:rsidRPr="004979D2">
              <w:rPr>
                <w:rFonts w:ascii="Times New Roman" w:hAnsi="Times New Roman" w:cs="Times New Roman"/>
                <w:sz w:val="24"/>
                <w:szCs w:val="24"/>
                <w:lang w:eastAsia="zh-CN"/>
              </w:rPr>
              <w:lastRenderedPageBreak/>
              <w:t xml:space="preserve">Përcakton parimet për vlerësim sipas nenit 101 të </w:t>
            </w:r>
            <w:r w:rsidRPr="004979D2">
              <w:rPr>
                <w:rFonts w:ascii="Times New Roman" w:hAnsi="Times New Roman" w:cs="Times New Roman"/>
                <w:sz w:val="24"/>
                <w:szCs w:val="24"/>
                <w:lang w:eastAsia="zh-CN"/>
              </w:rPr>
              <w:lastRenderedPageBreak/>
              <w:t>TFBE-së të marrëveshjeve midis ndërmarrjeve, vendimeve të shoqatave të ndërmarrjeve dhe praktikave të përbashkëta që kanë të bëjnë me bashkëpunimin horizontal. Bashkëpunimi është i një "natyre horizontale" në qoftë se lidhet një marrëveshje ndërmjet konkurrentëve aktual ose potencialë. Përveç kësaj, këto udhëzime gjithashtu mbulojnë marrëveshjet horizontale të bashkëpunimit midis jo-konkurrentëve, për shembull, midis dy kompanive që veprojnë në tregjet e njëjta produkti, por në tregje të ndryshme gjeografike pa qenë konkurrentë të mundshëm.</w:t>
            </w:r>
          </w:p>
        </w:tc>
        <w:tc>
          <w:tcPr>
            <w:tcW w:w="2970" w:type="dxa"/>
          </w:tcPr>
          <w:p w14:paraId="385C69E7"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lastRenderedPageBreak/>
              <w:t xml:space="preserve">Udhëzim Administrativ Nr. 02/2017 për Përjashtimet </w:t>
            </w:r>
            <w:r w:rsidRPr="004979D2">
              <w:rPr>
                <w:rFonts w:ascii="Times New Roman" w:hAnsi="Times New Roman" w:cs="Times New Roman"/>
                <w:sz w:val="24"/>
                <w:szCs w:val="24"/>
              </w:rPr>
              <w:lastRenderedPageBreak/>
              <w:t>Grupore për Marrëveshjeve Horizontale ndërmjet ndërmarrësve.</w:t>
            </w:r>
          </w:p>
          <w:p w14:paraId="4C5797BD" w14:textId="77777777" w:rsidR="00321590" w:rsidRPr="004979D2" w:rsidRDefault="00321590" w:rsidP="002B1BC6">
            <w:pPr>
              <w:spacing w:before="120" w:line="360" w:lineRule="auto"/>
              <w:jc w:val="both"/>
              <w:rPr>
                <w:rFonts w:ascii="Times New Roman" w:hAnsi="Times New Roman" w:cs="Times New Roman"/>
                <w:i/>
                <w:sz w:val="24"/>
                <w:szCs w:val="24"/>
              </w:rPr>
            </w:pPr>
            <w:r w:rsidRPr="004979D2">
              <w:rPr>
                <w:rFonts w:ascii="Times New Roman" w:hAnsi="Times New Roman" w:cs="Times New Roman"/>
                <w:sz w:val="24"/>
                <w:szCs w:val="24"/>
              </w:rPr>
              <w:t xml:space="preserve"> </w:t>
            </w:r>
            <w:r w:rsidRPr="004979D2">
              <w:rPr>
                <w:rFonts w:ascii="Times New Roman" w:hAnsi="Times New Roman" w:cs="Times New Roman"/>
                <w:i/>
                <w:sz w:val="24"/>
                <w:szCs w:val="24"/>
              </w:rPr>
              <w:t xml:space="preserve">Pjesërisht e </w:t>
            </w:r>
            <w:proofErr w:type="spellStart"/>
            <w:r w:rsidRPr="004979D2">
              <w:rPr>
                <w:rFonts w:ascii="Times New Roman" w:hAnsi="Times New Roman" w:cs="Times New Roman"/>
                <w:i/>
                <w:sz w:val="24"/>
                <w:szCs w:val="24"/>
              </w:rPr>
              <w:t>transpozuar</w:t>
            </w:r>
            <w:proofErr w:type="spellEnd"/>
            <w:r w:rsidRPr="004979D2">
              <w:rPr>
                <w:rFonts w:ascii="Times New Roman" w:hAnsi="Times New Roman" w:cs="Times New Roman"/>
                <w:i/>
                <w:sz w:val="24"/>
                <w:szCs w:val="24"/>
              </w:rPr>
              <w:t>.</w:t>
            </w:r>
          </w:p>
        </w:tc>
      </w:tr>
      <w:tr w:rsidR="00321590" w:rsidRPr="004979D2" w14:paraId="5C373B9F" w14:textId="77777777" w:rsidTr="00321590">
        <w:tc>
          <w:tcPr>
            <w:tcW w:w="557" w:type="dxa"/>
            <w:shd w:val="clear" w:color="auto" w:fill="D0CECE" w:themeFill="background2" w:themeFillShade="E6"/>
          </w:tcPr>
          <w:p w14:paraId="5D69D626" w14:textId="6B571A00"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lastRenderedPageBreak/>
              <w:t>Nr.</w:t>
            </w:r>
          </w:p>
        </w:tc>
        <w:tc>
          <w:tcPr>
            <w:tcW w:w="2873" w:type="dxa"/>
            <w:shd w:val="clear" w:color="auto" w:fill="D0CECE" w:themeFill="background2" w:themeFillShade="E6"/>
          </w:tcPr>
          <w:p w14:paraId="40496A17" w14:textId="078D5043"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Dispozitat e Traktatit / Rregulloret / Direktivat / Legjislacioni dytësor</w:t>
            </w:r>
          </w:p>
        </w:tc>
        <w:tc>
          <w:tcPr>
            <w:tcW w:w="2790" w:type="dxa"/>
            <w:shd w:val="clear" w:color="auto" w:fill="D0CECE" w:themeFill="background2" w:themeFillShade="E6"/>
          </w:tcPr>
          <w:p w14:paraId="5B77B89D" w14:textId="534CE125" w:rsidR="00321590" w:rsidRPr="004979D2" w:rsidRDefault="00321590" w:rsidP="002B1BC6">
            <w:pPr>
              <w:spacing w:before="120" w:line="360" w:lineRule="auto"/>
              <w:jc w:val="both"/>
              <w:rPr>
                <w:rFonts w:ascii="Times New Roman" w:hAnsi="Times New Roman" w:cs="Times New Roman"/>
                <w:sz w:val="24"/>
                <w:szCs w:val="24"/>
                <w:lang w:eastAsia="zh-CN"/>
              </w:rPr>
            </w:pPr>
            <w:r w:rsidRPr="004979D2">
              <w:rPr>
                <w:rFonts w:ascii="Times New Roman" w:hAnsi="Times New Roman" w:cs="Times New Roman"/>
                <w:sz w:val="24"/>
                <w:szCs w:val="24"/>
              </w:rPr>
              <w:t>P</w:t>
            </w:r>
            <w:r w:rsidRPr="004979D2">
              <w:rPr>
                <w:rFonts w:ascii="Times New Roman" w:hAnsi="Times New Roman" w:cs="Times New Roman"/>
                <w:sz w:val="24"/>
                <w:szCs w:val="24"/>
                <w:lang w:eastAsia="zh-CN"/>
              </w:rPr>
              <w:t>ërmbajtja dhe qëllimi</w:t>
            </w:r>
          </w:p>
        </w:tc>
        <w:tc>
          <w:tcPr>
            <w:tcW w:w="2970" w:type="dxa"/>
            <w:shd w:val="clear" w:color="auto" w:fill="D0CECE" w:themeFill="background2" w:themeFillShade="E6"/>
          </w:tcPr>
          <w:p w14:paraId="1AF24B16" w14:textId="47663B3B"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Legjislacioni vendor q</w:t>
            </w:r>
            <w:r w:rsidRPr="004979D2">
              <w:rPr>
                <w:rFonts w:ascii="Times New Roman" w:hAnsi="Times New Roman" w:cs="Times New Roman"/>
                <w:sz w:val="24"/>
                <w:szCs w:val="24"/>
                <w:lang w:eastAsia="zh-CN"/>
              </w:rPr>
              <w:t xml:space="preserve">ë </w:t>
            </w:r>
            <w:proofErr w:type="spellStart"/>
            <w:r w:rsidRPr="004979D2">
              <w:rPr>
                <w:rFonts w:ascii="Times New Roman" w:hAnsi="Times New Roman" w:cs="Times New Roman"/>
                <w:sz w:val="24"/>
                <w:szCs w:val="24"/>
                <w:lang w:eastAsia="zh-CN"/>
              </w:rPr>
              <w:t>transpozon</w:t>
            </w:r>
            <w:proofErr w:type="spellEnd"/>
            <w:r w:rsidRPr="004979D2">
              <w:rPr>
                <w:rFonts w:ascii="Times New Roman" w:hAnsi="Times New Roman" w:cs="Times New Roman"/>
                <w:sz w:val="24"/>
                <w:szCs w:val="24"/>
                <w:lang w:eastAsia="zh-CN"/>
              </w:rPr>
              <w:t xml:space="preserve"> </w:t>
            </w:r>
            <w:proofErr w:type="spellStart"/>
            <w:r w:rsidRPr="004979D2">
              <w:rPr>
                <w:rFonts w:ascii="Times New Roman" w:hAnsi="Times New Roman" w:cs="Times New Roman"/>
                <w:i/>
                <w:sz w:val="24"/>
                <w:szCs w:val="24"/>
                <w:lang w:eastAsia="zh-CN"/>
              </w:rPr>
              <w:t>acquis</w:t>
            </w:r>
            <w:proofErr w:type="spellEnd"/>
            <w:r w:rsidRPr="004979D2">
              <w:rPr>
                <w:rFonts w:ascii="Times New Roman" w:hAnsi="Times New Roman" w:cs="Times New Roman"/>
                <w:sz w:val="24"/>
                <w:szCs w:val="24"/>
                <w:lang w:eastAsia="zh-CN"/>
              </w:rPr>
              <w:t xml:space="preserve"> të BE-së </w:t>
            </w:r>
            <w:r w:rsidRPr="004979D2">
              <w:rPr>
                <w:rFonts w:ascii="Times New Roman" w:hAnsi="Times New Roman" w:cs="Times New Roman"/>
                <w:sz w:val="24"/>
                <w:szCs w:val="24"/>
              </w:rPr>
              <w:t>dhe niveli i p</w:t>
            </w:r>
            <w:r w:rsidRPr="004979D2">
              <w:rPr>
                <w:rFonts w:ascii="Times New Roman" w:hAnsi="Times New Roman" w:cs="Times New Roman"/>
                <w:sz w:val="24"/>
                <w:szCs w:val="24"/>
                <w:lang w:eastAsia="zh-CN"/>
              </w:rPr>
              <w:t>ërputhshmërisë</w:t>
            </w:r>
          </w:p>
        </w:tc>
      </w:tr>
      <w:tr w:rsidR="00321590" w:rsidRPr="004979D2" w14:paraId="7A89E5F9" w14:textId="77777777" w:rsidTr="00B11DC4">
        <w:tc>
          <w:tcPr>
            <w:tcW w:w="557" w:type="dxa"/>
          </w:tcPr>
          <w:p w14:paraId="57AA2485"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lastRenderedPageBreak/>
              <w:t>12</w:t>
            </w:r>
          </w:p>
        </w:tc>
        <w:tc>
          <w:tcPr>
            <w:tcW w:w="2873" w:type="dxa"/>
          </w:tcPr>
          <w:p w14:paraId="3547DDCE"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Rregullorja e Komisionit (BE) Nr. 267/2010 e 24 marsit 2010 mbi zbatimin e nenit 101 (3) të Traktatit për Funksionimin e Bashkimit Evropian në disa kategori të marrëveshjeve, vendimeve dhe praktikave të bashkërenduara në sektorin e sigurimeve (OJ L 83, 30.03.2010, f. 1-7)</w:t>
            </w:r>
            <w:r w:rsidRPr="004979D2">
              <w:rPr>
                <w:rStyle w:val="FootnoteReference"/>
                <w:rFonts w:ascii="Times New Roman" w:hAnsi="Times New Roman" w:cs="Times New Roman"/>
                <w:sz w:val="24"/>
                <w:szCs w:val="24"/>
              </w:rPr>
              <w:footnoteReference w:id="19"/>
            </w:r>
          </w:p>
          <w:p w14:paraId="2114F95C" w14:textId="77777777" w:rsidR="00321590" w:rsidRPr="004979D2" w:rsidRDefault="00321590" w:rsidP="002B1BC6">
            <w:pPr>
              <w:spacing w:before="120" w:line="360" w:lineRule="auto"/>
              <w:jc w:val="both"/>
              <w:rPr>
                <w:rFonts w:ascii="Times New Roman" w:hAnsi="Times New Roman" w:cs="Times New Roman"/>
                <w:i/>
                <w:sz w:val="24"/>
                <w:szCs w:val="24"/>
              </w:rPr>
            </w:pPr>
          </w:p>
        </w:tc>
        <w:tc>
          <w:tcPr>
            <w:tcW w:w="2790" w:type="dxa"/>
          </w:tcPr>
          <w:p w14:paraId="3CAF09E0" w14:textId="77777777" w:rsidR="00321590" w:rsidRPr="004979D2" w:rsidRDefault="00321590" w:rsidP="002B1BC6">
            <w:pPr>
              <w:spacing w:before="120" w:line="360" w:lineRule="auto"/>
              <w:jc w:val="both"/>
              <w:rPr>
                <w:rFonts w:ascii="Times New Roman" w:hAnsi="Times New Roman" w:cs="Times New Roman"/>
                <w:sz w:val="24"/>
                <w:szCs w:val="24"/>
                <w:lang w:eastAsia="zh-CN"/>
              </w:rPr>
            </w:pPr>
            <w:r w:rsidRPr="004979D2">
              <w:rPr>
                <w:rFonts w:ascii="Times New Roman" w:hAnsi="Times New Roman" w:cs="Times New Roman"/>
                <w:sz w:val="24"/>
                <w:szCs w:val="24"/>
                <w:lang w:eastAsia="zh-CN"/>
              </w:rPr>
              <w:t xml:space="preserve">Aplikimi i nenit 101 (3) të TFBE për kategori të caktuara të marrëveshjeve, vendimeve dhe praktikave të bashkërenduara në sektorin e sigurimeve të cilat kanë si objekt bashkëpunimin në lidhje me: vendosjen e tarifave të </w:t>
            </w:r>
            <w:r w:rsidRPr="004979D2">
              <w:rPr>
                <w:rFonts w:ascii="Times New Roman" w:hAnsi="Times New Roman" w:cs="Times New Roman"/>
                <w:color w:val="000000" w:themeColor="text1"/>
                <w:sz w:val="24"/>
                <w:szCs w:val="24"/>
                <w:lang w:eastAsia="zh-CN"/>
              </w:rPr>
              <w:t xml:space="preserve">përbashkëta të </w:t>
            </w:r>
            <w:proofErr w:type="spellStart"/>
            <w:r w:rsidRPr="004979D2">
              <w:rPr>
                <w:rFonts w:ascii="Times New Roman" w:hAnsi="Times New Roman" w:cs="Times New Roman"/>
                <w:color w:val="000000" w:themeColor="text1"/>
                <w:sz w:val="24"/>
                <w:szCs w:val="24"/>
                <w:lang w:eastAsia="zh-CN"/>
              </w:rPr>
              <w:t>primit</w:t>
            </w:r>
            <w:proofErr w:type="spellEnd"/>
            <w:r w:rsidRPr="004979D2">
              <w:rPr>
                <w:rFonts w:ascii="Times New Roman" w:hAnsi="Times New Roman" w:cs="Times New Roman"/>
                <w:color w:val="000000" w:themeColor="text1"/>
                <w:sz w:val="24"/>
                <w:szCs w:val="24"/>
                <w:lang w:eastAsia="zh-CN"/>
              </w:rPr>
              <w:t xml:space="preserve"> të rrezikut bazuar në statistik</w:t>
            </w:r>
            <w:r w:rsidRPr="004979D2">
              <w:rPr>
                <w:rFonts w:ascii="Times New Roman" w:hAnsi="Times New Roman" w:cs="Times New Roman"/>
                <w:sz w:val="24"/>
                <w:szCs w:val="24"/>
                <w:lang w:eastAsia="zh-CN"/>
              </w:rPr>
              <w:t>at kolektive të konstatuara ose numrin e kërkesave; krijimin e kushteve të përbashkëta të politikave standard; mbulimin e përbashkët të llojeve të caktuara të rreziqeve; zgjidhjen e kërkesave; testimin dhe pranimin e pajisjeve të sigurisë; regjistrat dhe informatat për rreziqet e rënda.</w:t>
            </w:r>
          </w:p>
        </w:tc>
        <w:tc>
          <w:tcPr>
            <w:tcW w:w="2970" w:type="dxa"/>
          </w:tcPr>
          <w:p w14:paraId="221AACD8"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Udhëzim Administrativ Nr. 05/2017 për Përjashtimet Grupore në Sektorin e Sigurimeve.</w:t>
            </w:r>
          </w:p>
          <w:p w14:paraId="7465A578" w14:textId="77777777" w:rsidR="00321590" w:rsidRPr="004979D2" w:rsidRDefault="00321590" w:rsidP="002B1BC6">
            <w:pPr>
              <w:spacing w:before="120" w:line="360" w:lineRule="auto"/>
              <w:jc w:val="both"/>
              <w:rPr>
                <w:rFonts w:ascii="Times New Roman" w:hAnsi="Times New Roman" w:cs="Times New Roman"/>
                <w:i/>
                <w:sz w:val="24"/>
                <w:szCs w:val="24"/>
              </w:rPr>
            </w:pPr>
            <w:r w:rsidRPr="004979D2">
              <w:rPr>
                <w:rFonts w:ascii="Times New Roman" w:hAnsi="Times New Roman" w:cs="Times New Roman"/>
                <w:i/>
                <w:sz w:val="24"/>
                <w:szCs w:val="24"/>
              </w:rPr>
              <w:t xml:space="preserve">Pjesërisht e </w:t>
            </w:r>
            <w:proofErr w:type="spellStart"/>
            <w:r w:rsidRPr="004979D2">
              <w:rPr>
                <w:rFonts w:ascii="Times New Roman" w:hAnsi="Times New Roman" w:cs="Times New Roman"/>
                <w:i/>
                <w:sz w:val="24"/>
                <w:szCs w:val="24"/>
              </w:rPr>
              <w:t>transpozuar</w:t>
            </w:r>
            <w:proofErr w:type="spellEnd"/>
            <w:r w:rsidRPr="004979D2">
              <w:rPr>
                <w:rFonts w:ascii="Times New Roman" w:hAnsi="Times New Roman" w:cs="Times New Roman"/>
                <w:i/>
                <w:sz w:val="24"/>
                <w:szCs w:val="24"/>
              </w:rPr>
              <w:t>.</w:t>
            </w:r>
          </w:p>
        </w:tc>
      </w:tr>
      <w:tr w:rsidR="00321590" w:rsidRPr="004979D2" w14:paraId="2327590C" w14:textId="77777777" w:rsidTr="00B11DC4">
        <w:tc>
          <w:tcPr>
            <w:tcW w:w="557" w:type="dxa"/>
          </w:tcPr>
          <w:p w14:paraId="17488B8D"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13</w:t>
            </w:r>
          </w:p>
        </w:tc>
        <w:tc>
          <w:tcPr>
            <w:tcW w:w="2873" w:type="dxa"/>
          </w:tcPr>
          <w:p w14:paraId="551E7112"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Rregullorja e Këshillit (KE) Nr. 169/2009 e datës 26 shkurt 2009 që zbaton </w:t>
            </w:r>
            <w:r w:rsidRPr="004979D2">
              <w:rPr>
                <w:rFonts w:ascii="Times New Roman" w:hAnsi="Times New Roman" w:cs="Times New Roman"/>
                <w:sz w:val="24"/>
                <w:szCs w:val="24"/>
              </w:rPr>
              <w:lastRenderedPageBreak/>
              <w:t>rregullat e konkurrencës për transportin hekurudhor, rrugor dhe  të brendshëm ujor (OJ L 61, 5.03.2009, f. 1)</w:t>
            </w:r>
            <w:r w:rsidRPr="004979D2">
              <w:rPr>
                <w:rStyle w:val="FootnoteReference"/>
                <w:rFonts w:ascii="Times New Roman" w:hAnsi="Times New Roman" w:cs="Times New Roman"/>
                <w:sz w:val="24"/>
                <w:szCs w:val="24"/>
              </w:rPr>
              <w:footnoteReference w:id="20"/>
            </w:r>
          </w:p>
          <w:p w14:paraId="0BE49902" w14:textId="77777777" w:rsidR="00321590" w:rsidRPr="004979D2" w:rsidRDefault="00321590" w:rsidP="002B1BC6">
            <w:pPr>
              <w:spacing w:before="120" w:line="360" w:lineRule="auto"/>
              <w:jc w:val="both"/>
              <w:rPr>
                <w:rFonts w:ascii="Times New Roman" w:hAnsi="Times New Roman" w:cs="Times New Roman"/>
                <w:i/>
                <w:sz w:val="24"/>
                <w:szCs w:val="24"/>
              </w:rPr>
            </w:pPr>
          </w:p>
        </w:tc>
        <w:tc>
          <w:tcPr>
            <w:tcW w:w="2790" w:type="dxa"/>
          </w:tcPr>
          <w:p w14:paraId="5BCE908E" w14:textId="77777777" w:rsidR="00321590" w:rsidRPr="004979D2" w:rsidRDefault="00321590" w:rsidP="002B1BC6">
            <w:pPr>
              <w:spacing w:before="120" w:line="360" w:lineRule="auto"/>
              <w:jc w:val="both"/>
              <w:rPr>
                <w:rFonts w:ascii="Times New Roman" w:hAnsi="Times New Roman" w:cs="Times New Roman"/>
                <w:sz w:val="24"/>
                <w:szCs w:val="24"/>
                <w:lang w:eastAsia="zh-CN"/>
              </w:rPr>
            </w:pPr>
            <w:r w:rsidRPr="004979D2">
              <w:rPr>
                <w:rFonts w:ascii="Times New Roman" w:hAnsi="Times New Roman" w:cs="Times New Roman"/>
                <w:sz w:val="24"/>
                <w:szCs w:val="24"/>
                <w:lang w:eastAsia="zh-CN"/>
              </w:rPr>
              <w:lastRenderedPageBreak/>
              <w:t xml:space="preserve">Jep shpjegime se cilat lloje të marrëveshjeve, vendimeve dhe praktikave </w:t>
            </w:r>
            <w:r w:rsidRPr="004979D2">
              <w:rPr>
                <w:rFonts w:ascii="Times New Roman" w:hAnsi="Times New Roman" w:cs="Times New Roman"/>
                <w:sz w:val="24"/>
                <w:szCs w:val="24"/>
                <w:lang w:eastAsia="zh-CN"/>
              </w:rPr>
              <w:lastRenderedPageBreak/>
              <w:t>të bashkërenduara në sektorin e transportit janë të përjashtuara nga zbatimi i nenit 101 (1) TFBE. Ato nuk janë të ndaluara vetëm kur objekti dhe efekti i këtyre praktikave është zbatimi i përmirësimeve teknike ose arritja e bashkëpunimit teknik, ato nuk janë të ndaluara pasi ato kontribuojnë në përmirësimin e produktivitetit.</w:t>
            </w:r>
          </w:p>
        </w:tc>
        <w:tc>
          <w:tcPr>
            <w:tcW w:w="2970" w:type="dxa"/>
          </w:tcPr>
          <w:p w14:paraId="1E8C8595" w14:textId="77777777" w:rsidR="00321590" w:rsidRPr="004979D2" w:rsidRDefault="00321590" w:rsidP="002B1BC6">
            <w:pPr>
              <w:spacing w:before="120" w:line="360" w:lineRule="auto"/>
              <w:jc w:val="both"/>
              <w:rPr>
                <w:rFonts w:ascii="Times New Roman" w:hAnsi="Times New Roman" w:cs="Times New Roman"/>
                <w:i/>
                <w:sz w:val="24"/>
                <w:szCs w:val="24"/>
              </w:rPr>
            </w:pPr>
            <w:r w:rsidRPr="004979D2">
              <w:rPr>
                <w:rFonts w:ascii="Times New Roman" w:hAnsi="Times New Roman" w:cs="Times New Roman"/>
                <w:sz w:val="24"/>
                <w:szCs w:val="24"/>
              </w:rPr>
              <w:lastRenderedPageBreak/>
              <w:t xml:space="preserve">Udhëzim Administrativ Nr. 04/2017 për Përjashtimet Grupore të Marrëveshjeve </w:t>
            </w:r>
            <w:r w:rsidRPr="004979D2">
              <w:rPr>
                <w:rFonts w:ascii="Times New Roman" w:hAnsi="Times New Roman" w:cs="Times New Roman"/>
                <w:sz w:val="24"/>
                <w:szCs w:val="24"/>
              </w:rPr>
              <w:lastRenderedPageBreak/>
              <w:t>në sektorin e Transportit.</w:t>
            </w:r>
          </w:p>
          <w:p w14:paraId="0FED717C"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i/>
                <w:sz w:val="24"/>
                <w:szCs w:val="24"/>
              </w:rPr>
              <w:t xml:space="preserve">Pjesërisht e </w:t>
            </w:r>
            <w:proofErr w:type="spellStart"/>
            <w:r w:rsidRPr="004979D2">
              <w:rPr>
                <w:rFonts w:ascii="Times New Roman" w:hAnsi="Times New Roman" w:cs="Times New Roman"/>
                <w:i/>
                <w:sz w:val="24"/>
                <w:szCs w:val="24"/>
              </w:rPr>
              <w:t>transpozuar</w:t>
            </w:r>
            <w:proofErr w:type="spellEnd"/>
            <w:r w:rsidRPr="004979D2">
              <w:rPr>
                <w:rFonts w:ascii="Times New Roman" w:hAnsi="Times New Roman" w:cs="Times New Roman"/>
                <w:i/>
                <w:sz w:val="24"/>
                <w:szCs w:val="24"/>
              </w:rPr>
              <w:t>.</w:t>
            </w:r>
          </w:p>
        </w:tc>
      </w:tr>
      <w:tr w:rsidR="00321590" w:rsidRPr="004979D2" w14:paraId="0B58CC26" w14:textId="77777777" w:rsidTr="00321590">
        <w:tc>
          <w:tcPr>
            <w:tcW w:w="557" w:type="dxa"/>
            <w:shd w:val="clear" w:color="auto" w:fill="D0CECE" w:themeFill="background2" w:themeFillShade="E6"/>
          </w:tcPr>
          <w:p w14:paraId="3A0B9982" w14:textId="6D88A87E"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lastRenderedPageBreak/>
              <w:t>Nr.</w:t>
            </w:r>
          </w:p>
        </w:tc>
        <w:tc>
          <w:tcPr>
            <w:tcW w:w="2873" w:type="dxa"/>
            <w:shd w:val="clear" w:color="auto" w:fill="D0CECE" w:themeFill="background2" w:themeFillShade="E6"/>
          </w:tcPr>
          <w:p w14:paraId="6A0CD4B5" w14:textId="2EB4ECE6"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Dispozitat e Traktatit / Rregulloret / Direktivat / Legjislacioni dytësor</w:t>
            </w:r>
          </w:p>
        </w:tc>
        <w:tc>
          <w:tcPr>
            <w:tcW w:w="2790" w:type="dxa"/>
            <w:shd w:val="clear" w:color="auto" w:fill="D0CECE" w:themeFill="background2" w:themeFillShade="E6"/>
          </w:tcPr>
          <w:p w14:paraId="094924B6" w14:textId="6DF10872" w:rsidR="00321590" w:rsidRPr="004979D2" w:rsidRDefault="00321590" w:rsidP="002B1BC6">
            <w:pPr>
              <w:spacing w:before="120" w:line="360" w:lineRule="auto"/>
              <w:jc w:val="both"/>
              <w:rPr>
                <w:rFonts w:ascii="Times New Roman" w:hAnsi="Times New Roman" w:cs="Times New Roman"/>
                <w:sz w:val="24"/>
                <w:szCs w:val="24"/>
                <w:lang w:eastAsia="zh-CN"/>
              </w:rPr>
            </w:pPr>
            <w:r w:rsidRPr="004979D2">
              <w:rPr>
                <w:rFonts w:ascii="Times New Roman" w:hAnsi="Times New Roman" w:cs="Times New Roman"/>
                <w:sz w:val="24"/>
                <w:szCs w:val="24"/>
              </w:rPr>
              <w:t>P</w:t>
            </w:r>
            <w:r w:rsidRPr="004979D2">
              <w:rPr>
                <w:rFonts w:ascii="Times New Roman" w:hAnsi="Times New Roman" w:cs="Times New Roman"/>
                <w:sz w:val="24"/>
                <w:szCs w:val="24"/>
                <w:lang w:eastAsia="zh-CN"/>
              </w:rPr>
              <w:t>ërmbajtja dhe qëllimi</w:t>
            </w:r>
          </w:p>
        </w:tc>
        <w:tc>
          <w:tcPr>
            <w:tcW w:w="2970" w:type="dxa"/>
            <w:shd w:val="clear" w:color="auto" w:fill="D0CECE" w:themeFill="background2" w:themeFillShade="E6"/>
          </w:tcPr>
          <w:p w14:paraId="5611FE62" w14:textId="52DDF5E6"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Legjislacioni vendor q</w:t>
            </w:r>
            <w:r w:rsidRPr="004979D2">
              <w:rPr>
                <w:rFonts w:ascii="Times New Roman" w:hAnsi="Times New Roman" w:cs="Times New Roman"/>
                <w:sz w:val="24"/>
                <w:szCs w:val="24"/>
                <w:lang w:eastAsia="zh-CN"/>
              </w:rPr>
              <w:t xml:space="preserve">ë </w:t>
            </w:r>
            <w:proofErr w:type="spellStart"/>
            <w:r w:rsidRPr="004979D2">
              <w:rPr>
                <w:rFonts w:ascii="Times New Roman" w:hAnsi="Times New Roman" w:cs="Times New Roman"/>
                <w:sz w:val="24"/>
                <w:szCs w:val="24"/>
                <w:lang w:eastAsia="zh-CN"/>
              </w:rPr>
              <w:t>transpozon</w:t>
            </w:r>
            <w:proofErr w:type="spellEnd"/>
            <w:r w:rsidRPr="004979D2">
              <w:rPr>
                <w:rFonts w:ascii="Times New Roman" w:hAnsi="Times New Roman" w:cs="Times New Roman"/>
                <w:sz w:val="24"/>
                <w:szCs w:val="24"/>
                <w:lang w:eastAsia="zh-CN"/>
              </w:rPr>
              <w:t xml:space="preserve"> </w:t>
            </w:r>
            <w:proofErr w:type="spellStart"/>
            <w:r w:rsidRPr="004979D2">
              <w:rPr>
                <w:rFonts w:ascii="Times New Roman" w:hAnsi="Times New Roman" w:cs="Times New Roman"/>
                <w:i/>
                <w:sz w:val="24"/>
                <w:szCs w:val="24"/>
                <w:lang w:eastAsia="zh-CN"/>
              </w:rPr>
              <w:t>acquis</w:t>
            </w:r>
            <w:proofErr w:type="spellEnd"/>
            <w:r w:rsidRPr="004979D2">
              <w:rPr>
                <w:rFonts w:ascii="Times New Roman" w:hAnsi="Times New Roman" w:cs="Times New Roman"/>
                <w:sz w:val="24"/>
                <w:szCs w:val="24"/>
                <w:lang w:eastAsia="zh-CN"/>
              </w:rPr>
              <w:t xml:space="preserve"> të BE-së </w:t>
            </w:r>
            <w:r w:rsidRPr="004979D2">
              <w:rPr>
                <w:rFonts w:ascii="Times New Roman" w:hAnsi="Times New Roman" w:cs="Times New Roman"/>
                <w:sz w:val="24"/>
                <w:szCs w:val="24"/>
              </w:rPr>
              <w:t>dhe niveli i p</w:t>
            </w:r>
            <w:r w:rsidRPr="004979D2">
              <w:rPr>
                <w:rFonts w:ascii="Times New Roman" w:hAnsi="Times New Roman" w:cs="Times New Roman"/>
                <w:sz w:val="24"/>
                <w:szCs w:val="24"/>
                <w:lang w:eastAsia="zh-CN"/>
              </w:rPr>
              <w:t>ërputhshmërisë</w:t>
            </w:r>
          </w:p>
        </w:tc>
      </w:tr>
      <w:tr w:rsidR="00321590" w:rsidRPr="004979D2" w14:paraId="6FB73172" w14:textId="77777777" w:rsidTr="00B11DC4">
        <w:tc>
          <w:tcPr>
            <w:tcW w:w="557" w:type="dxa"/>
          </w:tcPr>
          <w:p w14:paraId="378FE146"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14</w:t>
            </w:r>
          </w:p>
        </w:tc>
        <w:tc>
          <w:tcPr>
            <w:tcW w:w="2873" w:type="dxa"/>
          </w:tcPr>
          <w:p w14:paraId="25C211F3"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Rregullorja e Këshillit (KE) Nr. 139/2004 e datës 20 janar 2004 mbi kontrollin e përqendrimeve ndërmjet ndërmarrjeve (Rregullorja e BE-së për Përqendrimet) (OJ L 24, 29.01.2004, f. 1-22), ndryshuar me Rregulloren </w:t>
            </w:r>
            <w:r w:rsidRPr="004979D2">
              <w:rPr>
                <w:rFonts w:ascii="Times New Roman" w:hAnsi="Times New Roman" w:cs="Times New Roman"/>
                <w:sz w:val="24"/>
                <w:szCs w:val="24"/>
              </w:rPr>
              <w:lastRenderedPageBreak/>
              <w:t>e zbatuese të Komisionit Nr. 1269/2013</w:t>
            </w:r>
            <w:r w:rsidRPr="004979D2">
              <w:rPr>
                <w:rStyle w:val="FootnoteReference"/>
                <w:rFonts w:ascii="Times New Roman" w:hAnsi="Times New Roman" w:cs="Times New Roman"/>
                <w:sz w:val="24"/>
                <w:szCs w:val="24"/>
              </w:rPr>
              <w:footnoteReference w:id="21"/>
            </w:r>
          </w:p>
          <w:p w14:paraId="213750C0" w14:textId="77777777" w:rsidR="00321590" w:rsidRPr="004979D2" w:rsidRDefault="00321590" w:rsidP="002B1BC6">
            <w:pPr>
              <w:spacing w:before="120" w:line="360" w:lineRule="auto"/>
              <w:jc w:val="both"/>
              <w:rPr>
                <w:rFonts w:ascii="Times New Roman" w:hAnsi="Times New Roman" w:cs="Times New Roman"/>
                <w:i/>
                <w:sz w:val="24"/>
                <w:szCs w:val="24"/>
              </w:rPr>
            </w:pPr>
          </w:p>
        </w:tc>
        <w:tc>
          <w:tcPr>
            <w:tcW w:w="2790" w:type="dxa"/>
          </w:tcPr>
          <w:p w14:paraId="62219570" w14:textId="77777777" w:rsidR="00321590" w:rsidRPr="004979D2" w:rsidRDefault="00321590" w:rsidP="002B1BC6">
            <w:pPr>
              <w:spacing w:before="120" w:line="360" w:lineRule="auto"/>
              <w:jc w:val="both"/>
              <w:rPr>
                <w:rFonts w:ascii="Times New Roman" w:hAnsi="Times New Roman" w:cs="Times New Roman"/>
                <w:sz w:val="24"/>
                <w:szCs w:val="24"/>
                <w:lang w:eastAsia="zh-CN"/>
              </w:rPr>
            </w:pPr>
            <w:r w:rsidRPr="004979D2">
              <w:rPr>
                <w:rFonts w:ascii="Times New Roman" w:hAnsi="Times New Roman" w:cs="Times New Roman"/>
                <w:sz w:val="24"/>
                <w:szCs w:val="24"/>
                <w:lang w:eastAsia="zh-CN"/>
              </w:rPr>
              <w:lastRenderedPageBreak/>
              <w:t xml:space="preserve">Lejon kontroll efektiv të </w:t>
            </w:r>
            <w:proofErr w:type="spellStart"/>
            <w:r w:rsidRPr="004979D2">
              <w:rPr>
                <w:rFonts w:ascii="Times New Roman" w:hAnsi="Times New Roman" w:cs="Times New Roman"/>
                <w:sz w:val="24"/>
                <w:szCs w:val="24"/>
                <w:lang w:eastAsia="zh-CN"/>
              </w:rPr>
              <w:t>të</w:t>
            </w:r>
            <w:proofErr w:type="spellEnd"/>
            <w:r w:rsidRPr="004979D2">
              <w:rPr>
                <w:rFonts w:ascii="Times New Roman" w:hAnsi="Times New Roman" w:cs="Times New Roman"/>
                <w:sz w:val="24"/>
                <w:szCs w:val="24"/>
                <w:lang w:eastAsia="zh-CN"/>
              </w:rPr>
              <w:t xml:space="preserve"> gjitha përqendrimeve në kuptim të efektit të tyre në strukturën e konkurrencës në Komunitet dhe të jetë i vetmi instrument i zbatueshëm për përqendrime të tilla. Kontrollohet sipas zonës </w:t>
            </w:r>
            <w:r w:rsidRPr="004979D2">
              <w:rPr>
                <w:rFonts w:ascii="Times New Roman" w:hAnsi="Times New Roman" w:cs="Times New Roman"/>
                <w:sz w:val="24"/>
                <w:szCs w:val="24"/>
                <w:lang w:eastAsia="zh-CN"/>
              </w:rPr>
              <w:lastRenderedPageBreak/>
              <w:t>gjeografike të veprimtarisë së ndërmarrjeve në fjalë dhe kufizohet me kufijtë sasiorë për të mbuluar ato përqendrime që kanë një dimension të mjaftueshëm për të shtrembëruar konkurrencën.</w:t>
            </w:r>
          </w:p>
        </w:tc>
        <w:tc>
          <w:tcPr>
            <w:tcW w:w="2970" w:type="dxa"/>
          </w:tcPr>
          <w:p w14:paraId="3D6ED2AA"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lastRenderedPageBreak/>
              <w:t xml:space="preserve">Ligji Nr. 03/L-229 për Mbrojtjen e Konkurrencës, 2010; </w:t>
            </w:r>
          </w:p>
          <w:p w14:paraId="5F948997"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Ligji Nr. 04/L-226 për ndryshimin dhe plotësimin e Ligjit Nr. 03/L-229 për Mbrojtjen e Konkurrencës, 2014;</w:t>
            </w:r>
          </w:p>
          <w:p w14:paraId="606F4AC8"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lastRenderedPageBreak/>
              <w:t>Udhëzim Administrativ Nr. 06/2012 për mënyrën e paraqitjes së Kërkesës dhe Kriteret për Konstatimin e Përqendrimit të Ndërmarrjeve.</w:t>
            </w:r>
          </w:p>
          <w:p w14:paraId="2894CE33" w14:textId="77777777" w:rsidR="00321590" w:rsidRPr="004979D2" w:rsidRDefault="00321590" w:rsidP="002B1BC6">
            <w:pPr>
              <w:spacing w:before="120" w:line="360" w:lineRule="auto"/>
              <w:jc w:val="both"/>
              <w:rPr>
                <w:rFonts w:ascii="Times New Roman" w:hAnsi="Times New Roman" w:cs="Times New Roman"/>
                <w:i/>
                <w:sz w:val="24"/>
                <w:szCs w:val="24"/>
              </w:rPr>
            </w:pPr>
            <w:r w:rsidRPr="004979D2">
              <w:rPr>
                <w:rFonts w:ascii="Times New Roman" w:hAnsi="Times New Roman" w:cs="Times New Roman"/>
                <w:sz w:val="24"/>
                <w:szCs w:val="24"/>
              </w:rPr>
              <w:t xml:space="preserve"> </w:t>
            </w:r>
            <w:r w:rsidRPr="004979D2">
              <w:rPr>
                <w:rFonts w:ascii="Times New Roman" w:hAnsi="Times New Roman" w:cs="Times New Roman"/>
                <w:i/>
                <w:sz w:val="24"/>
                <w:szCs w:val="24"/>
              </w:rPr>
              <w:t xml:space="preserve">Pjesërisht e </w:t>
            </w:r>
            <w:proofErr w:type="spellStart"/>
            <w:r w:rsidRPr="004979D2">
              <w:rPr>
                <w:rFonts w:ascii="Times New Roman" w:hAnsi="Times New Roman" w:cs="Times New Roman"/>
                <w:i/>
                <w:sz w:val="24"/>
                <w:szCs w:val="24"/>
              </w:rPr>
              <w:t>transpozuar</w:t>
            </w:r>
            <w:proofErr w:type="spellEnd"/>
            <w:r w:rsidRPr="004979D2">
              <w:rPr>
                <w:rFonts w:ascii="Times New Roman" w:hAnsi="Times New Roman" w:cs="Times New Roman"/>
                <w:i/>
                <w:sz w:val="24"/>
                <w:szCs w:val="24"/>
              </w:rPr>
              <w:t>.</w:t>
            </w:r>
          </w:p>
        </w:tc>
      </w:tr>
      <w:tr w:rsidR="00321590" w:rsidRPr="004979D2" w14:paraId="303A8A73" w14:textId="77777777" w:rsidTr="00321590">
        <w:tc>
          <w:tcPr>
            <w:tcW w:w="557" w:type="dxa"/>
            <w:shd w:val="clear" w:color="auto" w:fill="D0CECE" w:themeFill="background2" w:themeFillShade="E6"/>
          </w:tcPr>
          <w:p w14:paraId="2DB39D82" w14:textId="45CD2B12"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lastRenderedPageBreak/>
              <w:t>Nr.</w:t>
            </w:r>
          </w:p>
        </w:tc>
        <w:tc>
          <w:tcPr>
            <w:tcW w:w="2873" w:type="dxa"/>
            <w:shd w:val="clear" w:color="auto" w:fill="D0CECE" w:themeFill="background2" w:themeFillShade="E6"/>
          </w:tcPr>
          <w:p w14:paraId="5EAE40B1" w14:textId="6AFA3544"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Dispozitat e Traktatit / Rregulloret / Direktivat / Legjislacioni dytësor</w:t>
            </w:r>
          </w:p>
        </w:tc>
        <w:tc>
          <w:tcPr>
            <w:tcW w:w="2790" w:type="dxa"/>
            <w:shd w:val="clear" w:color="auto" w:fill="D0CECE" w:themeFill="background2" w:themeFillShade="E6"/>
          </w:tcPr>
          <w:p w14:paraId="5DF4B68B" w14:textId="1BDA68D7" w:rsidR="00321590" w:rsidRPr="004979D2" w:rsidRDefault="00321590" w:rsidP="002B1BC6">
            <w:pPr>
              <w:spacing w:before="120" w:line="360" w:lineRule="auto"/>
              <w:jc w:val="both"/>
              <w:rPr>
                <w:rFonts w:ascii="Times New Roman" w:hAnsi="Times New Roman" w:cs="Times New Roman"/>
                <w:sz w:val="24"/>
                <w:szCs w:val="24"/>
                <w:lang w:eastAsia="zh-CN"/>
              </w:rPr>
            </w:pPr>
            <w:r w:rsidRPr="004979D2">
              <w:rPr>
                <w:rFonts w:ascii="Times New Roman" w:hAnsi="Times New Roman" w:cs="Times New Roman"/>
                <w:sz w:val="24"/>
                <w:szCs w:val="24"/>
              </w:rPr>
              <w:t>P</w:t>
            </w:r>
            <w:r w:rsidRPr="004979D2">
              <w:rPr>
                <w:rFonts w:ascii="Times New Roman" w:hAnsi="Times New Roman" w:cs="Times New Roman"/>
                <w:sz w:val="24"/>
                <w:szCs w:val="24"/>
                <w:lang w:eastAsia="zh-CN"/>
              </w:rPr>
              <w:t>ërmbajtja dhe qëllimi</w:t>
            </w:r>
          </w:p>
        </w:tc>
        <w:tc>
          <w:tcPr>
            <w:tcW w:w="2970" w:type="dxa"/>
            <w:shd w:val="clear" w:color="auto" w:fill="D0CECE" w:themeFill="background2" w:themeFillShade="E6"/>
          </w:tcPr>
          <w:p w14:paraId="100BD016" w14:textId="24F4D29A"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Legjislacioni vendor q</w:t>
            </w:r>
            <w:r w:rsidRPr="004979D2">
              <w:rPr>
                <w:rFonts w:ascii="Times New Roman" w:hAnsi="Times New Roman" w:cs="Times New Roman"/>
                <w:sz w:val="24"/>
                <w:szCs w:val="24"/>
                <w:lang w:eastAsia="zh-CN"/>
              </w:rPr>
              <w:t xml:space="preserve">ë </w:t>
            </w:r>
            <w:proofErr w:type="spellStart"/>
            <w:r w:rsidRPr="004979D2">
              <w:rPr>
                <w:rFonts w:ascii="Times New Roman" w:hAnsi="Times New Roman" w:cs="Times New Roman"/>
                <w:sz w:val="24"/>
                <w:szCs w:val="24"/>
                <w:lang w:eastAsia="zh-CN"/>
              </w:rPr>
              <w:t>transpozon</w:t>
            </w:r>
            <w:proofErr w:type="spellEnd"/>
            <w:r w:rsidRPr="004979D2">
              <w:rPr>
                <w:rFonts w:ascii="Times New Roman" w:hAnsi="Times New Roman" w:cs="Times New Roman"/>
                <w:sz w:val="24"/>
                <w:szCs w:val="24"/>
                <w:lang w:eastAsia="zh-CN"/>
              </w:rPr>
              <w:t xml:space="preserve"> </w:t>
            </w:r>
            <w:proofErr w:type="spellStart"/>
            <w:r w:rsidRPr="004979D2">
              <w:rPr>
                <w:rFonts w:ascii="Times New Roman" w:hAnsi="Times New Roman" w:cs="Times New Roman"/>
                <w:i/>
                <w:sz w:val="24"/>
                <w:szCs w:val="24"/>
                <w:lang w:eastAsia="zh-CN"/>
              </w:rPr>
              <w:t>acquis</w:t>
            </w:r>
            <w:proofErr w:type="spellEnd"/>
            <w:r w:rsidRPr="004979D2">
              <w:rPr>
                <w:rFonts w:ascii="Times New Roman" w:hAnsi="Times New Roman" w:cs="Times New Roman"/>
                <w:sz w:val="24"/>
                <w:szCs w:val="24"/>
                <w:lang w:eastAsia="zh-CN"/>
              </w:rPr>
              <w:t xml:space="preserve"> të BE-së </w:t>
            </w:r>
            <w:r w:rsidRPr="004979D2">
              <w:rPr>
                <w:rFonts w:ascii="Times New Roman" w:hAnsi="Times New Roman" w:cs="Times New Roman"/>
                <w:sz w:val="24"/>
                <w:szCs w:val="24"/>
              </w:rPr>
              <w:t>dhe niveli i p</w:t>
            </w:r>
            <w:r w:rsidRPr="004979D2">
              <w:rPr>
                <w:rFonts w:ascii="Times New Roman" w:hAnsi="Times New Roman" w:cs="Times New Roman"/>
                <w:sz w:val="24"/>
                <w:szCs w:val="24"/>
                <w:lang w:eastAsia="zh-CN"/>
              </w:rPr>
              <w:t>ërputhshmërisë</w:t>
            </w:r>
          </w:p>
        </w:tc>
      </w:tr>
      <w:tr w:rsidR="00321590" w:rsidRPr="004979D2" w14:paraId="33F6A6D9" w14:textId="77777777" w:rsidTr="00B11DC4">
        <w:tc>
          <w:tcPr>
            <w:tcW w:w="557" w:type="dxa"/>
          </w:tcPr>
          <w:p w14:paraId="61F0E816"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15</w:t>
            </w:r>
          </w:p>
        </w:tc>
        <w:tc>
          <w:tcPr>
            <w:tcW w:w="2873" w:type="dxa"/>
          </w:tcPr>
          <w:p w14:paraId="72046FA0"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Rregullorja e Komisionit (KE) Nr. 802/2004 e 21 prillit 2004 që zbaton Rregulloren e Këshillit (EC) Nr. 139/2004 të datës 20 janar 2004 mbi kontrollin e përqendrimeve ndërmjet ndërmarrjeve (OJ L 133, 30.04.2004, f. 1-39) ndryshuar me Rregulloren nr. 1348/2015.</w:t>
            </w:r>
            <w:r w:rsidRPr="004979D2">
              <w:rPr>
                <w:rStyle w:val="FootnoteReference"/>
                <w:rFonts w:ascii="Times New Roman" w:hAnsi="Times New Roman" w:cs="Times New Roman"/>
                <w:sz w:val="24"/>
                <w:szCs w:val="24"/>
              </w:rPr>
              <w:footnoteReference w:id="22"/>
            </w:r>
          </w:p>
          <w:p w14:paraId="2F3B52F3" w14:textId="77777777" w:rsidR="00321590" w:rsidRPr="004979D2" w:rsidRDefault="00321590" w:rsidP="002B1BC6">
            <w:pPr>
              <w:spacing w:before="120" w:line="360" w:lineRule="auto"/>
              <w:jc w:val="both"/>
              <w:rPr>
                <w:rFonts w:ascii="Times New Roman" w:hAnsi="Times New Roman" w:cs="Times New Roman"/>
                <w:i/>
                <w:sz w:val="24"/>
                <w:szCs w:val="24"/>
              </w:rPr>
            </w:pPr>
          </w:p>
        </w:tc>
        <w:tc>
          <w:tcPr>
            <w:tcW w:w="2790" w:type="dxa"/>
          </w:tcPr>
          <w:p w14:paraId="11E9F7A4" w14:textId="77777777" w:rsidR="00321590" w:rsidRPr="004979D2" w:rsidRDefault="00321590" w:rsidP="002B1BC6">
            <w:pPr>
              <w:spacing w:before="120" w:line="360" w:lineRule="auto"/>
              <w:jc w:val="both"/>
              <w:rPr>
                <w:rFonts w:ascii="Times New Roman" w:hAnsi="Times New Roman" w:cs="Times New Roman"/>
                <w:sz w:val="24"/>
                <w:szCs w:val="24"/>
                <w:lang w:eastAsia="zh-CN"/>
              </w:rPr>
            </w:pPr>
            <w:r w:rsidRPr="004979D2">
              <w:rPr>
                <w:rFonts w:ascii="Times New Roman" w:hAnsi="Times New Roman" w:cs="Times New Roman"/>
                <w:sz w:val="24"/>
                <w:szCs w:val="24"/>
                <w:lang w:eastAsia="zh-CN"/>
              </w:rPr>
              <w:lastRenderedPageBreak/>
              <w:t xml:space="preserve">Për të thjeshtuar dhe përshpejtuar ekzaminimin e njoftimeve dhe të parashtresave të arsyetuara të bashkimeve, është e dëshirueshme të përshkruhen standarde të caktuara. Meqenëse njoftimi vë në lëvizje afatet ligjore sipas Rregullores (KE) Nr. 139/2004, atëherë </w:t>
            </w:r>
            <w:r w:rsidRPr="004979D2">
              <w:rPr>
                <w:rFonts w:ascii="Times New Roman" w:hAnsi="Times New Roman" w:cs="Times New Roman"/>
                <w:sz w:val="24"/>
                <w:szCs w:val="24"/>
                <w:lang w:eastAsia="zh-CN"/>
              </w:rPr>
              <w:lastRenderedPageBreak/>
              <w:t>përcaktohen kushtet që rregullojnë afatet e tilla dhe koha kur ato hyjnë në fuqi. Rregullat përcaktohen në interes të sigurisë juridike për llogaritjen e afateve të parashikuara në Rregulloren (KE) Nr. 139/2004. Në veçanti, fillimi dhe mbarimi i periudhave kohore dhe rrethanat që pezullojnë funksionimin e këtyre periudhave përcaktohen në lidhje me kërkesat që rezultojnë nga korniza kohore jashtëzakonisht e ngushtë në dispozicion për procedurat.</w:t>
            </w:r>
          </w:p>
        </w:tc>
        <w:tc>
          <w:tcPr>
            <w:tcW w:w="2970" w:type="dxa"/>
          </w:tcPr>
          <w:p w14:paraId="57CE0D5E"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lastRenderedPageBreak/>
              <w:t xml:space="preserve">Ligji Nr. 03/L-229 për Mbrojtjen e Konkurrencës, 2010 </w:t>
            </w:r>
          </w:p>
          <w:p w14:paraId="16E3B13B"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Ligji Nr. 04/L-226 për ndryshimin dhe plotësimin e Ligjit Nr. 03/L-229 për Mbrojtjen e Konkurrencës, 2014;</w:t>
            </w:r>
          </w:p>
          <w:p w14:paraId="3812F55B" w14:textId="77777777" w:rsidR="00321590" w:rsidRPr="004979D2" w:rsidRDefault="00321590" w:rsidP="002B1BC6">
            <w:pPr>
              <w:spacing w:before="120" w:line="360" w:lineRule="auto"/>
              <w:jc w:val="both"/>
              <w:rPr>
                <w:rFonts w:ascii="Times New Roman" w:hAnsi="Times New Roman" w:cs="Times New Roman"/>
                <w:sz w:val="24"/>
                <w:szCs w:val="24"/>
              </w:rPr>
            </w:pPr>
            <w:r w:rsidRPr="004979D2">
              <w:rPr>
                <w:rFonts w:ascii="Times New Roman" w:hAnsi="Times New Roman" w:cs="Times New Roman"/>
                <w:sz w:val="24"/>
                <w:szCs w:val="24"/>
              </w:rPr>
              <w:t>Udh</w:t>
            </w:r>
            <w:r w:rsidRPr="004979D2">
              <w:rPr>
                <w:rFonts w:ascii="Times New Roman" w:hAnsi="Times New Roman" w:cs="Times New Roman"/>
                <w:sz w:val="24"/>
                <w:szCs w:val="24"/>
                <w:lang w:eastAsia="zh-CN"/>
              </w:rPr>
              <w:t xml:space="preserve">ëzim Administrativ </w:t>
            </w:r>
            <w:r w:rsidRPr="004979D2">
              <w:rPr>
                <w:rFonts w:ascii="Times New Roman" w:hAnsi="Times New Roman" w:cs="Times New Roman"/>
                <w:sz w:val="24"/>
                <w:szCs w:val="24"/>
              </w:rPr>
              <w:t>Nr. 07/2012 mbi</w:t>
            </w:r>
            <w:r w:rsidRPr="004979D2">
              <w:rPr>
                <w:rFonts w:ascii="Times New Roman" w:hAnsi="Times New Roman" w:cs="Times New Roman"/>
                <w:sz w:val="24"/>
                <w:szCs w:val="24"/>
                <w:lang w:eastAsia="zh-CN"/>
              </w:rPr>
              <w:t xml:space="preserve"> Kriteret për Lirimin ose Uljen e Masave </w:t>
            </w:r>
            <w:r w:rsidRPr="004979D2">
              <w:rPr>
                <w:rFonts w:ascii="Times New Roman" w:hAnsi="Times New Roman" w:cs="Times New Roman"/>
                <w:sz w:val="24"/>
                <w:szCs w:val="24"/>
                <w:lang w:eastAsia="zh-CN"/>
              </w:rPr>
              <w:lastRenderedPageBreak/>
              <w:t xml:space="preserve">Administrative. </w:t>
            </w:r>
          </w:p>
          <w:p w14:paraId="4A5B847E" w14:textId="77777777" w:rsidR="00321590" w:rsidRPr="004979D2" w:rsidRDefault="00321590" w:rsidP="002B1BC6">
            <w:pPr>
              <w:spacing w:before="120" w:line="360" w:lineRule="auto"/>
              <w:jc w:val="both"/>
              <w:rPr>
                <w:rFonts w:ascii="Times New Roman" w:hAnsi="Times New Roman" w:cs="Times New Roman"/>
                <w:i/>
                <w:sz w:val="24"/>
                <w:szCs w:val="24"/>
              </w:rPr>
            </w:pPr>
            <w:r w:rsidRPr="004979D2">
              <w:rPr>
                <w:rFonts w:ascii="Times New Roman" w:hAnsi="Times New Roman" w:cs="Times New Roman"/>
                <w:i/>
                <w:sz w:val="24"/>
                <w:szCs w:val="24"/>
              </w:rPr>
              <w:t xml:space="preserve">Pjesërisht e </w:t>
            </w:r>
            <w:proofErr w:type="spellStart"/>
            <w:r w:rsidRPr="004979D2">
              <w:rPr>
                <w:rFonts w:ascii="Times New Roman" w:hAnsi="Times New Roman" w:cs="Times New Roman"/>
                <w:i/>
                <w:sz w:val="24"/>
                <w:szCs w:val="24"/>
              </w:rPr>
              <w:t>transpozuar</w:t>
            </w:r>
            <w:proofErr w:type="spellEnd"/>
            <w:r w:rsidRPr="004979D2">
              <w:rPr>
                <w:rFonts w:ascii="Times New Roman" w:hAnsi="Times New Roman" w:cs="Times New Roman"/>
                <w:i/>
                <w:sz w:val="24"/>
                <w:szCs w:val="24"/>
              </w:rPr>
              <w:t>.</w:t>
            </w:r>
          </w:p>
        </w:tc>
      </w:tr>
    </w:tbl>
    <w:p w14:paraId="186B9AD7" w14:textId="77777777" w:rsidR="001622C0" w:rsidRPr="004979D2" w:rsidRDefault="001622C0" w:rsidP="002B1BC6">
      <w:pPr>
        <w:spacing w:line="360" w:lineRule="auto"/>
        <w:jc w:val="both"/>
        <w:rPr>
          <w:rFonts w:ascii="Times New Roman" w:hAnsi="Times New Roman" w:cs="Times New Roman"/>
          <w:sz w:val="24"/>
          <w:szCs w:val="24"/>
        </w:rPr>
      </w:pPr>
    </w:p>
    <w:p w14:paraId="731FF2EF" w14:textId="77777777" w:rsidR="001622C0" w:rsidRPr="004979D2" w:rsidRDefault="001622C0"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Raporti gjithashtu thekson tri akte të </w:t>
      </w:r>
      <w:proofErr w:type="spellStart"/>
      <w:r w:rsidRPr="004979D2">
        <w:rPr>
          <w:rFonts w:ascii="Times New Roman" w:hAnsi="Times New Roman" w:cs="Times New Roman"/>
          <w:i/>
          <w:sz w:val="24"/>
          <w:szCs w:val="24"/>
        </w:rPr>
        <w:t>acquis</w:t>
      </w:r>
      <w:proofErr w:type="spellEnd"/>
      <w:r w:rsidRPr="004979D2">
        <w:rPr>
          <w:rFonts w:ascii="Times New Roman" w:hAnsi="Times New Roman" w:cs="Times New Roman"/>
          <w:sz w:val="24"/>
          <w:szCs w:val="24"/>
        </w:rPr>
        <w:t xml:space="preserve"> të konkurrencës, të cilat në bazë të analizës nuk janë </w:t>
      </w:r>
      <w:proofErr w:type="spellStart"/>
      <w:r w:rsidRPr="004979D2">
        <w:rPr>
          <w:rFonts w:ascii="Times New Roman" w:hAnsi="Times New Roman" w:cs="Times New Roman"/>
          <w:sz w:val="24"/>
          <w:szCs w:val="24"/>
        </w:rPr>
        <w:t>transpozuar</w:t>
      </w:r>
      <w:proofErr w:type="spellEnd"/>
      <w:r w:rsidRPr="004979D2">
        <w:rPr>
          <w:rFonts w:ascii="Times New Roman" w:hAnsi="Times New Roman" w:cs="Times New Roman"/>
          <w:sz w:val="24"/>
          <w:szCs w:val="24"/>
        </w:rPr>
        <w:t xml:space="preserve"> ende dhe rekomandohet të </w:t>
      </w:r>
      <w:proofErr w:type="spellStart"/>
      <w:r w:rsidRPr="004979D2">
        <w:rPr>
          <w:rFonts w:ascii="Times New Roman" w:hAnsi="Times New Roman" w:cs="Times New Roman"/>
          <w:sz w:val="24"/>
          <w:szCs w:val="24"/>
        </w:rPr>
        <w:t>transpozohen</w:t>
      </w:r>
      <w:proofErr w:type="spellEnd"/>
      <w:r w:rsidRPr="004979D2">
        <w:rPr>
          <w:rFonts w:ascii="Times New Roman" w:hAnsi="Times New Roman" w:cs="Times New Roman"/>
          <w:sz w:val="24"/>
          <w:szCs w:val="24"/>
        </w:rPr>
        <w:t xml:space="preserve"> gjatë procesit të integrimit, në legjislacionin vendor. Këto akte janë:</w:t>
      </w:r>
    </w:p>
    <w:p w14:paraId="472BEF24" w14:textId="436A02C8" w:rsidR="00916276" w:rsidRPr="004979D2" w:rsidRDefault="00916276" w:rsidP="002B1BC6">
      <w:pPr>
        <w:pStyle w:val="ListParagraph"/>
        <w:spacing w:after="200" w:line="360" w:lineRule="auto"/>
        <w:jc w:val="both"/>
        <w:rPr>
          <w:rFonts w:ascii="Times New Roman" w:hAnsi="Times New Roman" w:cs="Times New Roman"/>
          <w:b/>
          <w:sz w:val="24"/>
          <w:szCs w:val="24"/>
          <w:lang w:eastAsia="pl-PL"/>
        </w:rPr>
      </w:pPr>
      <w:r w:rsidRPr="004979D2">
        <w:rPr>
          <w:rFonts w:ascii="Times New Roman" w:hAnsi="Times New Roman" w:cs="Times New Roman"/>
          <w:b/>
          <w:sz w:val="24"/>
          <w:szCs w:val="24"/>
        </w:rPr>
        <w:t>a)</w:t>
      </w:r>
      <w:r w:rsidR="00385C2C" w:rsidRPr="004979D2">
        <w:rPr>
          <w:rFonts w:ascii="Times New Roman" w:hAnsi="Times New Roman" w:cs="Times New Roman"/>
          <w:b/>
          <w:sz w:val="24"/>
          <w:szCs w:val="24"/>
        </w:rPr>
        <w:t xml:space="preserve"> </w:t>
      </w:r>
      <w:r w:rsidR="001622C0" w:rsidRPr="004979D2">
        <w:rPr>
          <w:rFonts w:ascii="Times New Roman" w:hAnsi="Times New Roman" w:cs="Times New Roman"/>
          <w:b/>
          <w:sz w:val="24"/>
          <w:szCs w:val="24"/>
        </w:rPr>
        <w:t xml:space="preserve">Rregullorja e Komisionit (BE) Nr. 316/2014 </w:t>
      </w:r>
      <w:r w:rsidR="001622C0" w:rsidRPr="004979D2">
        <w:rPr>
          <w:rFonts w:ascii="Times New Roman" w:hAnsi="Times New Roman" w:cs="Times New Roman"/>
          <w:sz w:val="24"/>
          <w:szCs w:val="24"/>
        </w:rPr>
        <w:t>e 21 marsit 2014 mbi zbatimin e nenit 101 (3) të Traktatit për Funksionimin e Bashkimit E</w:t>
      </w:r>
      <w:r w:rsidR="00DC2051" w:rsidRPr="004979D2">
        <w:rPr>
          <w:rFonts w:ascii="Times New Roman" w:hAnsi="Times New Roman" w:cs="Times New Roman"/>
          <w:sz w:val="24"/>
          <w:szCs w:val="24"/>
        </w:rPr>
        <w:t>v</w:t>
      </w:r>
      <w:r w:rsidR="001622C0" w:rsidRPr="004979D2">
        <w:rPr>
          <w:rFonts w:ascii="Times New Roman" w:hAnsi="Times New Roman" w:cs="Times New Roman"/>
          <w:sz w:val="24"/>
          <w:szCs w:val="24"/>
        </w:rPr>
        <w:t>ropian për kategoritë e marrëveshjeve të transferimit të teknologjisë (OJ L 93, 28.03.2014, f. 17-23)</w:t>
      </w:r>
      <w:r w:rsidR="001622C0" w:rsidRPr="004979D2">
        <w:rPr>
          <w:rStyle w:val="FootnoteReference"/>
          <w:rFonts w:ascii="Times New Roman" w:hAnsi="Times New Roman" w:cs="Times New Roman"/>
          <w:sz w:val="24"/>
          <w:szCs w:val="24"/>
          <w:lang w:val="en-GB"/>
        </w:rPr>
        <w:footnoteReference w:id="23"/>
      </w:r>
      <w:r w:rsidR="001622C0" w:rsidRPr="004979D2">
        <w:rPr>
          <w:rFonts w:ascii="Times New Roman" w:hAnsi="Times New Roman" w:cs="Times New Roman"/>
          <w:sz w:val="24"/>
          <w:szCs w:val="24"/>
        </w:rPr>
        <w:t xml:space="preserve">;Përjashton marrëveshjet e licencës në mes të kompanive që kanë fuqi të kufizuar </w:t>
      </w:r>
      <w:r w:rsidR="001622C0" w:rsidRPr="004979D2">
        <w:rPr>
          <w:rFonts w:ascii="Times New Roman" w:hAnsi="Times New Roman" w:cs="Times New Roman"/>
          <w:sz w:val="24"/>
          <w:szCs w:val="24"/>
        </w:rPr>
        <w:lastRenderedPageBreak/>
        <w:t xml:space="preserve">në treg (p.sh. pjesa e tregut nën 20% për marrëveshjet midis konkurrentëve dhe 30% për marrëveshjet ndërmjet jo-konkurrentëve) dhe që përmbushin kushte të caktuara. Këto nuk konsiderohen të kenë efekte </w:t>
      </w:r>
      <w:proofErr w:type="spellStart"/>
      <w:r w:rsidR="001622C0" w:rsidRPr="004979D2">
        <w:rPr>
          <w:rFonts w:ascii="Times New Roman" w:hAnsi="Times New Roman" w:cs="Times New Roman"/>
          <w:sz w:val="24"/>
          <w:szCs w:val="24"/>
        </w:rPr>
        <w:t>anti</w:t>
      </w:r>
      <w:proofErr w:type="spellEnd"/>
      <w:r w:rsidR="001622C0" w:rsidRPr="004979D2">
        <w:rPr>
          <w:rFonts w:ascii="Times New Roman" w:hAnsi="Times New Roman" w:cs="Times New Roman"/>
          <w:sz w:val="24"/>
          <w:szCs w:val="24"/>
        </w:rPr>
        <w:t>-konkurruese ose nëse kanë, atëherë efektet pozitive i tejkalojnë ato negative dhe kështu nuk bien ndesh me rregullat</w:t>
      </w:r>
      <w:r w:rsidR="007F3D7F" w:rsidRPr="004979D2">
        <w:rPr>
          <w:rFonts w:ascii="Times New Roman" w:hAnsi="Times New Roman" w:cs="Times New Roman"/>
          <w:sz w:val="24"/>
          <w:szCs w:val="24"/>
        </w:rPr>
        <w:t xml:space="preserve"> e</w:t>
      </w:r>
      <w:r w:rsidR="001622C0" w:rsidRPr="004979D2">
        <w:rPr>
          <w:rFonts w:ascii="Times New Roman" w:hAnsi="Times New Roman" w:cs="Times New Roman"/>
          <w:sz w:val="24"/>
          <w:szCs w:val="24"/>
        </w:rPr>
        <w:t xml:space="preserve"> konkurrencës </w:t>
      </w:r>
      <w:r w:rsidR="007F3D7F" w:rsidRPr="004979D2">
        <w:rPr>
          <w:rFonts w:ascii="Times New Roman" w:hAnsi="Times New Roman" w:cs="Times New Roman"/>
          <w:sz w:val="24"/>
          <w:szCs w:val="24"/>
        </w:rPr>
        <w:t>s</w:t>
      </w:r>
      <w:r w:rsidR="001622C0" w:rsidRPr="004979D2">
        <w:rPr>
          <w:rFonts w:ascii="Times New Roman" w:hAnsi="Times New Roman" w:cs="Times New Roman"/>
          <w:sz w:val="24"/>
          <w:szCs w:val="24"/>
        </w:rPr>
        <w:t>ë BE-së. Rregullorja zbatohet vetëm për marrëveshjet për kërkim dhe zhvillim (R &amp; D) nëse nuk zbatohen rregulloret specifike të përjashtimit nga grupi për marrëveshjet e R &amp; D dhe mbi marrëveshjet e specializimit. Zbatohet vetëm për marrëveshjet dypalëshe; udhëzimet gjithashtu mbulojnë grumbullimin (</w:t>
      </w:r>
      <w:proofErr w:type="spellStart"/>
      <w:r w:rsidR="001622C0" w:rsidRPr="004979D2">
        <w:rPr>
          <w:rFonts w:ascii="Times New Roman" w:hAnsi="Times New Roman" w:cs="Times New Roman"/>
          <w:sz w:val="24"/>
          <w:szCs w:val="24"/>
        </w:rPr>
        <w:t>pool</w:t>
      </w:r>
      <w:proofErr w:type="spellEnd"/>
      <w:r w:rsidR="001622C0" w:rsidRPr="004979D2">
        <w:rPr>
          <w:rFonts w:ascii="Times New Roman" w:hAnsi="Times New Roman" w:cs="Times New Roman"/>
          <w:sz w:val="24"/>
          <w:szCs w:val="24"/>
        </w:rPr>
        <w:t>) e patentave.</w:t>
      </w:r>
    </w:p>
    <w:p w14:paraId="6DA3C5C4" w14:textId="69EE5CBC" w:rsidR="00916276" w:rsidRPr="004979D2" w:rsidRDefault="00916276" w:rsidP="002B1BC6">
      <w:pPr>
        <w:tabs>
          <w:tab w:val="left" w:pos="720"/>
        </w:tabs>
        <w:spacing w:after="200" w:line="360" w:lineRule="auto"/>
        <w:ind w:left="720"/>
        <w:jc w:val="both"/>
        <w:rPr>
          <w:rFonts w:ascii="Times New Roman" w:hAnsi="Times New Roman" w:cs="Times New Roman"/>
          <w:i/>
          <w:iCs/>
          <w:sz w:val="24"/>
          <w:szCs w:val="24"/>
        </w:rPr>
      </w:pPr>
      <w:r w:rsidRPr="004979D2">
        <w:rPr>
          <w:rFonts w:ascii="Times New Roman" w:hAnsi="Times New Roman" w:cs="Times New Roman"/>
          <w:b/>
          <w:sz w:val="24"/>
          <w:szCs w:val="24"/>
          <w:lang w:eastAsia="pl-PL"/>
        </w:rPr>
        <w:t>b)</w:t>
      </w:r>
      <w:r w:rsidR="00385C2C" w:rsidRPr="004979D2">
        <w:rPr>
          <w:rFonts w:ascii="Times New Roman" w:hAnsi="Times New Roman" w:cs="Times New Roman"/>
          <w:b/>
          <w:sz w:val="24"/>
          <w:szCs w:val="24"/>
          <w:lang w:eastAsia="pl-PL"/>
        </w:rPr>
        <w:t xml:space="preserve"> </w:t>
      </w:r>
      <w:r w:rsidR="001622C0" w:rsidRPr="004979D2">
        <w:rPr>
          <w:rFonts w:ascii="Times New Roman" w:hAnsi="Times New Roman" w:cs="Times New Roman"/>
          <w:b/>
          <w:sz w:val="24"/>
          <w:szCs w:val="24"/>
          <w:lang w:eastAsia="pl-PL"/>
        </w:rPr>
        <w:t>Direktiva e BE-së 2014/104/BE</w:t>
      </w:r>
      <w:r w:rsidR="001622C0" w:rsidRPr="004979D2">
        <w:rPr>
          <w:rFonts w:ascii="Times New Roman" w:hAnsi="Times New Roman" w:cs="Times New Roman"/>
          <w:sz w:val="24"/>
          <w:szCs w:val="24"/>
          <w:lang w:eastAsia="pl-PL"/>
        </w:rPr>
        <w:t xml:space="preserve"> e Parlamentit E</w:t>
      </w:r>
      <w:r w:rsidR="00DC2051" w:rsidRPr="004979D2">
        <w:rPr>
          <w:rFonts w:ascii="Times New Roman" w:hAnsi="Times New Roman" w:cs="Times New Roman"/>
          <w:sz w:val="24"/>
          <w:szCs w:val="24"/>
          <w:lang w:eastAsia="pl-PL"/>
        </w:rPr>
        <w:t>v</w:t>
      </w:r>
      <w:r w:rsidR="001622C0" w:rsidRPr="004979D2">
        <w:rPr>
          <w:rFonts w:ascii="Times New Roman" w:hAnsi="Times New Roman" w:cs="Times New Roman"/>
          <w:sz w:val="24"/>
          <w:szCs w:val="24"/>
          <w:lang w:eastAsia="pl-PL"/>
        </w:rPr>
        <w:t>ropian dhe e Këshillit e datës 26 nëntor 2014 për rregulla të caktuara që rregullojnë veprimet për dëmet e ligjit kombëtar për shkeljet e dispozitave të ligjit të konkurrencës të Shteteve Anëtare dhe të Bashkimit Evropian (OJ L 349 , 5.12.2014</w:t>
      </w:r>
      <w:r w:rsidR="001622C0" w:rsidRPr="004979D2">
        <w:rPr>
          <w:rFonts w:ascii="Times New Roman" w:hAnsi="Times New Roman" w:cs="Times New Roman"/>
          <w:i/>
          <w:sz w:val="24"/>
          <w:szCs w:val="24"/>
          <w:lang w:eastAsia="pl-PL"/>
        </w:rPr>
        <w:t>.):</w:t>
      </w:r>
      <w:r w:rsidR="001622C0" w:rsidRPr="004979D2">
        <w:rPr>
          <w:rStyle w:val="FootnoteReference"/>
          <w:rFonts w:ascii="Times New Roman" w:hAnsi="Times New Roman" w:cs="Times New Roman"/>
          <w:i/>
          <w:sz w:val="24"/>
          <w:szCs w:val="24"/>
          <w:lang w:eastAsia="pl-PL"/>
        </w:rPr>
        <w:footnoteReference w:id="24"/>
      </w:r>
      <w:r w:rsidR="001622C0" w:rsidRPr="004979D2">
        <w:rPr>
          <w:rFonts w:ascii="Times New Roman" w:hAnsi="Times New Roman" w:cs="Times New Roman"/>
          <w:i/>
          <w:iCs/>
          <w:sz w:val="24"/>
          <w:szCs w:val="24"/>
        </w:rPr>
        <w:t xml:space="preserve"> </w:t>
      </w:r>
    </w:p>
    <w:p w14:paraId="13E35F91" w14:textId="77777777" w:rsidR="00916276" w:rsidRPr="004979D2" w:rsidRDefault="001622C0" w:rsidP="002B1BC6">
      <w:pPr>
        <w:pStyle w:val="ListParagraph"/>
        <w:spacing w:after="200" w:line="360" w:lineRule="auto"/>
        <w:jc w:val="both"/>
        <w:rPr>
          <w:rFonts w:ascii="Times New Roman" w:hAnsi="Times New Roman" w:cs="Times New Roman"/>
          <w:i/>
          <w:sz w:val="24"/>
          <w:szCs w:val="24"/>
          <w:lang w:eastAsia="pl-PL"/>
        </w:rPr>
      </w:pPr>
      <w:r w:rsidRPr="004979D2">
        <w:rPr>
          <w:rFonts w:ascii="Times New Roman" w:hAnsi="Times New Roman" w:cs="Times New Roman"/>
          <w:sz w:val="24"/>
          <w:szCs w:val="24"/>
          <w:lang w:eastAsia="pl-PL"/>
        </w:rPr>
        <w:t xml:space="preserve">Kjo Direktivë përcakton rregulla të nevojshme për të siguruar që secili që ka pësuar dëmin e shkaktuar nga një shkelje e ligjit të konkurrencës nga një ndërmarrje ose nga një shoqatë sipërmarrjesh, në mënyrë efektive mund të ushtrojë të drejtën për të kërkuar kompensim të plotë për atë dëm nga ajo ndërmarrje ose shoqatë. Rregullorja përcakton rregullat që nxisin konkurrencën e pandërprerë në tregun e brendshëm dhe heqjen e pengesave për funksionimin e tij të duhur, duke siguruar mbrojtje ekuivalente në të gjithë </w:t>
      </w:r>
      <w:r w:rsidR="00C30F61" w:rsidRPr="004979D2">
        <w:rPr>
          <w:rFonts w:ascii="Times New Roman" w:hAnsi="Times New Roman" w:cs="Times New Roman"/>
          <w:sz w:val="24"/>
          <w:szCs w:val="24"/>
          <w:lang w:eastAsia="pl-PL"/>
        </w:rPr>
        <w:t>b</w:t>
      </w:r>
      <w:r w:rsidRPr="004979D2">
        <w:rPr>
          <w:rFonts w:ascii="Times New Roman" w:hAnsi="Times New Roman" w:cs="Times New Roman"/>
          <w:sz w:val="24"/>
          <w:szCs w:val="24"/>
          <w:lang w:eastAsia="pl-PL"/>
        </w:rPr>
        <w:t>ashkimin për të gjithë ata që kanë pësuar një dëm të tillë</w:t>
      </w:r>
    </w:p>
    <w:p w14:paraId="69274ED8" w14:textId="54F98F91" w:rsidR="001622C0" w:rsidRPr="004979D2" w:rsidRDefault="00916276" w:rsidP="002B1BC6">
      <w:pPr>
        <w:tabs>
          <w:tab w:val="left" w:pos="720"/>
        </w:tabs>
        <w:spacing w:after="200" w:line="360" w:lineRule="auto"/>
        <w:ind w:left="720"/>
        <w:jc w:val="both"/>
        <w:rPr>
          <w:rFonts w:ascii="Times New Roman" w:hAnsi="Times New Roman" w:cs="Times New Roman"/>
          <w:sz w:val="24"/>
          <w:szCs w:val="24"/>
          <w:lang w:eastAsia="pl-PL"/>
        </w:rPr>
      </w:pPr>
      <w:r w:rsidRPr="004979D2">
        <w:rPr>
          <w:rFonts w:ascii="Times New Roman" w:hAnsi="Times New Roman" w:cs="Times New Roman"/>
          <w:b/>
          <w:sz w:val="24"/>
          <w:szCs w:val="24"/>
          <w:lang w:eastAsia="pl-PL"/>
        </w:rPr>
        <w:t>c)</w:t>
      </w:r>
      <w:r w:rsidR="00385C2C" w:rsidRPr="004979D2">
        <w:rPr>
          <w:rFonts w:ascii="Times New Roman" w:hAnsi="Times New Roman" w:cs="Times New Roman"/>
          <w:b/>
          <w:sz w:val="24"/>
          <w:szCs w:val="24"/>
          <w:lang w:eastAsia="pl-PL"/>
        </w:rPr>
        <w:t xml:space="preserve"> </w:t>
      </w:r>
      <w:r w:rsidR="001622C0" w:rsidRPr="004979D2">
        <w:rPr>
          <w:rFonts w:ascii="Times New Roman" w:hAnsi="Times New Roman" w:cs="Times New Roman"/>
          <w:b/>
          <w:sz w:val="24"/>
          <w:szCs w:val="24"/>
          <w:lang w:eastAsia="pl-PL"/>
        </w:rPr>
        <w:t>Propozim për një Direktivë për fuqizimin e autoriteteve të konkurrencës</w:t>
      </w:r>
      <w:r w:rsidR="001622C0" w:rsidRPr="004979D2">
        <w:rPr>
          <w:rFonts w:ascii="Times New Roman" w:hAnsi="Times New Roman" w:cs="Times New Roman"/>
          <w:sz w:val="24"/>
          <w:szCs w:val="24"/>
          <w:lang w:eastAsia="pl-PL"/>
        </w:rPr>
        <w:t xml:space="preserve"> të Shteteve Anëtare për të qenë zbatues më efektiv dhe për të siguruar funksionimin e duhur të tregut të brendshëm:</w:t>
      </w:r>
      <w:r w:rsidR="001622C0" w:rsidRPr="004979D2">
        <w:rPr>
          <w:rStyle w:val="FootnoteReference"/>
          <w:rFonts w:ascii="Times New Roman" w:hAnsi="Times New Roman" w:cs="Times New Roman"/>
          <w:sz w:val="24"/>
          <w:szCs w:val="24"/>
          <w:lang w:eastAsia="pl-PL"/>
        </w:rPr>
        <w:footnoteReference w:id="25"/>
      </w:r>
      <w:r w:rsidR="001622C0" w:rsidRPr="004979D2">
        <w:rPr>
          <w:rFonts w:ascii="Times New Roman" w:hAnsi="Times New Roman" w:cs="Times New Roman"/>
          <w:sz w:val="24"/>
          <w:szCs w:val="24"/>
          <w:lang w:eastAsia="pl-PL"/>
        </w:rPr>
        <w:t xml:space="preserve">Më 22 mars 2017, Komisioni paraqiti një propozim për të fuqizuar autoritetet e konkurrencës së Shteteve Anëtare për të qenë zbatues më efektiv (ECN +). Propozimi synon të sigurojë që kur zbatohet baza e njëjtë ligjore - </w:t>
      </w:r>
      <w:r w:rsidR="001622C0" w:rsidRPr="004979D2">
        <w:rPr>
          <w:rFonts w:ascii="Times New Roman" w:hAnsi="Times New Roman" w:cs="Times New Roman"/>
          <w:sz w:val="24"/>
          <w:szCs w:val="24"/>
          <w:lang w:eastAsia="pl-PL"/>
        </w:rPr>
        <w:lastRenderedPageBreak/>
        <w:t xml:space="preserve">rregullat </w:t>
      </w:r>
      <w:proofErr w:type="spellStart"/>
      <w:r w:rsidR="001622C0" w:rsidRPr="004979D2">
        <w:rPr>
          <w:rFonts w:ascii="Times New Roman" w:hAnsi="Times New Roman" w:cs="Times New Roman"/>
          <w:sz w:val="24"/>
          <w:szCs w:val="24"/>
          <w:lang w:eastAsia="pl-PL"/>
        </w:rPr>
        <w:t>anti</w:t>
      </w:r>
      <w:proofErr w:type="spellEnd"/>
      <w:r w:rsidR="00C30F61" w:rsidRPr="004979D2">
        <w:rPr>
          <w:rFonts w:ascii="Times New Roman" w:hAnsi="Times New Roman" w:cs="Times New Roman"/>
          <w:sz w:val="24"/>
          <w:szCs w:val="24"/>
          <w:lang w:eastAsia="pl-PL"/>
        </w:rPr>
        <w:t>-</w:t>
      </w:r>
      <w:r w:rsidR="001622C0" w:rsidRPr="004979D2">
        <w:rPr>
          <w:rFonts w:ascii="Times New Roman" w:hAnsi="Times New Roman" w:cs="Times New Roman"/>
          <w:sz w:val="24"/>
          <w:szCs w:val="24"/>
          <w:lang w:eastAsia="pl-PL"/>
        </w:rPr>
        <w:t>trust të BE-së - autoritetet kombëtare të konkurrencës kanë mjetet e duhura të zbatimit me qëllim që të sjellin një fushë të vërtetë të zbatimit të konkurrencës së përbashkët. Për këtë qëllim, propozimi parashikon garanci dhe standarde minimale për të fuqizuar autoritetet kombëtare të konkurrencës për të arritur potencialin e tyre të plotë.</w:t>
      </w:r>
    </w:p>
    <w:p w14:paraId="24089880" w14:textId="4185951B" w:rsidR="00404589" w:rsidRPr="004979D2" w:rsidRDefault="001622C0"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Raporti gjithashtu paraqet rekomandime specifike për ndryshime në legjislacionin primar dhe sekondar për mbrojtjen e Konkurrencës në mënyrë që të rritet niveli i</w:t>
      </w:r>
      <w:r w:rsidRPr="004979D2">
        <w:rPr>
          <w:rFonts w:ascii="Times New Roman" w:hAnsi="Times New Roman" w:cs="Times New Roman"/>
          <w:b/>
          <w:sz w:val="24"/>
          <w:szCs w:val="24"/>
        </w:rPr>
        <w:t xml:space="preserve"> </w:t>
      </w:r>
      <w:proofErr w:type="spellStart"/>
      <w:r w:rsidRPr="004979D2">
        <w:rPr>
          <w:rFonts w:ascii="Times New Roman" w:hAnsi="Times New Roman" w:cs="Times New Roman"/>
          <w:sz w:val="24"/>
          <w:szCs w:val="24"/>
        </w:rPr>
        <w:t>transpozimit</w:t>
      </w:r>
      <w:proofErr w:type="spellEnd"/>
      <w:r w:rsidRPr="004979D2">
        <w:rPr>
          <w:rFonts w:ascii="Times New Roman" w:hAnsi="Times New Roman" w:cs="Times New Roman"/>
          <w:sz w:val="24"/>
          <w:szCs w:val="24"/>
        </w:rPr>
        <w:t xml:space="preserve">. Të gjeturat e Raportit janë konkretizuar në përkufizimin e problemit në këtë Kapitull dhe si rrjedhojë rekomandimet janë përfshirë në Opsionin 2 të Koncept Dokumentit - në formë të propozimeve për adresimin e shkaktarëve të problemit kryesor. Raporti sugjeron miratimin e Ligjit të ri për Konkurrencën, që është gjithashtu opsion i rekomanduar </w:t>
      </w:r>
      <w:r w:rsidR="00FE2C50" w:rsidRPr="004979D2">
        <w:rPr>
          <w:rFonts w:ascii="Times New Roman" w:hAnsi="Times New Roman" w:cs="Times New Roman"/>
          <w:sz w:val="24"/>
          <w:szCs w:val="24"/>
        </w:rPr>
        <w:t>nga ky</w:t>
      </w:r>
      <w:r w:rsidR="003B4E89" w:rsidRPr="004979D2">
        <w:rPr>
          <w:rFonts w:ascii="Times New Roman" w:hAnsi="Times New Roman" w:cs="Times New Roman"/>
          <w:sz w:val="24"/>
          <w:szCs w:val="24"/>
        </w:rPr>
        <w:t xml:space="preserve"> </w:t>
      </w:r>
      <w:r w:rsidR="00C713EA" w:rsidRPr="004979D2">
        <w:rPr>
          <w:rFonts w:ascii="Times New Roman" w:hAnsi="Times New Roman" w:cs="Times New Roman"/>
          <w:sz w:val="24"/>
          <w:szCs w:val="24"/>
        </w:rPr>
        <w:t>Koncept Dokument</w:t>
      </w:r>
      <w:r w:rsidRPr="004979D2">
        <w:rPr>
          <w:rFonts w:ascii="Times New Roman" w:hAnsi="Times New Roman" w:cs="Times New Roman"/>
          <w:sz w:val="24"/>
          <w:szCs w:val="24"/>
        </w:rPr>
        <w:t>.</w:t>
      </w:r>
    </w:p>
    <w:p w14:paraId="78CF2CC8" w14:textId="77777777" w:rsidR="003B4E89" w:rsidRDefault="003B4E89"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Pjesa e dytë e raportit analizon ndihmën shtetërore, e cila është pjesë integrale e politikave të konkurrencës.  Ndihmë shtetërore konsiderohet “</w:t>
      </w:r>
      <w:r w:rsidRPr="004979D2">
        <w:rPr>
          <w:rFonts w:ascii="Times New Roman" w:hAnsi="Times New Roman" w:cs="Times New Roman"/>
          <w:i/>
          <w:sz w:val="24"/>
          <w:szCs w:val="24"/>
        </w:rPr>
        <w:t>çdo shpenzim aktual apo shpenzim i mundshëm, apo reduktim i të ardhurave të shtetit, e dhënë në çfarëdo forme nga ana e dhënësit ose që mund t’i atribuohen shtetit, e cila drejtpërdrejtë apo në mënyrë të tërthortë shtrembëron ose rrezikon ta shtrembërojë konkurrencën duke favorizuar përfitues të caktuar të ndihmës shtetërore ose prodhime të mallrave dhe shërbimeve të caktuara, dhe që bie ndesh me obligimet ndërkombëtare të Republikës së Kosovës.”</w:t>
      </w:r>
      <w:r w:rsidRPr="004979D2">
        <w:rPr>
          <w:rStyle w:val="FootnoteReference"/>
          <w:rFonts w:ascii="Times New Roman" w:hAnsi="Times New Roman" w:cs="Times New Roman"/>
          <w:i/>
          <w:sz w:val="24"/>
          <w:szCs w:val="24"/>
        </w:rPr>
        <w:footnoteReference w:id="26"/>
      </w:r>
      <w:r w:rsidRPr="004979D2">
        <w:rPr>
          <w:rFonts w:ascii="Times New Roman" w:hAnsi="Times New Roman" w:cs="Times New Roman"/>
          <w:i/>
          <w:sz w:val="24"/>
          <w:szCs w:val="24"/>
        </w:rPr>
        <w:t xml:space="preserve"> </w:t>
      </w:r>
      <w:r w:rsidRPr="004979D2">
        <w:rPr>
          <w:rFonts w:ascii="Times New Roman" w:hAnsi="Times New Roman" w:cs="Times New Roman"/>
          <w:sz w:val="24"/>
          <w:szCs w:val="24"/>
        </w:rPr>
        <w:t xml:space="preserve">Neni 107 dhe neni 108 i Traktatit mbi Funksionimin e Bashkimit Evropian janë baza ligjore për rregullimin e ndihmës shtetërore në nivel të BE-së. Raporti ofron analizë mbi kornizën ligjore në </w:t>
      </w:r>
      <w:r w:rsidR="00694FDE" w:rsidRPr="004979D2">
        <w:rPr>
          <w:rFonts w:ascii="Times New Roman" w:hAnsi="Times New Roman" w:cs="Times New Roman"/>
          <w:sz w:val="24"/>
          <w:szCs w:val="24"/>
        </w:rPr>
        <w:t>Kosovë</w:t>
      </w:r>
      <w:r w:rsidRPr="004979D2">
        <w:rPr>
          <w:rFonts w:ascii="Times New Roman" w:hAnsi="Times New Roman" w:cs="Times New Roman"/>
          <w:smallCaps/>
          <w:sz w:val="24"/>
          <w:szCs w:val="24"/>
        </w:rPr>
        <w:t xml:space="preserve"> </w:t>
      </w:r>
      <w:r w:rsidRPr="004979D2">
        <w:rPr>
          <w:rFonts w:ascii="Times New Roman" w:hAnsi="Times New Roman" w:cs="Times New Roman"/>
          <w:sz w:val="24"/>
          <w:szCs w:val="24"/>
        </w:rPr>
        <w:t xml:space="preserve">e cila është </w:t>
      </w:r>
      <w:proofErr w:type="spellStart"/>
      <w:r w:rsidRPr="004979D2">
        <w:rPr>
          <w:rFonts w:ascii="Times New Roman" w:hAnsi="Times New Roman" w:cs="Times New Roman"/>
          <w:sz w:val="24"/>
          <w:szCs w:val="24"/>
        </w:rPr>
        <w:t>pjesërsisht</w:t>
      </w:r>
      <w:proofErr w:type="spellEnd"/>
      <w:r w:rsidRPr="004979D2">
        <w:rPr>
          <w:rFonts w:ascii="Times New Roman" w:hAnsi="Times New Roman" w:cs="Times New Roman"/>
          <w:sz w:val="24"/>
          <w:szCs w:val="24"/>
        </w:rPr>
        <w:t xml:space="preserve"> në përputhje me rregullat dhe normat e BE-së, duke identifikuar mangësitë dhe ofruar rekomandime për adresimin e tyre. Mirëpo, pasi që </w:t>
      </w:r>
      <w:r w:rsidR="00356396" w:rsidRPr="004979D2">
        <w:rPr>
          <w:rFonts w:ascii="Times New Roman" w:hAnsi="Times New Roman" w:cs="Times New Roman"/>
          <w:sz w:val="24"/>
          <w:szCs w:val="24"/>
        </w:rPr>
        <w:t>N</w:t>
      </w:r>
      <w:r w:rsidRPr="004979D2">
        <w:rPr>
          <w:rFonts w:ascii="Times New Roman" w:hAnsi="Times New Roman" w:cs="Times New Roman"/>
          <w:sz w:val="24"/>
          <w:szCs w:val="24"/>
        </w:rPr>
        <w:t xml:space="preserve">dihma </w:t>
      </w:r>
      <w:r w:rsidR="00356396" w:rsidRPr="004979D2">
        <w:rPr>
          <w:rFonts w:ascii="Times New Roman" w:hAnsi="Times New Roman" w:cs="Times New Roman"/>
          <w:sz w:val="24"/>
          <w:szCs w:val="24"/>
        </w:rPr>
        <w:t>S</w:t>
      </w:r>
      <w:r w:rsidRPr="004979D2">
        <w:rPr>
          <w:rFonts w:ascii="Times New Roman" w:hAnsi="Times New Roman" w:cs="Times New Roman"/>
          <w:sz w:val="24"/>
          <w:szCs w:val="24"/>
        </w:rPr>
        <w:t>htetërore në Kosovë</w:t>
      </w:r>
      <w:r w:rsidR="00C81D88" w:rsidRPr="004979D2">
        <w:rPr>
          <w:rFonts w:ascii="Times New Roman" w:hAnsi="Times New Roman" w:cs="Times New Roman"/>
          <w:sz w:val="24"/>
          <w:szCs w:val="24"/>
        </w:rPr>
        <w:t>s</w:t>
      </w:r>
      <w:r w:rsidRPr="004979D2">
        <w:rPr>
          <w:rFonts w:ascii="Times New Roman" w:hAnsi="Times New Roman" w:cs="Times New Roman"/>
          <w:sz w:val="24"/>
          <w:szCs w:val="24"/>
        </w:rPr>
        <w:t xml:space="preserve"> është e rregulluar me ligj të ve</w:t>
      </w:r>
      <w:r w:rsidR="00C81D88" w:rsidRPr="004979D2">
        <w:rPr>
          <w:rFonts w:ascii="Times New Roman" w:hAnsi="Times New Roman" w:cs="Times New Roman"/>
          <w:sz w:val="24"/>
          <w:szCs w:val="24"/>
        </w:rPr>
        <w:t>ç</w:t>
      </w:r>
      <w:r w:rsidRPr="004979D2">
        <w:rPr>
          <w:rFonts w:ascii="Times New Roman" w:hAnsi="Times New Roman" w:cs="Times New Roman"/>
          <w:sz w:val="24"/>
          <w:szCs w:val="24"/>
        </w:rPr>
        <w:t xml:space="preserve">antë si dhe departamenti i Ndihmës Shtetërore është </w:t>
      </w:r>
      <w:proofErr w:type="spellStart"/>
      <w:r w:rsidRPr="004979D2">
        <w:rPr>
          <w:rFonts w:ascii="Times New Roman" w:hAnsi="Times New Roman" w:cs="Times New Roman"/>
          <w:sz w:val="24"/>
          <w:szCs w:val="24"/>
        </w:rPr>
        <w:t>rialokuar</w:t>
      </w:r>
      <w:proofErr w:type="spellEnd"/>
      <w:r w:rsidRPr="004979D2">
        <w:rPr>
          <w:rFonts w:ascii="Times New Roman" w:hAnsi="Times New Roman" w:cs="Times New Roman"/>
          <w:sz w:val="24"/>
          <w:szCs w:val="24"/>
        </w:rPr>
        <w:t xml:space="preserve"> nën ombrellën e Ministrisë së Financave, politika e propozuar nuk analizon fushën e ndihmës shtetërore.</w:t>
      </w:r>
    </w:p>
    <w:p w14:paraId="6190BB41" w14:textId="77777777" w:rsidR="00E069A6" w:rsidRDefault="00E069A6" w:rsidP="002B1BC6">
      <w:pPr>
        <w:spacing w:line="360" w:lineRule="auto"/>
        <w:jc w:val="both"/>
        <w:rPr>
          <w:rFonts w:ascii="Times New Roman" w:hAnsi="Times New Roman" w:cs="Times New Roman"/>
          <w:sz w:val="24"/>
          <w:szCs w:val="24"/>
        </w:rPr>
      </w:pPr>
    </w:p>
    <w:p w14:paraId="086C8F86" w14:textId="77777777" w:rsidR="00E069A6" w:rsidRPr="004979D2" w:rsidRDefault="00E069A6" w:rsidP="002B1BC6">
      <w:pPr>
        <w:spacing w:line="360" w:lineRule="auto"/>
        <w:jc w:val="both"/>
        <w:rPr>
          <w:rFonts w:ascii="Times New Roman" w:hAnsi="Times New Roman" w:cs="Times New Roman"/>
          <w:sz w:val="24"/>
          <w:szCs w:val="24"/>
        </w:rPr>
      </w:pPr>
    </w:p>
    <w:p w14:paraId="3EF5DD08" w14:textId="35B5C34E" w:rsidR="00012308" w:rsidRPr="004979D2" w:rsidRDefault="00012308" w:rsidP="002B1BC6">
      <w:pPr>
        <w:pStyle w:val="Heading3"/>
        <w:numPr>
          <w:ilvl w:val="2"/>
          <w:numId w:val="50"/>
        </w:numPr>
        <w:spacing w:line="360" w:lineRule="auto"/>
        <w:rPr>
          <w:rFonts w:cs="Times New Roman"/>
        </w:rPr>
      </w:pPr>
      <w:bookmarkStart w:id="14" w:name="_Toc1114318"/>
      <w:r w:rsidRPr="004979D2">
        <w:rPr>
          <w:rFonts w:cs="Times New Roman"/>
        </w:rPr>
        <w:lastRenderedPageBreak/>
        <w:t>Vlerësimi i Ndikimeve në Nivel të BE-së</w:t>
      </w:r>
      <w:bookmarkEnd w:id="14"/>
    </w:p>
    <w:p w14:paraId="5B67903F" w14:textId="77777777" w:rsidR="00012308" w:rsidRPr="004979D2" w:rsidRDefault="00012308"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 Për qëllim të hartimit të këtij Koncept Dokumenti, janë analizuar vlerësimet e ndikimeve në nivel të BE-së, si në vijim:</w:t>
      </w:r>
    </w:p>
    <w:p w14:paraId="2F15AD4F" w14:textId="77777777" w:rsidR="00012308" w:rsidRPr="004979D2" w:rsidRDefault="00012308"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 Komunikimi: Korniza e Ligjit të ardhshëm për Konkurrencën që aplikohet në sektorin e mjeteve motorike; </w:t>
      </w:r>
    </w:p>
    <w:p w14:paraId="6DA6832B" w14:textId="77777777" w:rsidR="00012308" w:rsidRPr="004979D2" w:rsidRDefault="00012308"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 Komunikimi nga Komisioni - Udhëzime mbi </w:t>
      </w:r>
      <w:proofErr w:type="spellStart"/>
      <w:r w:rsidRPr="004979D2">
        <w:rPr>
          <w:rFonts w:ascii="Times New Roman" w:hAnsi="Times New Roman" w:cs="Times New Roman"/>
          <w:sz w:val="24"/>
          <w:szCs w:val="24"/>
        </w:rPr>
        <w:t>zbatueshmërinë</w:t>
      </w:r>
      <w:proofErr w:type="spellEnd"/>
      <w:r w:rsidRPr="004979D2">
        <w:rPr>
          <w:rFonts w:ascii="Times New Roman" w:hAnsi="Times New Roman" w:cs="Times New Roman"/>
          <w:sz w:val="24"/>
          <w:szCs w:val="24"/>
        </w:rPr>
        <w:t xml:space="preserve"> e nenit 101 të Traktatit për Funksionimin e Bashkimit Evropian në marrëveshjet e bashkëpunimit horizontal,  dhe</w:t>
      </w:r>
    </w:p>
    <w:p w14:paraId="2802EFCD" w14:textId="77777777" w:rsidR="00012308" w:rsidRPr="004979D2" w:rsidRDefault="00012308"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 Vlerësimi i Ndikimit të Rregullores së Komisionit për zbatimin e nenit 101 (3) të Traktatit për Funksionimin e Bashkimit Evropian për kategoritë e marrëveshjeve vertikale dhe praktikave të bashkërenduara. </w:t>
      </w:r>
    </w:p>
    <w:p w14:paraId="13B64399" w14:textId="77777777" w:rsidR="00012308" w:rsidRPr="004979D2" w:rsidRDefault="00012308"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Konstatimi i grupit punues, pas analizës, është se këto janë shumë specifike për sektor të caktuar dhe nuk mund të ndërlidhen në këtë pikë me analizën e përgjithshme që po i bëhet fushës së Konkurrencës në Kosovë.</w:t>
      </w:r>
    </w:p>
    <w:p w14:paraId="47C005E3" w14:textId="41247F0C" w:rsidR="00492BAF" w:rsidRPr="004979D2" w:rsidRDefault="00492BAF" w:rsidP="002B1BC6">
      <w:pPr>
        <w:pStyle w:val="Heading2"/>
        <w:numPr>
          <w:ilvl w:val="1"/>
          <w:numId w:val="50"/>
        </w:numPr>
        <w:spacing w:line="360" w:lineRule="auto"/>
        <w:rPr>
          <w:rFonts w:cs="Times New Roman"/>
          <w:b w:val="0"/>
          <w:szCs w:val="24"/>
        </w:rPr>
      </w:pPr>
      <w:bookmarkStart w:id="15" w:name="_Toc965375"/>
      <w:bookmarkStart w:id="16" w:name="_Toc965436"/>
      <w:bookmarkStart w:id="17" w:name="_Toc1029632"/>
      <w:bookmarkStart w:id="18" w:name="_Toc1029688"/>
      <w:bookmarkStart w:id="19" w:name="_Toc1030040"/>
      <w:bookmarkStart w:id="20" w:name="_Toc1114319"/>
      <w:bookmarkEnd w:id="15"/>
      <w:bookmarkEnd w:id="16"/>
      <w:bookmarkEnd w:id="17"/>
      <w:bookmarkEnd w:id="18"/>
      <w:bookmarkEnd w:id="19"/>
      <w:r w:rsidRPr="004979D2">
        <w:rPr>
          <w:rFonts w:cs="Times New Roman"/>
          <w:szCs w:val="24"/>
        </w:rPr>
        <w:t>Hulumtimi dhe Identifikimi i Monopoleve</w:t>
      </w:r>
      <w:bookmarkEnd w:id="20"/>
    </w:p>
    <w:p w14:paraId="4645A0F6" w14:textId="77777777" w:rsidR="005A3D59" w:rsidRPr="004979D2" w:rsidRDefault="005A3D59"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Gjithashtu, AKK ka bërë hulumtimin edhe identifikimin e monopoleve në Republikën e Kosovës për 14 tregje dhe njëkohësisht ka nxjerr</w:t>
      </w:r>
      <w:r w:rsidR="005B3276" w:rsidRPr="004979D2">
        <w:rPr>
          <w:rFonts w:ascii="Times New Roman" w:hAnsi="Times New Roman" w:cs="Times New Roman"/>
          <w:sz w:val="24"/>
          <w:szCs w:val="24"/>
        </w:rPr>
        <w:t>ë</w:t>
      </w:r>
      <w:r w:rsidRPr="004979D2">
        <w:rPr>
          <w:rFonts w:ascii="Times New Roman" w:hAnsi="Times New Roman" w:cs="Times New Roman"/>
          <w:sz w:val="24"/>
          <w:szCs w:val="24"/>
        </w:rPr>
        <w:t xml:space="preserve"> informata mbi strukturën e tregut të ndërmarrjeve dhe pozitën e tyre dominuese të përcaktuar.  Këto të gjetura janë publikuar në një Raport në vitin 2017</w:t>
      </w:r>
      <w:r w:rsidR="008A3160" w:rsidRPr="004979D2">
        <w:rPr>
          <w:rStyle w:val="FootnoteReference"/>
          <w:rFonts w:ascii="Times New Roman" w:hAnsi="Times New Roman" w:cs="Times New Roman"/>
          <w:sz w:val="24"/>
          <w:szCs w:val="24"/>
        </w:rPr>
        <w:footnoteReference w:id="27"/>
      </w:r>
      <w:r w:rsidRPr="004979D2">
        <w:rPr>
          <w:rFonts w:ascii="Times New Roman" w:hAnsi="Times New Roman" w:cs="Times New Roman"/>
          <w:sz w:val="24"/>
          <w:szCs w:val="24"/>
        </w:rPr>
        <w:t xml:space="preserve">. </w:t>
      </w:r>
    </w:p>
    <w:p w14:paraId="783CE42A" w14:textId="77777777" w:rsidR="005A3D59" w:rsidRPr="004979D2" w:rsidRDefault="005A3D59"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Tregjet e hulumtuara nga AKK janë: </w:t>
      </w:r>
    </w:p>
    <w:p w14:paraId="530A278D" w14:textId="77777777" w:rsidR="005A3D59" w:rsidRPr="004979D2" w:rsidRDefault="005A3D59" w:rsidP="002B1BC6">
      <w:pPr>
        <w:spacing w:after="0" w:line="360" w:lineRule="auto"/>
        <w:jc w:val="both"/>
        <w:rPr>
          <w:rFonts w:ascii="Times New Roman" w:hAnsi="Times New Roman" w:cs="Times New Roman"/>
          <w:sz w:val="24"/>
          <w:szCs w:val="24"/>
        </w:rPr>
      </w:pPr>
      <w:r w:rsidRPr="004979D2">
        <w:rPr>
          <w:rFonts w:ascii="Times New Roman" w:hAnsi="Times New Roman" w:cs="Times New Roman"/>
          <w:sz w:val="24"/>
          <w:szCs w:val="24"/>
        </w:rPr>
        <w:t>•</w:t>
      </w:r>
      <w:r w:rsidRPr="004979D2">
        <w:rPr>
          <w:rFonts w:ascii="Times New Roman" w:hAnsi="Times New Roman" w:cs="Times New Roman"/>
          <w:sz w:val="24"/>
          <w:szCs w:val="24"/>
        </w:rPr>
        <w:tab/>
        <w:t>Tregu i telekomunikacionit;</w:t>
      </w:r>
    </w:p>
    <w:p w14:paraId="479C35A6" w14:textId="77777777" w:rsidR="005A3D59" w:rsidRPr="004979D2" w:rsidRDefault="005A3D59" w:rsidP="002B1BC6">
      <w:pPr>
        <w:spacing w:after="0" w:line="360" w:lineRule="auto"/>
        <w:jc w:val="both"/>
        <w:rPr>
          <w:rFonts w:ascii="Times New Roman" w:hAnsi="Times New Roman" w:cs="Times New Roman"/>
          <w:sz w:val="24"/>
          <w:szCs w:val="24"/>
        </w:rPr>
      </w:pPr>
      <w:r w:rsidRPr="004979D2">
        <w:rPr>
          <w:rFonts w:ascii="Times New Roman" w:hAnsi="Times New Roman" w:cs="Times New Roman"/>
          <w:sz w:val="24"/>
          <w:szCs w:val="24"/>
        </w:rPr>
        <w:t>•</w:t>
      </w:r>
      <w:r w:rsidRPr="004979D2">
        <w:rPr>
          <w:rFonts w:ascii="Times New Roman" w:hAnsi="Times New Roman" w:cs="Times New Roman"/>
          <w:sz w:val="24"/>
          <w:szCs w:val="24"/>
        </w:rPr>
        <w:tab/>
        <w:t>Tregu i energjisë;</w:t>
      </w:r>
    </w:p>
    <w:p w14:paraId="4EC2EA95" w14:textId="77777777" w:rsidR="005A3D59" w:rsidRPr="004979D2" w:rsidRDefault="005A3D59" w:rsidP="002B1BC6">
      <w:pPr>
        <w:spacing w:after="0" w:line="360" w:lineRule="auto"/>
        <w:jc w:val="both"/>
        <w:rPr>
          <w:rFonts w:ascii="Times New Roman" w:hAnsi="Times New Roman" w:cs="Times New Roman"/>
          <w:sz w:val="24"/>
          <w:szCs w:val="24"/>
        </w:rPr>
      </w:pPr>
      <w:r w:rsidRPr="004979D2">
        <w:rPr>
          <w:rFonts w:ascii="Times New Roman" w:hAnsi="Times New Roman" w:cs="Times New Roman"/>
          <w:sz w:val="24"/>
          <w:szCs w:val="24"/>
        </w:rPr>
        <w:t>•</w:t>
      </w:r>
      <w:r w:rsidRPr="004979D2">
        <w:rPr>
          <w:rFonts w:ascii="Times New Roman" w:hAnsi="Times New Roman" w:cs="Times New Roman"/>
          <w:sz w:val="24"/>
          <w:szCs w:val="24"/>
        </w:rPr>
        <w:tab/>
        <w:t>Tregu i sigurimeve;</w:t>
      </w:r>
    </w:p>
    <w:p w14:paraId="26AE48B2" w14:textId="77777777" w:rsidR="005A3D59" w:rsidRPr="004979D2" w:rsidRDefault="005A3D59" w:rsidP="002B1BC6">
      <w:pPr>
        <w:spacing w:after="0" w:line="360" w:lineRule="auto"/>
        <w:jc w:val="both"/>
        <w:rPr>
          <w:rFonts w:ascii="Times New Roman" w:hAnsi="Times New Roman" w:cs="Times New Roman"/>
          <w:sz w:val="24"/>
          <w:szCs w:val="24"/>
        </w:rPr>
      </w:pPr>
      <w:r w:rsidRPr="004979D2">
        <w:rPr>
          <w:rFonts w:ascii="Times New Roman" w:hAnsi="Times New Roman" w:cs="Times New Roman"/>
          <w:sz w:val="24"/>
          <w:szCs w:val="24"/>
        </w:rPr>
        <w:t>•</w:t>
      </w:r>
      <w:r w:rsidRPr="004979D2">
        <w:rPr>
          <w:rFonts w:ascii="Times New Roman" w:hAnsi="Times New Roman" w:cs="Times New Roman"/>
          <w:sz w:val="24"/>
          <w:szCs w:val="24"/>
        </w:rPr>
        <w:tab/>
        <w:t>Tregu i derivateve të naftës;</w:t>
      </w:r>
    </w:p>
    <w:p w14:paraId="0727A418" w14:textId="77777777" w:rsidR="005A3D59" w:rsidRPr="004979D2" w:rsidRDefault="005A3D59" w:rsidP="002B1BC6">
      <w:pPr>
        <w:spacing w:after="0" w:line="360" w:lineRule="auto"/>
        <w:jc w:val="both"/>
        <w:rPr>
          <w:rFonts w:ascii="Times New Roman" w:hAnsi="Times New Roman" w:cs="Times New Roman"/>
          <w:sz w:val="24"/>
          <w:szCs w:val="24"/>
        </w:rPr>
      </w:pPr>
      <w:r w:rsidRPr="004979D2">
        <w:rPr>
          <w:rFonts w:ascii="Times New Roman" w:hAnsi="Times New Roman" w:cs="Times New Roman"/>
          <w:sz w:val="24"/>
          <w:szCs w:val="24"/>
        </w:rPr>
        <w:t>•</w:t>
      </w:r>
      <w:r w:rsidRPr="004979D2">
        <w:rPr>
          <w:rFonts w:ascii="Times New Roman" w:hAnsi="Times New Roman" w:cs="Times New Roman"/>
          <w:sz w:val="24"/>
          <w:szCs w:val="24"/>
        </w:rPr>
        <w:tab/>
        <w:t>Tregu i produkteve farmaceutike</w:t>
      </w:r>
    </w:p>
    <w:p w14:paraId="16CECE84" w14:textId="77777777" w:rsidR="005A3D59" w:rsidRPr="004979D2" w:rsidRDefault="005A3D59" w:rsidP="002B1BC6">
      <w:pPr>
        <w:spacing w:after="0" w:line="360" w:lineRule="auto"/>
        <w:jc w:val="both"/>
        <w:rPr>
          <w:rFonts w:ascii="Times New Roman" w:hAnsi="Times New Roman" w:cs="Times New Roman"/>
          <w:sz w:val="24"/>
          <w:szCs w:val="24"/>
        </w:rPr>
      </w:pPr>
      <w:r w:rsidRPr="004979D2">
        <w:rPr>
          <w:rFonts w:ascii="Times New Roman" w:hAnsi="Times New Roman" w:cs="Times New Roman"/>
          <w:sz w:val="24"/>
          <w:szCs w:val="24"/>
        </w:rPr>
        <w:t>•</w:t>
      </w:r>
      <w:r w:rsidRPr="004979D2">
        <w:rPr>
          <w:rFonts w:ascii="Times New Roman" w:hAnsi="Times New Roman" w:cs="Times New Roman"/>
          <w:sz w:val="24"/>
          <w:szCs w:val="24"/>
        </w:rPr>
        <w:tab/>
        <w:t>Tregu i transportit;</w:t>
      </w:r>
    </w:p>
    <w:p w14:paraId="16D54E5C" w14:textId="77777777" w:rsidR="005A3D59" w:rsidRPr="004979D2" w:rsidRDefault="005A3D59" w:rsidP="002B1BC6">
      <w:pPr>
        <w:spacing w:after="0" w:line="360" w:lineRule="auto"/>
        <w:jc w:val="both"/>
        <w:rPr>
          <w:rFonts w:ascii="Times New Roman" w:hAnsi="Times New Roman" w:cs="Times New Roman"/>
          <w:sz w:val="24"/>
          <w:szCs w:val="24"/>
        </w:rPr>
      </w:pPr>
      <w:r w:rsidRPr="004979D2">
        <w:rPr>
          <w:rFonts w:ascii="Times New Roman" w:hAnsi="Times New Roman" w:cs="Times New Roman"/>
          <w:sz w:val="24"/>
          <w:szCs w:val="24"/>
        </w:rPr>
        <w:t>•</w:t>
      </w:r>
      <w:r w:rsidRPr="004979D2">
        <w:rPr>
          <w:rFonts w:ascii="Times New Roman" w:hAnsi="Times New Roman" w:cs="Times New Roman"/>
          <w:sz w:val="24"/>
          <w:szCs w:val="24"/>
        </w:rPr>
        <w:tab/>
        <w:t xml:space="preserve">Tregu i mediave dhe </w:t>
      </w:r>
      <w:proofErr w:type="spellStart"/>
      <w:r w:rsidRPr="004979D2">
        <w:rPr>
          <w:rFonts w:ascii="Times New Roman" w:hAnsi="Times New Roman" w:cs="Times New Roman"/>
          <w:sz w:val="24"/>
          <w:szCs w:val="24"/>
        </w:rPr>
        <w:t>produkcioneve</w:t>
      </w:r>
      <w:proofErr w:type="spellEnd"/>
      <w:r w:rsidRPr="004979D2">
        <w:rPr>
          <w:rFonts w:ascii="Times New Roman" w:hAnsi="Times New Roman" w:cs="Times New Roman"/>
          <w:sz w:val="24"/>
          <w:szCs w:val="24"/>
        </w:rPr>
        <w:t xml:space="preserve"> kinematografike;</w:t>
      </w:r>
    </w:p>
    <w:p w14:paraId="102BDFF0" w14:textId="77777777" w:rsidR="005A3D59" w:rsidRPr="004979D2" w:rsidRDefault="005A3D59" w:rsidP="002B1BC6">
      <w:pPr>
        <w:spacing w:after="0" w:line="360" w:lineRule="auto"/>
        <w:jc w:val="both"/>
        <w:rPr>
          <w:rFonts w:ascii="Times New Roman" w:hAnsi="Times New Roman" w:cs="Times New Roman"/>
          <w:sz w:val="24"/>
          <w:szCs w:val="24"/>
        </w:rPr>
      </w:pPr>
      <w:r w:rsidRPr="004979D2">
        <w:rPr>
          <w:rFonts w:ascii="Times New Roman" w:hAnsi="Times New Roman" w:cs="Times New Roman"/>
          <w:sz w:val="24"/>
          <w:szCs w:val="24"/>
        </w:rPr>
        <w:lastRenderedPageBreak/>
        <w:t>•</w:t>
      </w:r>
      <w:r w:rsidRPr="004979D2">
        <w:rPr>
          <w:rFonts w:ascii="Times New Roman" w:hAnsi="Times New Roman" w:cs="Times New Roman"/>
          <w:sz w:val="24"/>
          <w:szCs w:val="24"/>
        </w:rPr>
        <w:tab/>
        <w:t xml:space="preserve">Prokurimi; </w:t>
      </w:r>
      <w:r w:rsidR="008A3160" w:rsidRPr="004979D2">
        <w:rPr>
          <w:rStyle w:val="FootnoteReference"/>
          <w:rFonts w:ascii="Times New Roman" w:hAnsi="Times New Roman" w:cs="Times New Roman"/>
          <w:sz w:val="24"/>
          <w:szCs w:val="24"/>
        </w:rPr>
        <w:footnoteReference w:id="28"/>
      </w:r>
    </w:p>
    <w:p w14:paraId="7E3ABCB8" w14:textId="77777777" w:rsidR="005A3D59" w:rsidRPr="004979D2" w:rsidRDefault="005A3D59" w:rsidP="002B1BC6">
      <w:pPr>
        <w:spacing w:after="0" w:line="360" w:lineRule="auto"/>
        <w:jc w:val="both"/>
        <w:rPr>
          <w:rFonts w:ascii="Times New Roman" w:hAnsi="Times New Roman" w:cs="Times New Roman"/>
          <w:sz w:val="24"/>
          <w:szCs w:val="24"/>
        </w:rPr>
      </w:pPr>
      <w:r w:rsidRPr="004979D2">
        <w:rPr>
          <w:rFonts w:ascii="Times New Roman" w:hAnsi="Times New Roman" w:cs="Times New Roman"/>
          <w:sz w:val="24"/>
          <w:szCs w:val="24"/>
        </w:rPr>
        <w:t>•</w:t>
      </w:r>
      <w:r w:rsidRPr="004979D2">
        <w:rPr>
          <w:rFonts w:ascii="Times New Roman" w:hAnsi="Times New Roman" w:cs="Times New Roman"/>
          <w:sz w:val="24"/>
          <w:szCs w:val="24"/>
        </w:rPr>
        <w:tab/>
        <w:t>Tregu i sektorit bankar;</w:t>
      </w:r>
    </w:p>
    <w:p w14:paraId="2E66EA70" w14:textId="77777777" w:rsidR="005A3D59" w:rsidRPr="004979D2" w:rsidRDefault="005A3D59" w:rsidP="002B1BC6">
      <w:pPr>
        <w:spacing w:after="0" w:line="360" w:lineRule="auto"/>
        <w:jc w:val="both"/>
        <w:rPr>
          <w:rFonts w:ascii="Times New Roman" w:hAnsi="Times New Roman" w:cs="Times New Roman"/>
          <w:sz w:val="24"/>
          <w:szCs w:val="24"/>
        </w:rPr>
      </w:pPr>
      <w:r w:rsidRPr="004979D2">
        <w:rPr>
          <w:rFonts w:ascii="Times New Roman" w:hAnsi="Times New Roman" w:cs="Times New Roman"/>
          <w:sz w:val="24"/>
          <w:szCs w:val="24"/>
        </w:rPr>
        <w:t>•</w:t>
      </w:r>
      <w:r w:rsidRPr="004979D2">
        <w:rPr>
          <w:rFonts w:ascii="Times New Roman" w:hAnsi="Times New Roman" w:cs="Times New Roman"/>
          <w:sz w:val="24"/>
          <w:szCs w:val="24"/>
        </w:rPr>
        <w:tab/>
        <w:t>Tregu i pajisjeve fiskale;</w:t>
      </w:r>
    </w:p>
    <w:p w14:paraId="3D3C8D73" w14:textId="77777777" w:rsidR="005A3D59" w:rsidRPr="004979D2" w:rsidRDefault="005A3D59" w:rsidP="002B1BC6">
      <w:pPr>
        <w:spacing w:after="0" w:line="360" w:lineRule="auto"/>
        <w:jc w:val="both"/>
        <w:rPr>
          <w:rFonts w:ascii="Times New Roman" w:hAnsi="Times New Roman" w:cs="Times New Roman"/>
          <w:sz w:val="24"/>
          <w:szCs w:val="24"/>
        </w:rPr>
      </w:pPr>
      <w:r w:rsidRPr="004979D2">
        <w:rPr>
          <w:rFonts w:ascii="Times New Roman" w:hAnsi="Times New Roman" w:cs="Times New Roman"/>
          <w:sz w:val="24"/>
          <w:szCs w:val="24"/>
        </w:rPr>
        <w:t>•</w:t>
      </w:r>
      <w:r w:rsidRPr="004979D2">
        <w:rPr>
          <w:rFonts w:ascii="Times New Roman" w:hAnsi="Times New Roman" w:cs="Times New Roman"/>
          <w:sz w:val="24"/>
          <w:szCs w:val="24"/>
        </w:rPr>
        <w:tab/>
        <w:t>Tregu i lojërave te fatit;</w:t>
      </w:r>
    </w:p>
    <w:p w14:paraId="570B488C" w14:textId="77777777" w:rsidR="005A3D59" w:rsidRPr="004979D2" w:rsidRDefault="005A3D59" w:rsidP="002B1BC6">
      <w:pPr>
        <w:spacing w:after="0" w:line="360" w:lineRule="auto"/>
        <w:jc w:val="both"/>
        <w:rPr>
          <w:rFonts w:ascii="Times New Roman" w:hAnsi="Times New Roman" w:cs="Times New Roman"/>
          <w:sz w:val="24"/>
          <w:szCs w:val="24"/>
        </w:rPr>
      </w:pPr>
      <w:r w:rsidRPr="004979D2">
        <w:rPr>
          <w:rFonts w:ascii="Times New Roman" w:hAnsi="Times New Roman" w:cs="Times New Roman"/>
          <w:sz w:val="24"/>
          <w:szCs w:val="24"/>
        </w:rPr>
        <w:t>•</w:t>
      </w:r>
      <w:r w:rsidRPr="004979D2">
        <w:rPr>
          <w:rFonts w:ascii="Times New Roman" w:hAnsi="Times New Roman" w:cs="Times New Roman"/>
          <w:sz w:val="24"/>
          <w:szCs w:val="24"/>
        </w:rPr>
        <w:tab/>
        <w:t>Tregu i minierave;</w:t>
      </w:r>
    </w:p>
    <w:p w14:paraId="66EAFF8B" w14:textId="77777777" w:rsidR="005A3D59" w:rsidRPr="004979D2" w:rsidRDefault="005A3D59" w:rsidP="002B1BC6">
      <w:pPr>
        <w:spacing w:after="0" w:line="360" w:lineRule="auto"/>
        <w:jc w:val="both"/>
        <w:rPr>
          <w:rFonts w:ascii="Times New Roman" w:hAnsi="Times New Roman" w:cs="Times New Roman"/>
          <w:sz w:val="24"/>
          <w:szCs w:val="24"/>
        </w:rPr>
      </w:pPr>
      <w:r w:rsidRPr="004979D2">
        <w:rPr>
          <w:rFonts w:ascii="Times New Roman" w:hAnsi="Times New Roman" w:cs="Times New Roman"/>
          <w:sz w:val="24"/>
          <w:szCs w:val="24"/>
        </w:rPr>
        <w:t>•</w:t>
      </w:r>
      <w:r w:rsidRPr="004979D2">
        <w:rPr>
          <w:rFonts w:ascii="Times New Roman" w:hAnsi="Times New Roman" w:cs="Times New Roman"/>
          <w:sz w:val="24"/>
          <w:szCs w:val="24"/>
        </w:rPr>
        <w:tab/>
        <w:t>Tregu i mbeturinave, dhe</w:t>
      </w:r>
    </w:p>
    <w:p w14:paraId="605A6BC8" w14:textId="77777777" w:rsidR="005A3D59" w:rsidRPr="004979D2" w:rsidRDefault="005A3D59" w:rsidP="002B1BC6">
      <w:pPr>
        <w:spacing w:after="0" w:line="360" w:lineRule="auto"/>
        <w:jc w:val="both"/>
        <w:rPr>
          <w:rFonts w:ascii="Times New Roman" w:hAnsi="Times New Roman" w:cs="Times New Roman"/>
          <w:sz w:val="24"/>
          <w:szCs w:val="24"/>
        </w:rPr>
      </w:pPr>
      <w:r w:rsidRPr="004979D2">
        <w:rPr>
          <w:rFonts w:ascii="Times New Roman" w:hAnsi="Times New Roman" w:cs="Times New Roman"/>
          <w:sz w:val="24"/>
          <w:szCs w:val="24"/>
        </w:rPr>
        <w:t>•</w:t>
      </w:r>
      <w:r w:rsidRPr="004979D2">
        <w:rPr>
          <w:rFonts w:ascii="Times New Roman" w:hAnsi="Times New Roman" w:cs="Times New Roman"/>
          <w:sz w:val="24"/>
          <w:szCs w:val="24"/>
        </w:rPr>
        <w:tab/>
        <w:t>Tregu i furnizimit me ujë.</w:t>
      </w:r>
    </w:p>
    <w:p w14:paraId="170CEACE" w14:textId="3CB60A65" w:rsidR="00012308" w:rsidRPr="004979D2" w:rsidRDefault="005A3D59"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Të gjeturat e raportit tregojnë se, në tregjet e cekura si më lartë, gjithsej 44 ndërmarrje janë në pozitë dominuese dhe 16 kanë monopol (2 prej tyre monopol natyror). Nga 44 ndërmarrje që janë në pozitë dominuese, 20 ndërmarrje janë në përqindjen e pozitës dominuese në mes të 25 deri 40%.</w:t>
      </w:r>
    </w:p>
    <w:p w14:paraId="659899DB" w14:textId="77777777" w:rsidR="005A3D59" w:rsidRPr="004979D2" w:rsidRDefault="005A3D59" w:rsidP="002B1BC6">
      <w:pPr>
        <w:pStyle w:val="Caption"/>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Figura </w:t>
      </w:r>
      <w:r w:rsidR="00A8550A" w:rsidRPr="004979D2">
        <w:rPr>
          <w:rFonts w:ascii="Times New Roman" w:hAnsi="Times New Roman" w:cs="Times New Roman"/>
          <w:sz w:val="24"/>
          <w:szCs w:val="24"/>
        </w:rPr>
        <w:t>3. Tregjet e Hulumtuara</w:t>
      </w:r>
    </w:p>
    <w:p w14:paraId="2A53492A" w14:textId="77777777" w:rsidR="005A3D59" w:rsidRPr="004979D2" w:rsidRDefault="005A3D59" w:rsidP="002B1BC6">
      <w:pPr>
        <w:spacing w:line="360" w:lineRule="auto"/>
        <w:jc w:val="center"/>
        <w:rPr>
          <w:rFonts w:ascii="Times New Roman" w:hAnsi="Times New Roman" w:cs="Times New Roman"/>
          <w:sz w:val="24"/>
          <w:szCs w:val="24"/>
        </w:rPr>
      </w:pPr>
      <w:r w:rsidRPr="004979D2">
        <w:rPr>
          <w:rFonts w:ascii="Times New Roman" w:hAnsi="Times New Roman" w:cs="Times New Roman"/>
          <w:noProof/>
          <w:sz w:val="24"/>
          <w:szCs w:val="24"/>
          <w:lang w:val="en-US"/>
        </w:rPr>
        <w:drawing>
          <wp:inline distT="0" distB="0" distL="0" distR="0" wp14:anchorId="7F79C4EB" wp14:editId="7D84747D">
            <wp:extent cx="3952875" cy="198120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CAB22A" w14:textId="77777777" w:rsidR="00E069A6" w:rsidRDefault="00E069A6" w:rsidP="002B1BC6">
      <w:pPr>
        <w:pStyle w:val="Caption"/>
        <w:spacing w:line="360" w:lineRule="auto"/>
        <w:rPr>
          <w:rFonts w:ascii="Times New Roman" w:hAnsi="Times New Roman" w:cs="Times New Roman"/>
          <w:sz w:val="24"/>
          <w:szCs w:val="24"/>
        </w:rPr>
      </w:pPr>
    </w:p>
    <w:p w14:paraId="4621CEB9" w14:textId="77777777" w:rsidR="00E069A6" w:rsidRDefault="00E069A6" w:rsidP="002B1BC6">
      <w:pPr>
        <w:pStyle w:val="Caption"/>
        <w:spacing w:line="360" w:lineRule="auto"/>
        <w:rPr>
          <w:rFonts w:ascii="Times New Roman" w:hAnsi="Times New Roman" w:cs="Times New Roman"/>
          <w:sz w:val="24"/>
          <w:szCs w:val="24"/>
        </w:rPr>
      </w:pPr>
    </w:p>
    <w:p w14:paraId="1A046467" w14:textId="77777777" w:rsidR="00E069A6" w:rsidRDefault="00E069A6" w:rsidP="002B1BC6">
      <w:pPr>
        <w:pStyle w:val="Caption"/>
        <w:spacing w:line="360" w:lineRule="auto"/>
        <w:rPr>
          <w:rFonts w:ascii="Times New Roman" w:hAnsi="Times New Roman" w:cs="Times New Roman"/>
          <w:sz w:val="24"/>
          <w:szCs w:val="24"/>
        </w:rPr>
      </w:pPr>
    </w:p>
    <w:p w14:paraId="358C8B0D" w14:textId="77777777" w:rsidR="00E069A6" w:rsidRDefault="00E069A6" w:rsidP="002B1BC6">
      <w:pPr>
        <w:pStyle w:val="Caption"/>
        <w:spacing w:line="360" w:lineRule="auto"/>
        <w:rPr>
          <w:rFonts w:ascii="Times New Roman" w:hAnsi="Times New Roman" w:cs="Times New Roman"/>
          <w:sz w:val="24"/>
          <w:szCs w:val="24"/>
        </w:rPr>
      </w:pPr>
    </w:p>
    <w:p w14:paraId="6BBF3E12" w14:textId="77777777" w:rsidR="00E069A6" w:rsidRDefault="00E069A6" w:rsidP="002B1BC6">
      <w:pPr>
        <w:pStyle w:val="Caption"/>
        <w:spacing w:line="360" w:lineRule="auto"/>
        <w:rPr>
          <w:rFonts w:ascii="Times New Roman" w:hAnsi="Times New Roman" w:cs="Times New Roman"/>
          <w:sz w:val="24"/>
          <w:szCs w:val="24"/>
        </w:rPr>
      </w:pPr>
    </w:p>
    <w:p w14:paraId="582AAB98" w14:textId="77777777" w:rsidR="005A3D59" w:rsidRPr="004979D2" w:rsidRDefault="005A3D59" w:rsidP="002B1BC6">
      <w:pPr>
        <w:pStyle w:val="Caption"/>
        <w:spacing w:line="360" w:lineRule="auto"/>
        <w:rPr>
          <w:rFonts w:ascii="Times New Roman" w:hAnsi="Times New Roman" w:cs="Times New Roman"/>
          <w:sz w:val="24"/>
          <w:szCs w:val="24"/>
        </w:rPr>
      </w:pPr>
      <w:r w:rsidRPr="004979D2">
        <w:rPr>
          <w:rFonts w:ascii="Times New Roman" w:hAnsi="Times New Roman" w:cs="Times New Roman"/>
          <w:sz w:val="24"/>
          <w:szCs w:val="24"/>
        </w:rPr>
        <w:lastRenderedPageBreak/>
        <w:t xml:space="preserve">Figura </w:t>
      </w:r>
      <w:r w:rsidR="00A8550A" w:rsidRPr="004979D2">
        <w:rPr>
          <w:rFonts w:ascii="Times New Roman" w:hAnsi="Times New Roman" w:cs="Times New Roman"/>
          <w:sz w:val="24"/>
          <w:szCs w:val="24"/>
        </w:rPr>
        <w:t>4. Ndërmarrjet në pozitë dominuese nga 13 tregjet e hulumtuara</w:t>
      </w:r>
    </w:p>
    <w:p w14:paraId="7805D02A" w14:textId="77777777" w:rsidR="005A3D59" w:rsidRPr="004979D2" w:rsidRDefault="005A3D59" w:rsidP="002B1BC6">
      <w:pPr>
        <w:spacing w:line="360" w:lineRule="auto"/>
        <w:jc w:val="center"/>
        <w:rPr>
          <w:rFonts w:ascii="Times New Roman" w:hAnsi="Times New Roman" w:cs="Times New Roman"/>
          <w:sz w:val="24"/>
          <w:szCs w:val="24"/>
        </w:rPr>
      </w:pPr>
      <w:r w:rsidRPr="004979D2">
        <w:rPr>
          <w:rFonts w:ascii="Times New Roman" w:hAnsi="Times New Roman" w:cs="Times New Roman"/>
          <w:noProof/>
          <w:sz w:val="24"/>
          <w:szCs w:val="24"/>
          <w:lang w:val="en-US"/>
        </w:rPr>
        <w:drawing>
          <wp:inline distT="0" distB="0" distL="0" distR="0" wp14:anchorId="5D75C8D5" wp14:editId="0AA6831A">
            <wp:extent cx="3914775" cy="21240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20FD552" w14:textId="77777777" w:rsidR="005A3D59" w:rsidRPr="004979D2" w:rsidRDefault="005A3D59"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Në tregun e telekomunikacionit, janë identifikuar gjithsej 6 ndërmarrje në pozitë dominuese: 1 në sektorin e shërbimeve fikse, 2 në sektorin e shërbimeve mobile, 2 në sektorin e ofrimit të internetit, dhe 1 në sektorin e ofrimit të shërbimeve postare. Vetëm 2 nga 6 ndërmarrjet janë në mes të 25 % deri 40 %.</w:t>
      </w:r>
    </w:p>
    <w:p w14:paraId="04775A39" w14:textId="77777777" w:rsidR="005A3D59" w:rsidRPr="004979D2" w:rsidRDefault="005A3D59"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Në tregun e energjisë, është identifikuar 1 ndërmarrje në pozitë dominuese në sektorin e prodhimit (95% të tregut), dhe 3 tjera të cilat kanë monopol në sektorët e shpërndarjes dhe furnizimit, furnizimit dhe transmisionit.</w:t>
      </w:r>
    </w:p>
    <w:p w14:paraId="71CCEF5B" w14:textId="77777777" w:rsidR="005A3D59" w:rsidRPr="004979D2" w:rsidRDefault="005A3D59"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Në tregun e sigurimeve janë gjithsej 2 ndërmarrje të cilat kanë pozitë dominuese në sektorin e sigurimeve të jetës. Njëra ka pozitë dominuese prej 64.6 %, ndërsa tjetra 29.1%.</w:t>
      </w:r>
    </w:p>
    <w:p w14:paraId="5E076E2B" w14:textId="77777777" w:rsidR="005A3D59" w:rsidRPr="004979D2" w:rsidRDefault="005A3D59" w:rsidP="002B1BC6">
      <w:pPr>
        <w:pStyle w:val="BodyText2"/>
      </w:pPr>
      <w:r w:rsidRPr="004979D2">
        <w:t xml:space="preserve">Në tregun e importit të naftës, është identifikuar 1 ndërmarrje </w:t>
      </w:r>
      <w:r w:rsidR="004C3C81" w:rsidRPr="004979D2">
        <w:t xml:space="preserve">në pozitë dominuese </w:t>
      </w:r>
      <w:r w:rsidRPr="004979D2">
        <w:t>në sektorin e shitjes me shumicë (25.36%) dhe 2 ndërmarrje në përpunimin e produkteve të naftës, të dyja mbi 40%.</w:t>
      </w:r>
    </w:p>
    <w:p w14:paraId="5E1A480D" w14:textId="77777777" w:rsidR="005A3D59" w:rsidRPr="004979D2" w:rsidRDefault="005A3D59"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Në tregun e produkteve farmaceutike, është identifikuar në pozitë dominuese 1 ndërmarrje në sektorin e barnatoreve (30.43%), 1 në tregtinë me pakicë të artikujve ortopedikë dhe mjekësore në dyqane të specializuara (67.98%) dhe 1 në prodhimin e produkteve bazë farmaceutike (99%).</w:t>
      </w:r>
    </w:p>
    <w:p w14:paraId="314B1229" w14:textId="77777777" w:rsidR="005A3D59" w:rsidRPr="004979D2" w:rsidRDefault="005A3D59"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Në tregun e transportit, sa i përket transportit ajror është identifikuar 1 ndërmarrje që ka monopol në shërbimet e aeroportit, 1 tjetër në pozitë dominuese në tregun e kontraktimeve të </w:t>
      </w:r>
      <w:proofErr w:type="spellStart"/>
      <w:r w:rsidRPr="004979D2">
        <w:rPr>
          <w:rFonts w:ascii="Times New Roman" w:hAnsi="Times New Roman" w:cs="Times New Roman"/>
          <w:sz w:val="24"/>
          <w:szCs w:val="24"/>
        </w:rPr>
        <w:lastRenderedPageBreak/>
        <w:t>avio</w:t>
      </w:r>
      <w:proofErr w:type="spellEnd"/>
      <w:r w:rsidRPr="004979D2">
        <w:rPr>
          <w:rFonts w:ascii="Times New Roman" w:hAnsi="Times New Roman" w:cs="Times New Roman"/>
          <w:sz w:val="24"/>
          <w:szCs w:val="24"/>
        </w:rPr>
        <w:t xml:space="preserve">-kompanive (87.73%) dhe gjithashtu 1 në pozitë dominuese në tregun e shitjeve të biletave turistike ajrore (37.46%). </w:t>
      </w:r>
    </w:p>
    <w:p w14:paraId="280476E7" w14:textId="77777777" w:rsidR="005A3D59" w:rsidRPr="004979D2" w:rsidRDefault="005A3D59" w:rsidP="002B1BC6">
      <w:pPr>
        <w:pStyle w:val="BodyText2"/>
      </w:pPr>
      <w:r w:rsidRPr="004979D2">
        <w:t>Ndërsa, sa i përket transportit hekurudhor 1 ndërmarrje ka monopol në sektorin e shërbimeve te transportit hekurudhor – pasagjerët, gjithashtu 1</w:t>
      </w:r>
      <w:r w:rsidR="00CB7EB9" w:rsidRPr="004979D2">
        <w:t xml:space="preserve"> ndërmarrje</w:t>
      </w:r>
      <w:r w:rsidRPr="004979D2">
        <w:t xml:space="preserve"> ka monopol në tregun e shërbimit të hekurudhave dhe 2</w:t>
      </w:r>
      <w:r w:rsidR="00CB7EB9" w:rsidRPr="004979D2">
        <w:t xml:space="preserve"> ndërmarrje</w:t>
      </w:r>
      <w:r w:rsidRPr="004979D2">
        <w:t xml:space="preserve"> janë në pozitë dominuese në sektorin e shërbimeve të transportit hekurudhor – mallra (33.02% dhe 66.98%).</w:t>
      </w:r>
    </w:p>
    <w:p w14:paraId="4E5244BF" w14:textId="77777777" w:rsidR="005A3D59" w:rsidRPr="004979D2" w:rsidRDefault="005A3D59" w:rsidP="002B1BC6">
      <w:pPr>
        <w:pStyle w:val="BodyText2"/>
      </w:pPr>
      <w:r w:rsidRPr="004979D2">
        <w:t>Më tutje në tregun e transportit rrugor, për sektorin e transportit të udhëtarëve me autobus, 1 ndërmarrje ka pozitë dominuese në regjionin e Gjilanit (68.68%) dhe 1</w:t>
      </w:r>
      <w:r w:rsidR="00CB7EB9" w:rsidRPr="004979D2">
        <w:t xml:space="preserve"> ndërmarrje</w:t>
      </w:r>
      <w:r w:rsidRPr="004979D2">
        <w:t xml:space="preserve"> në rajonin e Ferizajt (34.17%). Në sektorin e shërbimeve të </w:t>
      </w:r>
      <w:proofErr w:type="spellStart"/>
      <w:r w:rsidRPr="004979D2">
        <w:t>taksit</w:t>
      </w:r>
      <w:proofErr w:type="spellEnd"/>
      <w:r w:rsidRPr="004979D2">
        <w:t xml:space="preserve">, 1 </w:t>
      </w:r>
      <w:proofErr w:type="spellStart"/>
      <w:r w:rsidRPr="004979D2">
        <w:t>ndërmmarje</w:t>
      </w:r>
      <w:proofErr w:type="spellEnd"/>
      <w:r w:rsidRPr="004979D2">
        <w:t xml:space="preserve"> ka pozitë dominuese në rajonin e Gjilanit (81.86%), 1 </w:t>
      </w:r>
      <w:r w:rsidR="00CB7EB9" w:rsidRPr="004979D2">
        <w:t xml:space="preserve">ndërmarrje </w:t>
      </w:r>
      <w:r w:rsidRPr="004979D2">
        <w:t xml:space="preserve">në regjionin e Pejës (46.65%) dhe 1 </w:t>
      </w:r>
      <w:r w:rsidR="00CB7EB9" w:rsidRPr="004979D2">
        <w:t xml:space="preserve">ndërmarrje </w:t>
      </w:r>
      <w:r w:rsidRPr="004979D2">
        <w:t xml:space="preserve">në regjionin e Gjakovës (49.76%). Gjithashtu, në sektorin e kontrolleve teknike, 1 </w:t>
      </w:r>
      <w:proofErr w:type="spellStart"/>
      <w:r w:rsidRPr="004979D2">
        <w:t>ndërmarje</w:t>
      </w:r>
      <w:proofErr w:type="spellEnd"/>
      <w:r w:rsidRPr="004979D2">
        <w:t xml:space="preserve"> është në pozitën dominuese në rajonin e Prishtinës (40.96%), 2</w:t>
      </w:r>
      <w:r w:rsidR="00CA5CBA" w:rsidRPr="004979D2">
        <w:t xml:space="preserve"> ndërmarrje</w:t>
      </w:r>
      <w:r w:rsidRPr="004979D2">
        <w:t xml:space="preserve"> në rajonin e Mitrovicës (44.36% dhe 27.41%), 1</w:t>
      </w:r>
      <w:r w:rsidR="00CA5CBA" w:rsidRPr="004979D2">
        <w:t xml:space="preserve"> ndërmarrje</w:t>
      </w:r>
      <w:r w:rsidRPr="004979D2">
        <w:t xml:space="preserve"> në rajonin e Prizrenit (31.63%), 1</w:t>
      </w:r>
      <w:r w:rsidR="00CA5CBA" w:rsidRPr="004979D2">
        <w:t xml:space="preserve"> ndërmarrje</w:t>
      </w:r>
      <w:r w:rsidRPr="004979D2">
        <w:t xml:space="preserve"> në rajonin e Pejës (84.84%), 2 </w:t>
      </w:r>
      <w:r w:rsidR="00CA5CBA" w:rsidRPr="004979D2">
        <w:t xml:space="preserve">ndërmarrje </w:t>
      </w:r>
      <w:r w:rsidRPr="004979D2">
        <w:t>në rajonin e Ferizajt (33.33 dhe 25.11%) dhe 1</w:t>
      </w:r>
      <w:r w:rsidR="00CA5CBA" w:rsidRPr="004979D2">
        <w:t xml:space="preserve"> ndërmarrje</w:t>
      </w:r>
      <w:r w:rsidRPr="004979D2">
        <w:t xml:space="preserve"> në rajonin e Gjakovës (30.49%). Përfundimisht në tregun e </w:t>
      </w:r>
      <w:proofErr w:type="spellStart"/>
      <w:r w:rsidRPr="004979D2">
        <w:t>homologimit</w:t>
      </w:r>
      <w:proofErr w:type="spellEnd"/>
      <w:r w:rsidRPr="004979D2">
        <w:t xml:space="preserve"> të automjeteve, 1 ndërmarrje ka monopol.</w:t>
      </w:r>
    </w:p>
    <w:p w14:paraId="45244281" w14:textId="77777777" w:rsidR="005A3D59" w:rsidRPr="004979D2" w:rsidRDefault="005A3D59" w:rsidP="002B1BC6">
      <w:pPr>
        <w:pStyle w:val="BodyText2"/>
      </w:pPr>
      <w:r w:rsidRPr="004979D2">
        <w:t xml:space="preserve">Në tregun e lojërave të fatit, nuk ka ndërmarrje në pozitë dominuese. Në tregun e mediave dhe </w:t>
      </w:r>
      <w:proofErr w:type="spellStart"/>
      <w:r w:rsidRPr="004979D2">
        <w:t>produkcioneve</w:t>
      </w:r>
      <w:proofErr w:type="spellEnd"/>
      <w:r w:rsidRPr="004979D2">
        <w:t xml:space="preserve"> kinematografike, në sektorin e mediave – televizionet, 1 ndërmarrje ka pozitë dominuese (26.81%), gjithashtu një në sektorin e </w:t>
      </w:r>
      <w:proofErr w:type="spellStart"/>
      <w:r w:rsidRPr="004979D2">
        <w:t>web</w:t>
      </w:r>
      <w:proofErr w:type="spellEnd"/>
      <w:r w:rsidRPr="004979D2">
        <w:t xml:space="preserve"> portaleve dhe publikim te gazetave (26.28%), si dhe 1 </w:t>
      </w:r>
      <w:r w:rsidR="00421043" w:rsidRPr="004979D2">
        <w:t xml:space="preserve">ndërmarrje </w:t>
      </w:r>
      <w:r w:rsidRPr="004979D2">
        <w:t xml:space="preserve">në sektorin e printimit të gazetave (55.38%), 1 </w:t>
      </w:r>
      <w:r w:rsidR="00421043" w:rsidRPr="004979D2">
        <w:t xml:space="preserve">ndërmarrje </w:t>
      </w:r>
      <w:r w:rsidRPr="004979D2">
        <w:t xml:space="preserve">në sektorin e krijimtarisë artistike (30.23%) dhe 1 </w:t>
      </w:r>
      <w:r w:rsidR="00421043" w:rsidRPr="004979D2">
        <w:t xml:space="preserve">ndërmarrje </w:t>
      </w:r>
      <w:r w:rsidRPr="004979D2">
        <w:t>në sektorin e incizimit të zërit (59.96%).</w:t>
      </w:r>
    </w:p>
    <w:p w14:paraId="1B183704" w14:textId="77777777" w:rsidR="005A3D59" w:rsidRPr="004979D2" w:rsidRDefault="005A3D59" w:rsidP="002B1BC6">
      <w:pPr>
        <w:pStyle w:val="BodyText2"/>
      </w:pPr>
      <w:r w:rsidRPr="004979D2">
        <w:t xml:space="preserve">Në tregun financiar dhe bankar, në sektorin banka dhe shërbime, 1 ndërmarrje është në pozitë dominuese (25.49%), dhe 1 </w:t>
      </w:r>
      <w:r w:rsidR="00421043" w:rsidRPr="004979D2">
        <w:t xml:space="preserve">ndërmarrje </w:t>
      </w:r>
      <w:r w:rsidRPr="004979D2">
        <w:t xml:space="preserve">në sektorin e institucioneve financiare jo bankare (40.94%). </w:t>
      </w:r>
    </w:p>
    <w:p w14:paraId="0B035A5D" w14:textId="77777777" w:rsidR="005A3D59" w:rsidRPr="004979D2" w:rsidRDefault="005A3D59" w:rsidP="002B1BC6">
      <w:pPr>
        <w:pStyle w:val="BodyText2"/>
      </w:pPr>
      <w:r w:rsidRPr="004979D2">
        <w:t>Në tregun e minierave dhe mineraleve, 1 ndërmarrje është në pozitë dominuese në sektorin e shfrytëzimit (42.96%) dhe 1</w:t>
      </w:r>
      <w:r w:rsidR="00421043" w:rsidRPr="004979D2">
        <w:t xml:space="preserve"> ndërmarrje</w:t>
      </w:r>
      <w:r w:rsidRPr="004979D2">
        <w:t xml:space="preserve"> në sektorin e hulumtimit (37.53%). </w:t>
      </w:r>
    </w:p>
    <w:p w14:paraId="1AAE6752" w14:textId="77777777" w:rsidR="005A3D59" w:rsidRPr="004979D2" w:rsidRDefault="005A3D59"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Në tregun e pajisjeve fiskale, 2 ndërmarrje kanë pozitë dominuese në sektorin e pajisjeve elektronike fiskale (58.28% dhe 25.84%). </w:t>
      </w:r>
    </w:p>
    <w:p w14:paraId="2FBE7DD8" w14:textId="77777777" w:rsidR="005A3D59" w:rsidRPr="004979D2" w:rsidRDefault="005A3D59"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lastRenderedPageBreak/>
        <w:t>Në tregun e mbeturinave, 1 ndërmarrje ka pozitë dominuese (30.58%) dhe në tregun e furnizimit me ujë, 9 ndërmarrje kanë monopol në rajone dhe sektor të caktuar.</w:t>
      </w:r>
    </w:p>
    <w:p w14:paraId="00ED1CD7" w14:textId="77777777" w:rsidR="009C0CAA" w:rsidRPr="004979D2" w:rsidRDefault="009C0CAA" w:rsidP="002B1BC6">
      <w:pPr>
        <w:pStyle w:val="Heading2"/>
        <w:numPr>
          <w:ilvl w:val="1"/>
          <w:numId w:val="50"/>
        </w:numPr>
        <w:spacing w:line="360" w:lineRule="auto"/>
        <w:rPr>
          <w:rFonts w:cs="Times New Roman"/>
          <w:szCs w:val="24"/>
        </w:rPr>
      </w:pPr>
      <w:bookmarkStart w:id="21" w:name="_Toc1114320"/>
      <w:r w:rsidRPr="004979D2">
        <w:rPr>
          <w:rFonts w:cs="Times New Roman"/>
          <w:szCs w:val="24"/>
        </w:rPr>
        <w:t>Çështja e Projektligjit për Organizimin dhe Funks</w:t>
      </w:r>
      <w:r w:rsidR="00002C7B" w:rsidRPr="004979D2">
        <w:rPr>
          <w:rFonts w:cs="Times New Roman"/>
          <w:szCs w:val="24"/>
        </w:rPr>
        <w:t>ionimin e Administratës Shtetërore</w:t>
      </w:r>
      <w:r w:rsidRPr="004979D2">
        <w:rPr>
          <w:rFonts w:cs="Times New Roman"/>
          <w:szCs w:val="24"/>
        </w:rPr>
        <w:t xml:space="preserve"> dhe Agjencive të </w:t>
      </w:r>
      <w:proofErr w:type="spellStart"/>
      <w:r w:rsidRPr="004979D2">
        <w:rPr>
          <w:rFonts w:cs="Times New Roman"/>
          <w:szCs w:val="24"/>
        </w:rPr>
        <w:t>Pavaruara</w:t>
      </w:r>
      <w:bookmarkEnd w:id="21"/>
      <w:proofErr w:type="spellEnd"/>
    </w:p>
    <w:p w14:paraId="50250CB3" w14:textId="4E901D35" w:rsidR="00C713EA" w:rsidRPr="004979D2" w:rsidRDefault="00C713EA"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Një çështje me r</w:t>
      </w:r>
      <w:r w:rsidR="009C0CAA" w:rsidRPr="004979D2">
        <w:rPr>
          <w:rFonts w:ascii="Times New Roman" w:hAnsi="Times New Roman" w:cs="Times New Roman"/>
          <w:sz w:val="24"/>
          <w:szCs w:val="24"/>
        </w:rPr>
        <w:t>ë</w:t>
      </w:r>
      <w:r w:rsidRPr="004979D2">
        <w:rPr>
          <w:rFonts w:ascii="Times New Roman" w:hAnsi="Times New Roman" w:cs="Times New Roman"/>
          <w:sz w:val="24"/>
          <w:szCs w:val="24"/>
        </w:rPr>
        <w:t>ndësi e konstatuar nga grupi pun</w:t>
      </w:r>
      <w:r w:rsidR="009C0CAA" w:rsidRPr="004979D2">
        <w:rPr>
          <w:rFonts w:ascii="Times New Roman" w:hAnsi="Times New Roman" w:cs="Times New Roman"/>
          <w:sz w:val="24"/>
          <w:szCs w:val="24"/>
        </w:rPr>
        <w:t>ue</w:t>
      </w:r>
      <w:r w:rsidRPr="004979D2">
        <w:rPr>
          <w:rFonts w:ascii="Times New Roman" w:hAnsi="Times New Roman" w:cs="Times New Roman"/>
          <w:sz w:val="24"/>
          <w:szCs w:val="24"/>
        </w:rPr>
        <w:t>s për hartimin e Koncept Dokumentit në fushën e konkurrencës, ka të b</w:t>
      </w:r>
      <w:r w:rsidR="009C0CAA" w:rsidRPr="004979D2">
        <w:rPr>
          <w:rFonts w:ascii="Times New Roman" w:hAnsi="Times New Roman" w:cs="Times New Roman"/>
          <w:sz w:val="24"/>
          <w:szCs w:val="24"/>
        </w:rPr>
        <w:t>ë</w:t>
      </w:r>
      <w:r w:rsidRPr="004979D2">
        <w:rPr>
          <w:rFonts w:ascii="Times New Roman" w:hAnsi="Times New Roman" w:cs="Times New Roman"/>
          <w:sz w:val="24"/>
          <w:szCs w:val="24"/>
        </w:rPr>
        <w:t xml:space="preserve">j me miratimin </w:t>
      </w:r>
      <w:r w:rsidR="009C0CAA" w:rsidRPr="004979D2">
        <w:rPr>
          <w:rFonts w:ascii="Times New Roman" w:hAnsi="Times New Roman" w:cs="Times New Roman"/>
          <w:sz w:val="24"/>
          <w:szCs w:val="24"/>
        </w:rPr>
        <w:t xml:space="preserve"> e </w:t>
      </w:r>
      <w:r w:rsidRPr="004979D2">
        <w:rPr>
          <w:rFonts w:ascii="Times New Roman" w:hAnsi="Times New Roman" w:cs="Times New Roman"/>
          <w:i/>
          <w:sz w:val="24"/>
          <w:szCs w:val="24"/>
        </w:rPr>
        <w:t>Projektligjit për Organizimin dhe Funksionimin e Administratës Shtetërore dhe Agjencive të Pavarura</w:t>
      </w:r>
      <w:r w:rsidR="009C0CAA" w:rsidRPr="004979D2">
        <w:rPr>
          <w:rFonts w:ascii="Times New Roman" w:hAnsi="Times New Roman" w:cs="Times New Roman"/>
          <w:sz w:val="24"/>
          <w:szCs w:val="24"/>
        </w:rPr>
        <w:t>, nga ana e Qeverisë</w:t>
      </w:r>
      <w:r w:rsidRPr="004979D2">
        <w:rPr>
          <w:rFonts w:ascii="Times New Roman" w:hAnsi="Times New Roman" w:cs="Times New Roman"/>
          <w:sz w:val="24"/>
          <w:szCs w:val="24"/>
        </w:rPr>
        <w:t xml:space="preserve">. Ky </w:t>
      </w:r>
      <w:r w:rsidR="00B30A5B" w:rsidRPr="004979D2">
        <w:rPr>
          <w:rFonts w:ascii="Times New Roman" w:hAnsi="Times New Roman" w:cs="Times New Roman"/>
          <w:sz w:val="24"/>
          <w:szCs w:val="24"/>
        </w:rPr>
        <w:t>Projektligj</w:t>
      </w:r>
      <w:r w:rsidR="003E5585" w:rsidRPr="004979D2">
        <w:rPr>
          <w:rFonts w:ascii="Times New Roman" w:hAnsi="Times New Roman" w:cs="Times New Roman"/>
          <w:sz w:val="24"/>
          <w:szCs w:val="24"/>
        </w:rPr>
        <w:t xml:space="preserve"> në</w:t>
      </w:r>
      <w:r w:rsidR="00B30A5B" w:rsidRPr="004979D2">
        <w:rPr>
          <w:rFonts w:ascii="Times New Roman" w:hAnsi="Times New Roman" w:cs="Times New Roman"/>
          <w:sz w:val="24"/>
          <w:szCs w:val="24"/>
        </w:rPr>
        <w:t xml:space="preserve"> Neni</w:t>
      </w:r>
      <w:r w:rsidR="003E5585" w:rsidRPr="004979D2">
        <w:rPr>
          <w:rFonts w:ascii="Times New Roman" w:hAnsi="Times New Roman" w:cs="Times New Roman"/>
          <w:sz w:val="24"/>
          <w:szCs w:val="24"/>
        </w:rPr>
        <w:t>n</w:t>
      </w:r>
      <w:r w:rsidR="00B30A5B" w:rsidRPr="004979D2">
        <w:rPr>
          <w:rFonts w:ascii="Times New Roman" w:hAnsi="Times New Roman" w:cs="Times New Roman"/>
          <w:sz w:val="24"/>
          <w:szCs w:val="24"/>
        </w:rPr>
        <w:t xml:space="preserve"> 13,</w:t>
      </w:r>
      <w:r w:rsidRPr="004979D2">
        <w:rPr>
          <w:rFonts w:ascii="Times New Roman" w:hAnsi="Times New Roman" w:cs="Times New Roman"/>
          <w:sz w:val="24"/>
          <w:szCs w:val="24"/>
        </w:rPr>
        <w:t xml:space="preserve"> parasheh që </w:t>
      </w:r>
      <w:r w:rsidR="00B30A5B" w:rsidRPr="004979D2">
        <w:rPr>
          <w:rFonts w:ascii="Times New Roman" w:hAnsi="Times New Roman" w:cs="Times New Roman"/>
          <w:sz w:val="24"/>
          <w:szCs w:val="24"/>
        </w:rPr>
        <w:t xml:space="preserve">Agjencitë </w:t>
      </w:r>
      <w:proofErr w:type="spellStart"/>
      <w:r w:rsidR="00B30A5B" w:rsidRPr="004979D2">
        <w:rPr>
          <w:rFonts w:ascii="Times New Roman" w:hAnsi="Times New Roman" w:cs="Times New Roman"/>
          <w:sz w:val="24"/>
          <w:szCs w:val="24"/>
        </w:rPr>
        <w:t>Regullatore</w:t>
      </w:r>
      <w:proofErr w:type="spellEnd"/>
      <w:r w:rsidR="00B30A5B" w:rsidRPr="004979D2">
        <w:rPr>
          <w:rFonts w:ascii="Times New Roman" w:hAnsi="Times New Roman" w:cs="Times New Roman"/>
          <w:sz w:val="24"/>
          <w:szCs w:val="24"/>
        </w:rPr>
        <w:t xml:space="preserve">, </w:t>
      </w:r>
      <w:r w:rsidR="003E5585" w:rsidRPr="004979D2">
        <w:rPr>
          <w:rFonts w:ascii="Times New Roman" w:hAnsi="Times New Roman" w:cs="Times New Roman"/>
          <w:sz w:val="24"/>
          <w:szCs w:val="24"/>
        </w:rPr>
        <w:t xml:space="preserve">duke </w:t>
      </w:r>
      <w:r w:rsidR="00B30A5B" w:rsidRPr="004979D2">
        <w:rPr>
          <w:rFonts w:ascii="Times New Roman" w:hAnsi="Times New Roman" w:cs="Times New Roman"/>
          <w:sz w:val="24"/>
          <w:szCs w:val="24"/>
        </w:rPr>
        <w:t>përfshi</w:t>
      </w:r>
      <w:r w:rsidR="003E5585" w:rsidRPr="004979D2">
        <w:rPr>
          <w:rFonts w:ascii="Times New Roman" w:hAnsi="Times New Roman" w:cs="Times New Roman"/>
          <w:sz w:val="24"/>
          <w:szCs w:val="24"/>
        </w:rPr>
        <w:t>rë</w:t>
      </w:r>
      <w:r w:rsidR="00B30A5B" w:rsidRPr="004979D2">
        <w:rPr>
          <w:rFonts w:ascii="Times New Roman" w:hAnsi="Times New Roman" w:cs="Times New Roman"/>
          <w:sz w:val="24"/>
          <w:szCs w:val="24"/>
        </w:rPr>
        <w:t xml:space="preserve"> </w:t>
      </w:r>
      <w:r w:rsidR="003E5585" w:rsidRPr="004979D2">
        <w:rPr>
          <w:rFonts w:ascii="Times New Roman" w:hAnsi="Times New Roman" w:cs="Times New Roman"/>
          <w:sz w:val="24"/>
          <w:szCs w:val="24"/>
        </w:rPr>
        <w:t>e</w:t>
      </w:r>
      <w:r w:rsidR="00B30A5B" w:rsidRPr="004979D2">
        <w:rPr>
          <w:rFonts w:ascii="Times New Roman" w:hAnsi="Times New Roman" w:cs="Times New Roman"/>
          <w:sz w:val="24"/>
          <w:szCs w:val="24"/>
        </w:rPr>
        <w:t>dhe AKK-në, themelohen për të kryer funksione administrative brenda fushës së përgjegjësisë shtetërore të një ministrie. Grupi punues ka konstatuar se ky Nen</w:t>
      </w:r>
      <w:r w:rsidR="003E5585" w:rsidRPr="004979D2">
        <w:rPr>
          <w:rFonts w:ascii="Times New Roman" w:hAnsi="Times New Roman" w:cs="Times New Roman"/>
          <w:sz w:val="24"/>
          <w:szCs w:val="24"/>
        </w:rPr>
        <w:t xml:space="preserve"> </w:t>
      </w:r>
      <w:r w:rsidR="009C0CAA" w:rsidRPr="004979D2">
        <w:rPr>
          <w:rFonts w:ascii="Times New Roman" w:hAnsi="Times New Roman" w:cs="Times New Roman"/>
          <w:sz w:val="24"/>
          <w:szCs w:val="24"/>
        </w:rPr>
        <w:t xml:space="preserve">cenon </w:t>
      </w:r>
      <w:r w:rsidR="003E5585" w:rsidRPr="004979D2">
        <w:rPr>
          <w:rFonts w:ascii="Times New Roman" w:hAnsi="Times New Roman" w:cs="Times New Roman"/>
          <w:sz w:val="24"/>
          <w:szCs w:val="24"/>
        </w:rPr>
        <w:t>pavarësinë e institucionit duke rënë</w:t>
      </w:r>
      <w:r w:rsidR="00B30A5B" w:rsidRPr="004979D2">
        <w:rPr>
          <w:rFonts w:ascii="Times New Roman" w:hAnsi="Times New Roman" w:cs="Times New Roman"/>
          <w:sz w:val="24"/>
          <w:szCs w:val="24"/>
        </w:rPr>
        <w:t xml:space="preserve"> ndesh me Nenin 24 te </w:t>
      </w:r>
      <w:r w:rsidR="00B30A5B" w:rsidRPr="004979D2">
        <w:rPr>
          <w:rFonts w:ascii="Times New Roman" w:hAnsi="Times New Roman" w:cs="Times New Roman"/>
          <w:i/>
          <w:sz w:val="24"/>
          <w:szCs w:val="24"/>
        </w:rPr>
        <w:t>Ligjit për ndryshimin dhe plotësimin e ligjit nr. 03</w:t>
      </w:r>
      <w:r w:rsidR="00222075" w:rsidRPr="004979D2">
        <w:rPr>
          <w:rFonts w:ascii="Times New Roman" w:hAnsi="Times New Roman" w:cs="Times New Roman"/>
          <w:i/>
          <w:sz w:val="24"/>
          <w:szCs w:val="24"/>
        </w:rPr>
        <w:t>L</w:t>
      </w:r>
      <w:r w:rsidR="00B30A5B" w:rsidRPr="004979D2">
        <w:rPr>
          <w:rFonts w:ascii="Times New Roman" w:hAnsi="Times New Roman" w:cs="Times New Roman"/>
          <w:i/>
          <w:sz w:val="24"/>
          <w:szCs w:val="24"/>
        </w:rPr>
        <w:t>-229 për mbrojtjen e konkurrencës</w:t>
      </w:r>
      <w:r w:rsidR="00B30A5B" w:rsidRPr="004979D2">
        <w:rPr>
          <w:rFonts w:ascii="Times New Roman" w:hAnsi="Times New Roman" w:cs="Times New Roman"/>
          <w:sz w:val="24"/>
          <w:szCs w:val="24"/>
        </w:rPr>
        <w:t xml:space="preserve"> q</w:t>
      </w:r>
      <w:r w:rsidR="007A4C24" w:rsidRPr="004979D2">
        <w:rPr>
          <w:rFonts w:ascii="Times New Roman" w:hAnsi="Times New Roman" w:cs="Times New Roman"/>
          <w:sz w:val="24"/>
          <w:szCs w:val="24"/>
        </w:rPr>
        <w:t>ë</w:t>
      </w:r>
      <w:r w:rsidR="00B30A5B" w:rsidRPr="004979D2">
        <w:rPr>
          <w:rFonts w:ascii="Times New Roman" w:hAnsi="Times New Roman" w:cs="Times New Roman"/>
          <w:sz w:val="24"/>
          <w:szCs w:val="24"/>
        </w:rPr>
        <w:t xml:space="preserve"> i jep </w:t>
      </w:r>
      <w:r w:rsidR="007A4C24" w:rsidRPr="004979D2">
        <w:rPr>
          <w:rFonts w:ascii="Times New Roman" w:hAnsi="Times New Roman" w:cs="Times New Roman"/>
          <w:sz w:val="24"/>
          <w:szCs w:val="24"/>
        </w:rPr>
        <w:t>A</w:t>
      </w:r>
      <w:r w:rsidR="00B30A5B" w:rsidRPr="004979D2">
        <w:rPr>
          <w:rFonts w:ascii="Times New Roman" w:hAnsi="Times New Roman" w:cs="Times New Roman"/>
          <w:sz w:val="24"/>
          <w:szCs w:val="24"/>
        </w:rPr>
        <w:t xml:space="preserve">utoritetit statusin e personit juridik me autorizime publike </w:t>
      </w:r>
      <w:r w:rsidR="003E5585" w:rsidRPr="004979D2">
        <w:rPr>
          <w:rFonts w:ascii="Times New Roman" w:hAnsi="Times New Roman" w:cs="Times New Roman"/>
          <w:sz w:val="24"/>
          <w:szCs w:val="24"/>
        </w:rPr>
        <w:t>të</w:t>
      </w:r>
      <w:r w:rsidR="00B30A5B" w:rsidRPr="004979D2">
        <w:rPr>
          <w:rFonts w:ascii="Times New Roman" w:hAnsi="Times New Roman" w:cs="Times New Roman"/>
          <w:sz w:val="24"/>
          <w:szCs w:val="24"/>
        </w:rPr>
        <w:t xml:space="preserve"> pavarur në kryerjen e detyrave të veta. Gjithashtu, </w:t>
      </w:r>
      <w:r w:rsidR="003E5585" w:rsidRPr="004979D2">
        <w:rPr>
          <w:rFonts w:ascii="Times New Roman" w:hAnsi="Times New Roman" w:cs="Times New Roman"/>
          <w:sz w:val="24"/>
          <w:szCs w:val="24"/>
        </w:rPr>
        <w:t>ky Projektligj</w:t>
      </w:r>
      <w:r w:rsidR="00B30A5B" w:rsidRPr="004979D2">
        <w:rPr>
          <w:rFonts w:ascii="Times New Roman" w:hAnsi="Times New Roman" w:cs="Times New Roman"/>
          <w:sz w:val="24"/>
          <w:szCs w:val="24"/>
        </w:rPr>
        <w:t xml:space="preserve"> bie ndesh edhe me Nenin 75, paragrafi 3 t</w:t>
      </w:r>
      <w:r w:rsidR="007A4C24" w:rsidRPr="004979D2">
        <w:rPr>
          <w:rFonts w:ascii="Times New Roman" w:hAnsi="Times New Roman" w:cs="Times New Roman"/>
          <w:sz w:val="24"/>
          <w:szCs w:val="24"/>
        </w:rPr>
        <w:t>ë</w:t>
      </w:r>
      <w:r w:rsidR="00B30A5B" w:rsidRPr="004979D2">
        <w:rPr>
          <w:rFonts w:ascii="Times New Roman" w:hAnsi="Times New Roman" w:cs="Times New Roman"/>
          <w:sz w:val="24"/>
          <w:szCs w:val="24"/>
        </w:rPr>
        <w:t xml:space="preserve"> </w:t>
      </w:r>
      <w:r w:rsidR="003E5585" w:rsidRPr="004979D2">
        <w:rPr>
          <w:rFonts w:ascii="Times New Roman" w:hAnsi="Times New Roman" w:cs="Times New Roman"/>
          <w:i/>
          <w:sz w:val="24"/>
          <w:szCs w:val="24"/>
        </w:rPr>
        <w:t>Marrëveshjes së</w:t>
      </w:r>
      <w:r w:rsidR="00B30A5B" w:rsidRPr="004979D2">
        <w:rPr>
          <w:rFonts w:ascii="Times New Roman" w:hAnsi="Times New Roman" w:cs="Times New Roman"/>
          <w:i/>
          <w:sz w:val="24"/>
          <w:szCs w:val="24"/>
        </w:rPr>
        <w:t xml:space="preserve"> Stabilizim </w:t>
      </w:r>
      <w:proofErr w:type="spellStart"/>
      <w:r w:rsidR="00B30A5B" w:rsidRPr="004979D2">
        <w:rPr>
          <w:rFonts w:ascii="Times New Roman" w:hAnsi="Times New Roman" w:cs="Times New Roman"/>
          <w:i/>
          <w:sz w:val="24"/>
          <w:szCs w:val="24"/>
        </w:rPr>
        <w:t>Asoci</w:t>
      </w:r>
      <w:r w:rsidR="007A4C24" w:rsidRPr="004979D2">
        <w:rPr>
          <w:rFonts w:ascii="Times New Roman" w:hAnsi="Times New Roman" w:cs="Times New Roman"/>
          <w:i/>
          <w:sz w:val="24"/>
          <w:szCs w:val="24"/>
        </w:rPr>
        <w:t>i</w:t>
      </w:r>
      <w:r w:rsidR="00B30A5B" w:rsidRPr="004979D2">
        <w:rPr>
          <w:rFonts w:ascii="Times New Roman" w:hAnsi="Times New Roman" w:cs="Times New Roman"/>
          <w:i/>
          <w:sz w:val="24"/>
          <w:szCs w:val="24"/>
        </w:rPr>
        <w:t>mit</w:t>
      </w:r>
      <w:proofErr w:type="spellEnd"/>
      <w:r w:rsidR="003E5585" w:rsidRPr="004979D2">
        <w:rPr>
          <w:rFonts w:ascii="Times New Roman" w:hAnsi="Times New Roman" w:cs="Times New Roman"/>
          <w:i/>
          <w:sz w:val="24"/>
          <w:szCs w:val="24"/>
        </w:rPr>
        <w:t xml:space="preserve"> (MSA)</w:t>
      </w:r>
      <w:r w:rsidR="003E5585" w:rsidRPr="004979D2">
        <w:rPr>
          <w:rFonts w:ascii="Times New Roman" w:hAnsi="Times New Roman" w:cs="Times New Roman"/>
          <w:sz w:val="24"/>
          <w:szCs w:val="24"/>
        </w:rPr>
        <w:t xml:space="preserve"> që</w:t>
      </w:r>
      <w:r w:rsidR="00B30A5B" w:rsidRPr="004979D2">
        <w:rPr>
          <w:rFonts w:ascii="Times New Roman" w:hAnsi="Times New Roman" w:cs="Times New Roman"/>
          <w:sz w:val="24"/>
          <w:szCs w:val="24"/>
        </w:rPr>
        <w:t xml:space="preserve"> detyron palët </w:t>
      </w:r>
      <w:r w:rsidR="003E5585" w:rsidRPr="004979D2">
        <w:rPr>
          <w:rFonts w:ascii="Times New Roman" w:hAnsi="Times New Roman" w:cs="Times New Roman"/>
          <w:sz w:val="24"/>
          <w:szCs w:val="24"/>
        </w:rPr>
        <w:t>kontraktuese të</w:t>
      </w:r>
      <w:r w:rsidR="00B30A5B" w:rsidRPr="004979D2">
        <w:rPr>
          <w:rFonts w:ascii="Times New Roman" w:hAnsi="Times New Roman" w:cs="Times New Roman"/>
          <w:sz w:val="24"/>
          <w:szCs w:val="24"/>
        </w:rPr>
        <w:t xml:space="preserve"> </w:t>
      </w:r>
      <w:r w:rsidR="003E5585" w:rsidRPr="004979D2">
        <w:rPr>
          <w:rFonts w:ascii="Times New Roman" w:hAnsi="Times New Roman" w:cs="Times New Roman"/>
          <w:sz w:val="24"/>
          <w:szCs w:val="24"/>
        </w:rPr>
        <w:t xml:space="preserve">sigurojnë </w:t>
      </w:r>
      <w:r w:rsidR="00B30A5B" w:rsidRPr="004979D2">
        <w:rPr>
          <w:rFonts w:ascii="Times New Roman" w:hAnsi="Times New Roman" w:cs="Times New Roman"/>
          <w:sz w:val="24"/>
          <w:szCs w:val="24"/>
        </w:rPr>
        <w:t>një autoritet me funksione të pavarura</w:t>
      </w:r>
      <w:r w:rsidR="003E5585" w:rsidRPr="004979D2">
        <w:rPr>
          <w:rFonts w:ascii="Times New Roman" w:hAnsi="Times New Roman" w:cs="Times New Roman"/>
          <w:sz w:val="24"/>
          <w:szCs w:val="24"/>
        </w:rPr>
        <w:t xml:space="preserve"> në fushën e konkurrencës</w:t>
      </w:r>
      <w:r w:rsidR="00B30A5B" w:rsidRPr="004979D2">
        <w:rPr>
          <w:rFonts w:ascii="Times New Roman" w:hAnsi="Times New Roman" w:cs="Times New Roman"/>
          <w:sz w:val="24"/>
          <w:szCs w:val="24"/>
        </w:rPr>
        <w:t xml:space="preserve">. Andaj, </w:t>
      </w:r>
      <w:r w:rsidR="003E5585" w:rsidRPr="004979D2">
        <w:rPr>
          <w:rFonts w:ascii="Times New Roman" w:hAnsi="Times New Roman" w:cs="Times New Roman"/>
          <w:sz w:val="24"/>
          <w:szCs w:val="24"/>
        </w:rPr>
        <w:t>grupi</w:t>
      </w:r>
      <w:r w:rsidR="00B30A5B" w:rsidRPr="004979D2">
        <w:rPr>
          <w:rFonts w:ascii="Times New Roman" w:hAnsi="Times New Roman" w:cs="Times New Roman"/>
          <w:sz w:val="24"/>
          <w:szCs w:val="24"/>
        </w:rPr>
        <w:t xml:space="preserve"> punues </w:t>
      </w:r>
      <w:r w:rsidR="003E5585" w:rsidRPr="004979D2">
        <w:rPr>
          <w:rFonts w:ascii="Times New Roman" w:hAnsi="Times New Roman" w:cs="Times New Roman"/>
          <w:sz w:val="24"/>
          <w:szCs w:val="24"/>
        </w:rPr>
        <w:t>sugjeron</w:t>
      </w:r>
      <w:r w:rsidR="00B30A5B" w:rsidRPr="004979D2">
        <w:rPr>
          <w:rFonts w:ascii="Times New Roman" w:hAnsi="Times New Roman" w:cs="Times New Roman"/>
          <w:sz w:val="24"/>
          <w:szCs w:val="24"/>
        </w:rPr>
        <w:t xml:space="preserve"> qe</w:t>
      </w:r>
      <w:r w:rsidR="003E5585" w:rsidRPr="004979D2">
        <w:rPr>
          <w:rFonts w:ascii="Times New Roman" w:hAnsi="Times New Roman" w:cs="Times New Roman"/>
          <w:sz w:val="24"/>
          <w:szCs w:val="24"/>
        </w:rPr>
        <w:t xml:space="preserve"> kjo çështje të shikohet me kujdes gjatë hartimit të ligjit të ri në fushën e konkurrencës duke vazhduar të ruhet pavarësia e institucionit ne përputhje me obligimet qe dalin nga </w:t>
      </w:r>
      <w:r w:rsidR="007A4C24" w:rsidRPr="004979D2">
        <w:rPr>
          <w:rFonts w:ascii="Times New Roman" w:hAnsi="Times New Roman" w:cs="Times New Roman"/>
          <w:sz w:val="24"/>
          <w:szCs w:val="24"/>
        </w:rPr>
        <w:t>MSA.</w:t>
      </w:r>
      <w:r w:rsidR="003E5585" w:rsidRPr="004979D2">
        <w:rPr>
          <w:rFonts w:ascii="Times New Roman" w:hAnsi="Times New Roman" w:cs="Times New Roman"/>
          <w:sz w:val="24"/>
          <w:szCs w:val="24"/>
        </w:rPr>
        <w:t xml:space="preserve"> </w:t>
      </w:r>
    </w:p>
    <w:p w14:paraId="2DC676A0" w14:textId="77777777" w:rsidR="0029763E" w:rsidRPr="004979D2" w:rsidRDefault="0006153E" w:rsidP="002B1BC6">
      <w:pPr>
        <w:pStyle w:val="Heading2"/>
        <w:numPr>
          <w:ilvl w:val="1"/>
          <w:numId w:val="50"/>
        </w:numPr>
        <w:spacing w:line="360" w:lineRule="auto"/>
        <w:rPr>
          <w:rFonts w:cs="Times New Roman"/>
          <w:szCs w:val="24"/>
        </w:rPr>
      </w:pPr>
      <w:bookmarkStart w:id="22" w:name="_Toc965378"/>
      <w:bookmarkStart w:id="23" w:name="_Toc965439"/>
      <w:bookmarkStart w:id="24" w:name="_Toc1029635"/>
      <w:bookmarkStart w:id="25" w:name="_Toc1029691"/>
      <w:bookmarkStart w:id="26" w:name="_Toc1030043"/>
      <w:bookmarkStart w:id="27" w:name="_Toc965379"/>
      <w:bookmarkStart w:id="28" w:name="_Toc965440"/>
      <w:bookmarkStart w:id="29" w:name="_Toc1029636"/>
      <w:bookmarkStart w:id="30" w:name="_Toc1029692"/>
      <w:bookmarkStart w:id="31" w:name="_Toc1030044"/>
      <w:bookmarkStart w:id="32" w:name="_Toc965380"/>
      <w:bookmarkStart w:id="33" w:name="_Toc965441"/>
      <w:bookmarkStart w:id="34" w:name="_Toc1029637"/>
      <w:bookmarkStart w:id="35" w:name="_Toc1029693"/>
      <w:bookmarkStart w:id="36" w:name="_Toc1030045"/>
      <w:bookmarkStart w:id="37" w:name="_Toc11143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4979D2">
        <w:rPr>
          <w:rFonts w:cs="Times New Roman"/>
          <w:szCs w:val="24"/>
        </w:rPr>
        <w:t>Dokumentet relevante</w:t>
      </w:r>
      <w:bookmarkEnd w:id="37"/>
    </w:p>
    <w:p w14:paraId="6C907C86" w14:textId="77777777" w:rsidR="0006153E" w:rsidRPr="004979D2" w:rsidRDefault="0006153E"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Në vijim janë paraqitur dokumentet relevante të politikave, ligjeve dhe akteve nënligjore që ndërlidhen me fushën e konkurrencës:</w:t>
      </w:r>
    </w:p>
    <w:p w14:paraId="7E0614E4" w14:textId="77777777" w:rsidR="00A22B1A" w:rsidRPr="004979D2" w:rsidRDefault="00A22B1A" w:rsidP="002B1BC6">
      <w:pPr>
        <w:pStyle w:val="Caption"/>
        <w:spacing w:line="360" w:lineRule="auto"/>
        <w:rPr>
          <w:rFonts w:ascii="Times New Roman" w:hAnsi="Times New Roman" w:cs="Times New Roman"/>
          <w:sz w:val="24"/>
          <w:szCs w:val="24"/>
        </w:rPr>
      </w:pPr>
      <w:r w:rsidRPr="004979D2">
        <w:rPr>
          <w:rFonts w:ascii="Times New Roman" w:hAnsi="Times New Roman" w:cs="Times New Roman"/>
          <w:sz w:val="24"/>
          <w:szCs w:val="24"/>
        </w:rPr>
        <w:t>Figur</w:t>
      </w:r>
      <w:r w:rsidR="00A33A00" w:rsidRPr="004979D2">
        <w:rPr>
          <w:rFonts w:ascii="Times New Roman" w:hAnsi="Times New Roman" w:cs="Times New Roman"/>
          <w:sz w:val="24"/>
          <w:szCs w:val="24"/>
        </w:rPr>
        <w:t>a</w:t>
      </w:r>
      <w:r w:rsidRPr="004979D2">
        <w:rPr>
          <w:rFonts w:ascii="Times New Roman" w:hAnsi="Times New Roman" w:cs="Times New Roman"/>
          <w:sz w:val="24"/>
          <w:szCs w:val="24"/>
        </w:rPr>
        <w:t xml:space="preserve"> </w:t>
      </w:r>
      <w:r w:rsidR="0084199F" w:rsidRPr="004979D2">
        <w:rPr>
          <w:rFonts w:ascii="Times New Roman" w:hAnsi="Times New Roman" w:cs="Times New Roman"/>
          <w:sz w:val="24"/>
          <w:szCs w:val="24"/>
        </w:rPr>
        <w:t>5</w:t>
      </w:r>
      <w:r w:rsidRPr="004979D2">
        <w:rPr>
          <w:rFonts w:ascii="Times New Roman" w:hAnsi="Times New Roman" w:cs="Times New Roman"/>
          <w:sz w:val="24"/>
          <w:szCs w:val="24"/>
        </w:rPr>
        <w:t xml:space="preserve">: </w:t>
      </w:r>
      <w:r w:rsidR="005F1C8E" w:rsidRPr="004979D2">
        <w:rPr>
          <w:rFonts w:ascii="Times New Roman" w:hAnsi="Times New Roman" w:cs="Times New Roman"/>
          <w:sz w:val="24"/>
          <w:szCs w:val="24"/>
        </w:rPr>
        <w:t>Dokumentet përkatëse të politikave, ligjet dhe aktet nënligjore</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2160"/>
        <w:gridCol w:w="2250"/>
        <w:gridCol w:w="2463"/>
      </w:tblGrid>
      <w:tr w:rsidR="00A22B1A" w:rsidRPr="004979D2" w14:paraId="0ECDB4C7" w14:textId="77777777" w:rsidTr="00B11DC4">
        <w:trPr>
          <w:jc w:val="center"/>
        </w:trPr>
        <w:tc>
          <w:tcPr>
            <w:tcW w:w="2554" w:type="dxa"/>
          </w:tcPr>
          <w:p w14:paraId="4A5C648A" w14:textId="71242A39" w:rsidR="00A22B1A" w:rsidRPr="004979D2" w:rsidRDefault="00730CA6" w:rsidP="002B1BC6">
            <w:pPr>
              <w:spacing w:after="0" w:line="360" w:lineRule="auto"/>
              <w:rPr>
                <w:rFonts w:ascii="Times New Roman" w:hAnsi="Times New Roman" w:cs="Times New Roman"/>
                <w:b/>
                <w:sz w:val="24"/>
                <w:szCs w:val="24"/>
              </w:rPr>
            </w:pPr>
            <w:r w:rsidRPr="004979D2">
              <w:rPr>
                <w:rFonts w:ascii="Times New Roman" w:hAnsi="Times New Roman" w:cs="Times New Roman"/>
                <w:b/>
                <w:sz w:val="24"/>
                <w:szCs w:val="24"/>
              </w:rPr>
              <w:t>Dokument i politikave, ligj ose akt nën-ligjor</w:t>
            </w:r>
          </w:p>
        </w:tc>
        <w:tc>
          <w:tcPr>
            <w:tcW w:w="2160" w:type="dxa"/>
          </w:tcPr>
          <w:p w14:paraId="5589E9C2" w14:textId="77777777" w:rsidR="00A22B1A" w:rsidRPr="004979D2" w:rsidRDefault="00730CA6" w:rsidP="002B1BC6">
            <w:pPr>
              <w:spacing w:after="0" w:line="360" w:lineRule="auto"/>
              <w:rPr>
                <w:rFonts w:ascii="Times New Roman" w:hAnsi="Times New Roman" w:cs="Times New Roman"/>
                <w:b/>
                <w:sz w:val="24"/>
                <w:szCs w:val="24"/>
              </w:rPr>
            </w:pPr>
            <w:r w:rsidRPr="004979D2">
              <w:rPr>
                <w:rFonts w:ascii="Times New Roman" w:hAnsi="Times New Roman" w:cs="Times New Roman"/>
                <w:b/>
                <w:sz w:val="24"/>
                <w:szCs w:val="24"/>
              </w:rPr>
              <w:t>Lidhja me politikën apo dokumentin planifikues përmes internetit ose me aktet ligjore në Gazetën Zyrtare</w:t>
            </w:r>
          </w:p>
        </w:tc>
        <w:tc>
          <w:tcPr>
            <w:tcW w:w="2250" w:type="dxa"/>
          </w:tcPr>
          <w:p w14:paraId="26D99956" w14:textId="77777777" w:rsidR="00A22B1A" w:rsidRPr="004979D2" w:rsidRDefault="00730CA6" w:rsidP="002B1BC6">
            <w:pPr>
              <w:spacing w:after="0" w:line="360" w:lineRule="auto"/>
              <w:rPr>
                <w:rFonts w:ascii="Times New Roman" w:hAnsi="Times New Roman" w:cs="Times New Roman"/>
                <w:b/>
                <w:sz w:val="24"/>
                <w:szCs w:val="24"/>
              </w:rPr>
            </w:pPr>
            <w:r w:rsidRPr="004979D2">
              <w:rPr>
                <w:rFonts w:ascii="Times New Roman" w:hAnsi="Times New Roman" w:cs="Times New Roman"/>
                <w:b/>
                <w:sz w:val="24"/>
                <w:szCs w:val="24"/>
              </w:rPr>
              <w:t>Institucioni(-et) shtetëror (e) përgjegjës(e) për zbatim</w:t>
            </w:r>
          </w:p>
        </w:tc>
        <w:tc>
          <w:tcPr>
            <w:tcW w:w="2463" w:type="dxa"/>
          </w:tcPr>
          <w:p w14:paraId="04DC3444" w14:textId="77777777" w:rsidR="00A22B1A" w:rsidRPr="004979D2" w:rsidRDefault="00730CA6" w:rsidP="002B1BC6">
            <w:pPr>
              <w:spacing w:after="0" w:line="360" w:lineRule="auto"/>
              <w:rPr>
                <w:rFonts w:ascii="Times New Roman" w:hAnsi="Times New Roman" w:cs="Times New Roman"/>
                <w:b/>
                <w:sz w:val="24"/>
                <w:szCs w:val="24"/>
              </w:rPr>
            </w:pPr>
            <w:r w:rsidRPr="004979D2">
              <w:rPr>
                <w:rFonts w:ascii="Times New Roman" w:hAnsi="Times New Roman" w:cs="Times New Roman"/>
                <w:b/>
                <w:sz w:val="24"/>
                <w:szCs w:val="24"/>
              </w:rPr>
              <w:t>Roli dhe detyrat e Institucionit(-eve)</w:t>
            </w:r>
          </w:p>
        </w:tc>
      </w:tr>
      <w:tr w:rsidR="008D0571" w:rsidRPr="004979D2" w14:paraId="625DFBCA" w14:textId="77777777" w:rsidTr="00B11DC4">
        <w:trPr>
          <w:jc w:val="center"/>
        </w:trPr>
        <w:tc>
          <w:tcPr>
            <w:tcW w:w="2554" w:type="dxa"/>
          </w:tcPr>
          <w:p w14:paraId="049CDFE2" w14:textId="77777777" w:rsidR="008D0571" w:rsidRPr="004979D2" w:rsidRDefault="008D0571" w:rsidP="002B1BC6">
            <w:pPr>
              <w:pStyle w:val="ListParagraph"/>
              <w:numPr>
                <w:ilvl w:val="0"/>
                <w:numId w:val="33"/>
              </w:num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A</w:t>
            </w:r>
            <w:r w:rsidR="00C30F61" w:rsidRPr="004979D2">
              <w:rPr>
                <w:rFonts w:ascii="Times New Roman" w:hAnsi="Times New Roman" w:cs="Times New Roman"/>
                <w:sz w:val="24"/>
                <w:szCs w:val="24"/>
              </w:rPr>
              <w:t>gj</w:t>
            </w:r>
            <w:r w:rsidRPr="004979D2">
              <w:rPr>
                <w:rFonts w:ascii="Times New Roman" w:hAnsi="Times New Roman" w:cs="Times New Roman"/>
                <w:sz w:val="24"/>
                <w:szCs w:val="24"/>
              </w:rPr>
              <w:t xml:space="preserve">enda </w:t>
            </w:r>
            <w:r w:rsidR="004E7BE9" w:rsidRPr="004979D2">
              <w:rPr>
                <w:rFonts w:ascii="Times New Roman" w:hAnsi="Times New Roman" w:cs="Times New Roman"/>
                <w:sz w:val="24"/>
                <w:szCs w:val="24"/>
              </w:rPr>
              <w:t>për</w:t>
            </w:r>
            <w:r w:rsidRPr="004979D2">
              <w:rPr>
                <w:rFonts w:ascii="Times New Roman" w:hAnsi="Times New Roman" w:cs="Times New Roman"/>
                <w:sz w:val="24"/>
                <w:szCs w:val="24"/>
              </w:rPr>
              <w:t xml:space="preserve"> </w:t>
            </w:r>
            <w:r w:rsidRPr="004979D2">
              <w:rPr>
                <w:rFonts w:ascii="Times New Roman" w:hAnsi="Times New Roman" w:cs="Times New Roman"/>
                <w:sz w:val="24"/>
                <w:szCs w:val="24"/>
              </w:rPr>
              <w:lastRenderedPageBreak/>
              <w:t xml:space="preserve">Reforma Evropiane 2016 (ERA </w:t>
            </w:r>
            <w:r w:rsidR="005754E2" w:rsidRPr="004979D2">
              <w:rPr>
                <w:rFonts w:ascii="Times New Roman" w:hAnsi="Times New Roman" w:cs="Times New Roman"/>
                <w:sz w:val="24"/>
                <w:szCs w:val="24"/>
              </w:rPr>
              <w:t>–Kapitulli 2, Pika 2, Paragrafi e);</w:t>
            </w:r>
          </w:p>
        </w:tc>
        <w:tc>
          <w:tcPr>
            <w:tcW w:w="2160" w:type="dxa"/>
          </w:tcPr>
          <w:p w14:paraId="11458D50"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lastRenderedPageBreak/>
              <w:t xml:space="preserve">Ministria e </w:t>
            </w:r>
            <w:r w:rsidRPr="004979D2">
              <w:rPr>
                <w:rFonts w:ascii="Times New Roman" w:hAnsi="Times New Roman" w:cs="Times New Roman"/>
                <w:sz w:val="24"/>
                <w:szCs w:val="24"/>
              </w:rPr>
              <w:lastRenderedPageBreak/>
              <w:t>Integrimeve Evropiane</w:t>
            </w:r>
          </w:p>
          <w:p w14:paraId="344AEFFC"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w:t>
            </w:r>
            <w:hyperlink r:id="rId13" w:history="1">
              <w:r w:rsidR="00F778AE" w:rsidRPr="004979D2">
                <w:rPr>
                  <w:rStyle w:val="Hyperlink"/>
                  <w:rFonts w:ascii="Times New Roman" w:hAnsi="Times New Roman" w:cs="Times New Roman"/>
                  <w:sz w:val="24"/>
                  <w:szCs w:val="24"/>
                </w:rPr>
                <w:t>http://www.mei-ks.net/sq</w:t>
              </w:r>
            </w:hyperlink>
            <w:r w:rsidRPr="004979D2">
              <w:rPr>
                <w:rFonts w:ascii="Times New Roman" w:hAnsi="Times New Roman" w:cs="Times New Roman"/>
                <w:sz w:val="24"/>
                <w:szCs w:val="24"/>
              </w:rPr>
              <w:t>)</w:t>
            </w:r>
            <w:r w:rsidR="00F778AE" w:rsidRPr="004979D2">
              <w:rPr>
                <w:rFonts w:ascii="Times New Roman" w:hAnsi="Times New Roman" w:cs="Times New Roman"/>
                <w:sz w:val="24"/>
                <w:szCs w:val="24"/>
              </w:rPr>
              <w:t xml:space="preserve"> </w:t>
            </w:r>
          </w:p>
          <w:p w14:paraId="39E559AF" w14:textId="77777777" w:rsidR="008B6EDC" w:rsidRPr="004979D2" w:rsidRDefault="008B6EDC" w:rsidP="002B1BC6">
            <w:pPr>
              <w:spacing w:after="0" w:line="360" w:lineRule="auto"/>
              <w:rPr>
                <w:rFonts w:ascii="Times New Roman" w:hAnsi="Times New Roman" w:cs="Times New Roman"/>
                <w:sz w:val="24"/>
                <w:szCs w:val="24"/>
              </w:rPr>
            </w:pPr>
          </w:p>
          <w:p w14:paraId="2EAE5ED3" w14:textId="77777777" w:rsidR="008D0571" w:rsidRPr="004979D2" w:rsidRDefault="008D0571" w:rsidP="002B1BC6">
            <w:pPr>
              <w:spacing w:after="0" w:line="360" w:lineRule="auto"/>
              <w:rPr>
                <w:rFonts w:ascii="Times New Roman" w:hAnsi="Times New Roman" w:cs="Times New Roman"/>
                <w:sz w:val="24"/>
                <w:szCs w:val="24"/>
              </w:rPr>
            </w:pPr>
          </w:p>
        </w:tc>
        <w:tc>
          <w:tcPr>
            <w:tcW w:w="2250" w:type="dxa"/>
          </w:tcPr>
          <w:p w14:paraId="72788CBB" w14:textId="77777777" w:rsidR="008D0571" w:rsidRPr="004979D2" w:rsidRDefault="009C432A"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lastRenderedPageBreak/>
              <w:t xml:space="preserve">Autoriteti Kosovar i </w:t>
            </w:r>
            <w:r w:rsidR="004E7BE9" w:rsidRPr="004979D2">
              <w:rPr>
                <w:rFonts w:ascii="Times New Roman" w:hAnsi="Times New Roman" w:cs="Times New Roman"/>
                <w:sz w:val="24"/>
                <w:szCs w:val="24"/>
              </w:rPr>
              <w:lastRenderedPageBreak/>
              <w:t>Konkurrencës</w:t>
            </w:r>
          </w:p>
        </w:tc>
        <w:tc>
          <w:tcPr>
            <w:tcW w:w="2463" w:type="dxa"/>
          </w:tcPr>
          <w:p w14:paraId="15BBD819" w14:textId="77777777" w:rsidR="008D0571" w:rsidRPr="004979D2" w:rsidRDefault="005754E2"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lastRenderedPageBreak/>
              <w:t xml:space="preserve">Harmonizimin e </w:t>
            </w:r>
            <w:r w:rsidRPr="004979D2">
              <w:rPr>
                <w:rFonts w:ascii="Times New Roman" w:hAnsi="Times New Roman" w:cs="Times New Roman"/>
                <w:sz w:val="24"/>
                <w:szCs w:val="24"/>
              </w:rPr>
              <w:lastRenderedPageBreak/>
              <w:t>legjislacionit, përmirësimin e kapaciteteve të organeve të konkurrencës dhe ndihmës shtetërore, dhe sigurimin që të fillojnë të zbatojnë mandatet e tyre</w:t>
            </w:r>
          </w:p>
        </w:tc>
      </w:tr>
      <w:tr w:rsidR="009C432A" w:rsidRPr="004979D2" w14:paraId="059BE874" w14:textId="77777777" w:rsidTr="00B11DC4">
        <w:trPr>
          <w:jc w:val="center"/>
        </w:trPr>
        <w:tc>
          <w:tcPr>
            <w:tcW w:w="2554" w:type="dxa"/>
          </w:tcPr>
          <w:p w14:paraId="4A9163E0" w14:textId="77777777" w:rsidR="009C432A" w:rsidRPr="004979D2" w:rsidRDefault="003D1043" w:rsidP="002B1BC6">
            <w:pPr>
              <w:pStyle w:val="ListParagraph"/>
              <w:numPr>
                <w:ilvl w:val="0"/>
                <w:numId w:val="33"/>
              </w:numPr>
              <w:spacing w:after="0" w:line="360" w:lineRule="auto"/>
              <w:rPr>
                <w:rFonts w:ascii="Times New Roman" w:hAnsi="Times New Roman" w:cs="Times New Roman"/>
                <w:sz w:val="24"/>
                <w:szCs w:val="24"/>
              </w:rPr>
            </w:pPr>
            <w:r w:rsidRPr="004979D2">
              <w:rPr>
                <w:rFonts w:ascii="Times New Roman" w:hAnsi="Times New Roman" w:cs="Times New Roman"/>
                <w:sz w:val="24"/>
                <w:szCs w:val="24"/>
              </w:rPr>
              <w:lastRenderedPageBreak/>
              <w:t>Marrëveshja</w:t>
            </w:r>
            <w:r w:rsidR="009C432A" w:rsidRPr="004979D2">
              <w:rPr>
                <w:rFonts w:ascii="Times New Roman" w:hAnsi="Times New Roman" w:cs="Times New Roman"/>
                <w:sz w:val="24"/>
                <w:szCs w:val="24"/>
              </w:rPr>
              <w:t xml:space="preserve"> e Stabilizim </w:t>
            </w:r>
            <w:proofErr w:type="spellStart"/>
            <w:r w:rsidR="009C432A" w:rsidRPr="004979D2">
              <w:rPr>
                <w:rFonts w:ascii="Times New Roman" w:hAnsi="Times New Roman" w:cs="Times New Roman"/>
                <w:sz w:val="24"/>
                <w:szCs w:val="24"/>
              </w:rPr>
              <w:t>Asocimit</w:t>
            </w:r>
            <w:proofErr w:type="spellEnd"/>
            <w:r w:rsidR="009C432A" w:rsidRPr="004979D2">
              <w:rPr>
                <w:rFonts w:ascii="Times New Roman" w:hAnsi="Times New Roman" w:cs="Times New Roman"/>
                <w:sz w:val="24"/>
                <w:szCs w:val="24"/>
              </w:rPr>
              <w:t xml:space="preserve"> (</w:t>
            </w:r>
            <w:r w:rsidRPr="004979D2">
              <w:rPr>
                <w:rFonts w:ascii="Times New Roman" w:hAnsi="Times New Roman" w:cs="Times New Roman"/>
                <w:sz w:val="24"/>
                <w:szCs w:val="24"/>
              </w:rPr>
              <w:t>Kapitulli</w:t>
            </w:r>
            <w:r w:rsidR="009C432A" w:rsidRPr="004979D2">
              <w:rPr>
                <w:rFonts w:ascii="Times New Roman" w:hAnsi="Times New Roman" w:cs="Times New Roman"/>
                <w:sz w:val="24"/>
                <w:szCs w:val="24"/>
              </w:rPr>
              <w:t xml:space="preserve"> 8 – </w:t>
            </w:r>
            <w:r w:rsidRPr="004979D2">
              <w:rPr>
                <w:rFonts w:ascii="Times New Roman" w:hAnsi="Times New Roman" w:cs="Times New Roman"/>
                <w:sz w:val="24"/>
                <w:szCs w:val="24"/>
              </w:rPr>
              <w:t>Politikat</w:t>
            </w:r>
            <w:r w:rsidR="009C432A" w:rsidRPr="004979D2">
              <w:rPr>
                <w:rFonts w:ascii="Times New Roman" w:hAnsi="Times New Roman" w:cs="Times New Roman"/>
                <w:sz w:val="24"/>
                <w:szCs w:val="24"/>
              </w:rPr>
              <w:t xml:space="preserve"> e </w:t>
            </w:r>
            <w:r w:rsidRPr="004979D2">
              <w:rPr>
                <w:rFonts w:ascii="Times New Roman" w:hAnsi="Times New Roman" w:cs="Times New Roman"/>
                <w:sz w:val="24"/>
                <w:szCs w:val="24"/>
              </w:rPr>
              <w:t>Konkurrencës</w:t>
            </w:r>
            <w:r w:rsidR="009C432A" w:rsidRPr="004979D2">
              <w:rPr>
                <w:rFonts w:ascii="Times New Roman" w:hAnsi="Times New Roman" w:cs="Times New Roman"/>
                <w:sz w:val="24"/>
                <w:szCs w:val="24"/>
              </w:rPr>
              <w:t>)</w:t>
            </w:r>
          </w:p>
        </w:tc>
        <w:tc>
          <w:tcPr>
            <w:tcW w:w="2160" w:type="dxa"/>
          </w:tcPr>
          <w:p w14:paraId="46B16D01"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Ministria e Integrimeve Evropiane</w:t>
            </w:r>
          </w:p>
          <w:p w14:paraId="1FAF9708"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w:t>
            </w:r>
            <w:hyperlink r:id="rId14" w:history="1">
              <w:r w:rsidR="00F778AE" w:rsidRPr="004979D2">
                <w:rPr>
                  <w:rStyle w:val="Hyperlink"/>
                  <w:rFonts w:ascii="Times New Roman" w:hAnsi="Times New Roman" w:cs="Times New Roman"/>
                  <w:sz w:val="24"/>
                  <w:szCs w:val="24"/>
                </w:rPr>
                <w:t>http://www.mei-ks.net/sq</w:t>
              </w:r>
            </w:hyperlink>
            <w:r w:rsidRPr="004979D2">
              <w:rPr>
                <w:rFonts w:ascii="Times New Roman" w:hAnsi="Times New Roman" w:cs="Times New Roman"/>
                <w:sz w:val="24"/>
                <w:szCs w:val="24"/>
              </w:rPr>
              <w:t>)</w:t>
            </w:r>
            <w:r w:rsidR="00F778AE" w:rsidRPr="004979D2">
              <w:rPr>
                <w:rFonts w:ascii="Times New Roman" w:hAnsi="Times New Roman" w:cs="Times New Roman"/>
                <w:sz w:val="24"/>
                <w:szCs w:val="24"/>
              </w:rPr>
              <w:t xml:space="preserve"> </w:t>
            </w:r>
          </w:p>
          <w:p w14:paraId="2E41D550" w14:textId="77777777" w:rsidR="009C432A" w:rsidRPr="004979D2" w:rsidRDefault="009C432A" w:rsidP="002B1BC6">
            <w:pPr>
              <w:spacing w:after="0" w:line="360" w:lineRule="auto"/>
              <w:rPr>
                <w:rFonts w:ascii="Times New Roman" w:hAnsi="Times New Roman" w:cs="Times New Roman"/>
                <w:sz w:val="24"/>
                <w:szCs w:val="24"/>
              </w:rPr>
            </w:pPr>
          </w:p>
        </w:tc>
        <w:tc>
          <w:tcPr>
            <w:tcW w:w="2250" w:type="dxa"/>
          </w:tcPr>
          <w:p w14:paraId="2EA13BE0" w14:textId="77777777" w:rsidR="009C432A" w:rsidRPr="004979D2" w:rsidRDefault="009C432A"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 xml:space="preserve">Autoriteti Kosovar i </w:t>
            </w:r>
            <w:r w:rsidR="003D1043" w:rsidRPr="004979D2">
              <w:rPr>
                <w:rFonts w:ascii="Times New Roman" w:hAnsi="Times New Roman" w:cs="Times New Roman"/>
                <w:sz w:val="24"/>
                <w:szCs w:val="24"/>
              </w:rPr>
              <w:t>Konkurrencës</w:t>
            </w:r>
            <w:r w:rsidRPr="004979D2">
              <w:rPr>
                <w:rFonts w:ascii="Times New Roman" w:hAnsi="Times New Roman" w:cs="Times New Roman"/>
                <w:sz w:val="24"/>
                <w:szCs w:val="24"/>
              </w:rPr>
              <w:t xml:space="preserve">; Ministria e </w:t>
            </w:r>
            <w:r w:rsidR="003D1043" w:rsidRPr="004979D2">
              <w:rPr>
                <w:rFonts w:ascii="Times New Roman" w:hAnsi="Times New Roman" w:cs="Times New Roman"/>
                <w:sz w:val="24"/>
                <w:szCs w:val="24"/>
              </w:rPr>
              <w:t>Tregtisë</w:t>
            </w:r>
            <w:r w:rsidRPr="004979D2">
              <w:rPr>
                <w:rFonts w:ascii="Times New Roman" w:hAnsi="Times New Roman" w:cs="Times New Roman"/>
                <w:sz w:val="24"/>
                <w:szCs w:val="24"/>
              </w:rPr>
              <w:t xml:space="preserve"> dhe </w:t>
            </w:r>
            <w:r w:rsidR="003D1043" w:rsidRPr="004979D2">
              <w:rPr>
                <w:rFonts w:ascii="Times New Roman" w:hAnsi="Times New Roman" w:cs="Times New Roman"/>
                <w:sz w:val="24"/>
                <w:szCs w:val="24"/>
              </w:rPr>
              <w:t>Industrisë</w:t>
            </w:r>
          </w:p>
        </w:tc>
        <w:tc>
          <w:tcPr>
            <w:tcW w:w="2463" w:type="dxa"/>
          </w:tcPr>
          <w:p w14:paraId="7A82C3BB" w14:textId="77777777" w:rsidR="009C432A" w:rsidRPr="004979D2" w:rsidRDefault="000F4211"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E para, zbatimi i Agjendës për Reforma Evropiane (ERA-s) dhe e dyta, zbatimi i obligimeve t</w:t>
            </w:r>
            <w:r w:rsidR="00C30F61" w:rsidRPr="004979D2">
              <w:rPr>
                <w:rFonts w:ascii="Times New Roman" w:hAnsi="Times New Roman" w:cs="Times New Roman"/>
                <w:sz w:val="24"/>
                <w:szCs w:val="24"/>
              </w:rPr>
              <w:t>ë</w:t>
            </w:r>
            <w:r w:rsidRPr="004979D2">
              <w:rPr>
                <w:rFonts w:ascii="Times New Roman" w:hAnsi="Times New Roman" w:cs="Times New Roman"/>
                <w:sz w:val="24"/>
                <w:szCs w:val="24"/>
              </w:rPr>
              <w:t xml:space="preserve"> dala nga MSA . </w:t>
            </w:r>
          </w:p>
        </w:tc>
      </w:tr>
      <w:tr w:rsidR="009C432A" w:rsidRPr="004979D2" w14:paraId="51DF9E20" w14:textId="77777777" w:rsidTr="00B11DC4">
        <w:trPr>
          <w:jc w:val="center"/>
        </w:trPr>
        <w:tc>
          <w:tcPr>
            <w:tcW w:w="2554" w:type="dxa"/>
          </w:tcPr>
          <w:p w14:paraId="49316602" w14:textId="77777777" w:rsidR="009C432A" w:rsidRPr="004979D2" w:rsidRDefault="003D1043" w:rsidP="002B1BC6">
            <w:pPr>
              <w:pStyle w:val="ListParagraph"/>
              <w:numPr>
                <w:ilvl w:val="0"/>
                <w:numId w:val="33"/>
              </w:num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 xml:space="preserve">Raporti i Punës i </w:t>
            </w:r>
            <w:r w:rsidR="009C432A" w:rsidRPr="004979D2">
              <w:rPr>
                <w:rFonts w:ascii="Times New Roman" w:hAnsi="Times New Roman" w:cs="Times New Roman"/>
                <w:sz w:val="24"/>
                <w:szCs w:val="24"/>
              </w:rPr>
              <w:t>AKK-së 2017</w:t>
            </w:r>
          </w:p>
        </w:tc>
        <w:tc>
          <w:tcPr>
            <w:tcW w:w="2160" w:type="dxa"/>
          </w:tcPr>
          <w:p w14:paraId="07233997" w14:textId="77777777" w:rsidR="009C432A" w:rsidRPr="004979D2" w:rsidRDefault="009C432A"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 xml:space="preserve">Autoriteti Kosovar i </w:t>
            </w:r>
            <w:r w:rsidR="003D1043" w:rsidRPr="004979D2">
              <w:rPr>
                <w:rFonts w:ascii="Times New Roman" w:hAnsi="Times New Roman" w:cs="Times New Roman"/>
                <w:sz w:val="24"/>
                <w:szCs w:val="24"/>
              </w:rPr>
              <w:t>Konkurrencës</w:t>
            </w:r>
            <w:r w:rsidR="008B6EDC" w:rsidRPr="004979D2">
              <w:rPr>
                <w:rFonts w:ascii="Times New Roman" w:hAnsi="Times New Roman" w:cs="Times New Roman"/>
                <w:sz w:val="24"/>
                <w:szCs w:val="24"/>
              </w:rPr>
              <w:t xml:space="preserve"> (</w:t>
            </w:r>
            <w:hyperlink r:id="rId15" w:history="1">
              <w:r w:rsidR="008B6EDC" w:rsidRPr="004979D2">
                <w:rPr>
                  <w:rStyle w:val="Hyperlink"/>
                  <w:rFonts w:ascii="Times New Roman" w:hAnsi="Times New Roman" w:cs="Times New Roman"/>
                  <w:sz w:val="24"/>
                  <w:szCs w:val="24"/>
                </w:rPr>
                <w:t>https://ak.rks-gov.net/ballina</w:t>
              </w:r>
            </w:hyperlink>
            <w:r w:rsidR="008B6EDC" w:rsidRPr="004979D2">
              <w:rPr>
                <w:rFonts w:ascii="Times New Roman" w:hAnsi="Times New Roman" w:cs="Times New Roman"/>
                <w:sz w:val="24"/>
                <w:szCs w:val="24"/>
              </w:rPr>
              <w:t>)</w:t>
            </w:r>
          </w:p>
          <w:p w14:paraId="6D6507AE" w14:textId="77777777" w:rsidR="008B6EDC" w:rsidRPr="004979D2" w:rsidRDefault="008B6EDC" w:rsidP="002B1BC6">
            <w:pPr>
              <w:spacing w:after="0" w:line="360" w:lineRule="auto"/>
              <w:rPr>
                <w:rFonts w:ascii="Times New Roman" w:hAnsi="Times New Roman" w:cs="Times New Roman"/>
                <w:sz w:val="24"/>
                <w:szCs w:val="24"/>
              </w:rPr>
            </w:pPr>
          </w:p>
        </w:tc>
        <w:tc>
          <w:tcPr>
            <w:tcW w:w="2250" w:type="dxa"/>
          </w:tcPr>
          <w:p w14:paraId="57E49665" w14:textId="77777777" w:rsidR="009C432A" w:rsidRPr="004979D2" w:rsidRDefault="00DE3B44"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 xml:space="preserve">Autoriteti Kosovar i </w:t>
            </w:r>
            <w:r w:rsidR="003D1043" w:rsidRPr="004979D2">
              <w:rPr>
                <w:rFonts w:ascii="Times New Roman" w:hAnsi="Times New Roman" w:cs="Times New Roman"/>
                <w:sz w:val="24"/>
                <w:szCs w:val="24"/>
              </w:rPr>
              <w:t>Konkurrencës</w:t>
            </w:r>
          </w:p>
        </w:tc>
        <w:tc>
          <w:tcPr>
            <w:tcW w:w="2463" w:type="dxa"/>
          </w:tcPr>
          <w:p w14:paraId="776A8804" w14:textId="77777777" w:rsidR="0074400C" w:rsidRPr="004979D2" w:rsidRDefault="0074400C" w:rsidP="002B1BC6">
            <w:pPr>
              <w:pStyle w:val="NormalWeb"/>
              <w:shd w:val="clear" w:color="auto" w:fill="FFFFFF"/>
              <w:spacing w:before="0" w:beforeAutospacing="0" w:after="150" w:afterAutospacing="0" w:line="360" w:lineRule="auto"/>
              <w:rPr>
                <w:color w:val="000000"/>
                <w:lang w:val="sq-AL"/>
              </w:rPr>
            </w:pPr>
            <w:r w:rsidRPr="004979D2">
              <w:rPr>
                <w:color w:val="000000"/>
                <w:lang w:val="sq-AL"/>
              </w:rPr>
              <w:t>Raportimi i r</w:t>
            </w:r>
            <w:r w:rsidR="00C30F61" w:rsidRPr="004979D2">
              <w:rPr>
                <w:color w:val="000000"/>
                <w:lang w:val="sq-AL"/>
              </w:rPr>
              <w:t>r</w:t>
            </w:r>
            <w:r w:rsidRPr="004979D2">
              <w:rPr>
                <w:color w:val="000000"/>
                <w:lang w:val="sq-AL"/>
              </w:rPr>
              <w:t>egullt n</w:t>
            </w:r>
            <w:r w:rsidR="00C30F61" w:rsidRPr="004979D2">
              <w:rPr>
                <w:color w:val="000000"/>
                <w:lang w:val="sq-AL"/>
              </w:rPr>
              <w:t>ë</w:t>
            </w:r>
            <w:r w:rsidRPr="004979D2">
              <w:rPr>
                <w:color w:val="000000"/>
                <w:lang w:val="sq-AL"/>
              </w:rPr>
              <w:t xml:space="preserve"> lidhje me p</w:t>
            </w:r>
            <w:r w:rsidR="00C30F61" w:rsidRPr="004979D2">
              <w:rPr>
                <w:color w:val="000000"/>
                <w:lang w:val="sq-AL"/>
              </w:rPr>
              <w:t>ë</w:t>
            </w:r>
            <w:r w:rsidRPr="004979D2">
              <w:rPr>
                <w:color w:val="000000"/>
                <w:lang w:val="sq-AL"/>
              </w:rPr>
              <w:t>rmbushjen e objektivave strategjike të Autoritetit Kosovar të Konkurrencës t</w:t>
            </w:r>
            <w:r w:rsidR="00C30F61" w:rsidRPr="004979D2">
              <w:rPr>
                <w:color w:val="000000"/>
                <w:lang w:val="sq-AL"/>
              </w:rPr>
              <w:t>ë</w:t>
            </w:r>
            <w:r w:rsidRPr="004979D2">
              <w:rPr>
                <w:color w:val="000000"/>
                <w:lang w:val="sq-AL"/>
              </w:rPr>
              <w:t xml:space="preserve"> cilat fokusohen n</w:t>
            </w:r>
            <w:r w:rsidR="00C30F61" w:rsidRPr="004979D2">
              <w:rPr>
                <w:color w:val="000000"/>
                <w:lang w:val="sq-AL"/>
              </w:rPr>
              <w:t>ë</w:t>
            </w:r>
            <w:r w:rsidRPr="004979D2">
              <w:rPr>
                <w:color w:val="000000"/>
                <w:lang w:val="sq-AL"/>
              </w:rPr>
              <w:t xml:space="preserve">: organizimin dhe ngritjen e brendshme të Autoritetit Kosovar të Konkurrencës, kompletimin me legjislacionin sekondar në fushën e konkurrencës në përputhje me direktivat </w:t>
            </w:r>
            <w:r w:rsidRPr="004979D2">
              <w:rPr>
                <w:color w:val="000000"/>
                <w:lang w:val="sq-AL"/>
              </w:rPr>
              <w:lastRenderedPageBreak/>
              <w:t xml:space="preserve">Evropiane, monitorimin dhe fillimin e procedurave </w:t>
            </w:r>
            <w:proofErr w:type="spellStart"/>
            <w:r w:rsidRPr="004979D2">
              <w:rPr>
                <w:color w:val="000000"/>
                <w:lang w:val="sq-AL"/>
              </w:rPr>
              <w:t>investiguese</w:t>
            </w:r>
            <w:proofErr w:type="spellEnd"/>
            <w:r w:rsidRPr="004979D2">
              <w:rPr>
                <w:color w:val="000000"/>
                <w:lang w:val="sq-AL"/>
              </w:rPr>
              <w:t xml:space="preserve"> për shkelësit e konkurrencës, si dhe </w:t>
            </w:r>
            <w:proofErr w:type="spellStart"/>
            <w:r w:rsidRPr="004979D2">
              <w:rPr>
                <w:color w:val="000000"/>
                <w:lang w:val="sq-AL"/>
              </w:rPr>
              <w:t>avokimin</w:t>
            </w:r>
            <w:proofErr w:type="spellEnd"/>
            <w:r w:rsidRPr="004979D2">
              <w:rPr>
                <w:color w:val="000000"/>
                <w:lang w:val="sq-AL"/>
              </w:rPr>
              <w:t xml:space="preserve">, organizimin e trajnimeve në fushën e konkurrencës me </w:t>
            </w:r>
            <w:proofErr w:type="spellStart"/>
            <w:r w:rsidRPr="004979D2">
              <w:rPr>
                <w:color w:val="000000"/>
                <w:lang w:val="sq-AL"/>
              </w:rPr>
              <w:t>aktere</w:t>
            </w:r>
            <w:proofErr w:type="spellEnd"/>
            <w:r w:rsidRPr="004979D2">
              <w:rPr>
                <w:color w:val="000000"/>
                <w:lang w:val="sq-AL"/>
              </w:rPr>
              <w:t xml:space="preserve"> të ndryshëm të shoqërisë.</w:t>
            </w:r>
          </w:p>
          <w:p w14:paraId="4CF0EDCD" w14:textId="77777777" w:rsidR="009C432A" w:rsidRPr="004979D2" w:rsidRDefault="009C432A" w:rsidP="002B1BC6">
            <w:pPr>
              <w:spacing w:after="0" w:line="360" w:lineRule="auto"/>
              <w:rPr>
                <w:rFonts w:ascii="Times New Roman" w:hAnsi="Times New Roman" w:cs="Times New Roman"/>
                <w:sz w:val="24"/>
                <w:szCs w:val="24"/>
              </w:rPr>
            </w:pPr>
          </w:p>
        </w:tc>
      </w:tr>
      <w:tr w:rsidR="009C432A" w:rsidRPr="004979D2" w14:paraId="654E4E88" w14:textId="77777777" w:rsidTr="00B11DC4">
        <w:trPr>
          <w:jc w:val="center"/>
        </w:trPr>
        <w:tc>
          <w:tcPr>
            <w:tcW w:w="2554" w:type="dxa"/>
          </w:tcPr>
          <w:p w14:paraId="0AC20480" w14:textId="77777777" w:rsidR="009C432A" w:rsidRPr="004979D2" w:rsidRDefault="009C432A" w:rsidP="002B1BC6">
            <w:pPr>
              <w:pStyle w:val="ListParagraph"/>
              <w:numPr>
                <w:ilvl w:val="0"/>
                <w:numId w:val="33"/>
              </w:numPr>
              <w:spacing w:after="0" w:line="360" w:lineRule="auto"/>
              <w:rPr>
                <w:rFonts w:ascii="Times New Roman" w:hAnsi="Times New Roman" w:cs="Times New Roman"/>
                <w:sz w:val="24"/>
                <w:szCs w:val="24"/>
              </w:rPr>
            </w:pPr>
            <w:r w:rsidRPr="004979D2">
              <w:rPr>
                <w:rFonts w:ascii="Times New Roman" w:hAnsi="Times New Roman" w:cs="Times New Roman"/>
                <w:sz w:val="24"/>
                <w:szCs w:val="24"/>
              </w:rPr>
              <w:lastRenderedPageBreak/>
              <w:t>L</w:t>
            </w:r>
            <w:r w:rsidR="008437DF" w:rsidRPr="004979D2">
              <w:rPr>
                <w:rFonts w:ascii="Times New Roman" w:hAnsi="Times New Roman" w:cs="Times New Roman"/>
                <w:sz w:val="24"/>
                <w:szCs w:val="24"/>
              </w:rPr>
              <w:t>i</w:t>
            </w:r>
            <w:r w:rsidR="003D1043" w:rsidRPr="004979D2">
              <w:rPr>
                <w:rFonts w:ascii="Times New Roman" w:hAnsi="Times New Roman" w:cs="Times New Roman"/>
                <w:sz w:val="24"/>
                <w:szCs w:val="24"/>
              </w:rPr>
              <w:t>gji</w:t>
            </w:r>
            <w:r w:rsidRPr="004979D2">
              <w:rPr>
                <w:rFonts w:ascii="Times New Roman" w:hAnsi="Times New Roman" w:cs="Times New Roman"/>
                <w:sz w:val="24"/>
                <w:szCs w:val="24"/>
              </w:rPr>
              <w:t xml:space="preserve"> N</w:t>
            </w:r>
            <w:r w:rsidR="0077080C" w:rsidRPr="004979D2">
              <w:rPr>
                <w:rFonts w:ascii="Times New Roman" w:hAnsi="Times New Roman" w:cs="Times New Roman"/>
                <w:sz w:val="24"/>
                <w:szCs w:val="24"/>
              </w:rPr>
              <w:t>r</w:t>
            </w:r>
            <w:r w:rsidRPr="004979D2">
              <w:rPr>
                <w:rFonts w:ascii="Times New Roman" w:hAnsi="Times New Roman" w:cs="Times New Roman"/>
                <w:sz w:val="24"/>
                <w:szCs w:val="24"/>
              </w:rPr>
              <w:t xml:space="preserve">. 03/L-229 </w:t>
            </w:r>
            <w:r w:rsidR="003D1043" w:rsidRPr="004979D2">
              <w:rPr>
                <w:rFonts w:ascii="Times New Roman" w:hAnsi="Times New Roman" w:cs="Times New Roman"/>
                <w:sz w:val="24"/>
                <w:szCs w:val="24"/>
              </w:rPr>
              <w:t>për mbrojtjen e konkurrencës</w:t>
            </w:r>
          </w:p>
        </w:tc>
        <w:tc>
          <w:tcPr>
            <w:tcW w:w="2160" w:type="dxa"/>
          </w:tcPr>
          <w:p w14:paraId="503351EE" w14:textId="77777777" w:rsidR="009C432A" w:rsidRPr="004979D2" w:rsidRDefault="00DE3B44"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 xml:space="preserve">Gazeta Zyrtare Nr. 88/25 </w:t>
            </w:r>
            <w:r w:rsidR="0077080C" w:rsidRPr="004979D2">
              <w:rPr>
                <w:rFonts w:ascii="Times New Roman" w:hAnsi="Times New Roman" w:cs="Times New Roman"/>
                <w:sz w:val="24"/>
                <w:szCs w:val="24"/>
              </w:rPr>
              <w:t>n</w:t>
            </w:r>
            <w:r w:rsidR="003D1043" w:rsidRPr="004979D2">
              <w:rPr>
                <w:rFonts w:ascii="Times New Roman" w:hAnsi="Times New Roman" w:cs="Times New Roman"/>
                <w:sz w:val="24"/>
                <w:szCs w:val="24"/>
              </w:rPr>
              <w:t>ëntor</w:t>
            </w:r>
            <w:r w:rsidRPr="004979D2">
              <w:rPr>
                <w:rFonts w:ascii="Times New Roman" w:hAnsi="Times New Roman" w:cs="Times New Roman"/>
                <w:sz w:val="24"/>
                <w:szCs w:val="24"/>
              </w:rPr>
              <w:t xml:space="preserve"> 2010</w:t>
            </w:r>
            <w:r w:rsidR="008B6EDC" w:rsidRPr="004979D2">
              <w:rPr>
                <w:rFonts w:ascii="Times New Roman" w:hAnsi="Times New Roman" w:cs="Times New Roman"/>
                <w:sz w:val="24"/>
                <w:szCs w:val="24"/>
              </w:rPr>
              <w:t xml:space="preserve"> (</w:t>
            </w:r>
            <w:hyperlink r:id="rId16" w:history="1">
              <w:r w:rsidR="008B6EDC" w:rsidRPr="004979D2">
                <w:rPr>
                  <w:rStyle w:val="Hyperlink"/>
                  <w:rFonts w:ascii="Times New Roman" w:hAnsi="Times New Roman" w:cs="Times New Roman"/>
                  <w:sz w:val="24"/>
                  <w:szCs w:val="24"/>
                </w:rPr>
                <w:t>https://gzk.rks-gov.net/</w:t>
              </w:r>
            </w:hyperlink>
            <w:r w:rsidR="008B6EDC" w:rsidRPr="004979D2">
              <w:rPr>
                <w:rFonts w:ascii="Times New Roman" w:hAnsi="Times New Roman" w:cs="Times New Roman"/>
                <w:sz w:val="24"/>
                <w:szCs w:val="24"/>
              </w:rPr>
              <w:t xml:space="preserve">) </w:t>
            </w:r>
          </w:p>
        </w:tc>
        <w:tc>
          <w:tcPr>
            <w:tcW w:w="2250" w:type="dxa"/>
          </w:tcPr>
          <w:p w14:paraId="5BDAF079" w14:textId="77777777" w:rsidR="00DE3B44" w:rsidRPr="004979D2" w:rsidRDefault="00DE3B44"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 xml:space="preserve">Autoriteti Kosovar i </w:t>
            </w:r>
            <w:r w:rsidR="003D1043" w:rsidRPr="004979D2">
              <w:rPr>
                <w:rFonts w:ascii="Times New Roman" w:hAnsi="Times New Roman" w:cs="Times New Roman"/>
                <w:sz w:val="24"/>
                <w:szCs w:val="24"/>
              </w:rPr>
              <w:t>Konkurrencës</w:t>
            </w:r>
            <w:r w:rsidRPr="004979D2">
              <w:rPr>
                <w:rFonts w:ascii="Times New Roman" w:hAnsi="Times New Roman" w:cs="Times New Roman"/>
                <w:sz w:val="24"/>
                <w:szCs w:val="24"/>
              </w:rPr>
              <w:t xml:space="preserve">; Ministria e </w:t>
            </w:r>
            <w:r w:rsidR="003D1043" w:rsidRPr="004979D2">
              <w:rPr>
                <w:rFonts w:ascii="Times New Roman" w:hAnsi="Times New Roman" w:cs="Times New Roman"/>
                <w:sz w:val="24"/>
                <w:szCs w:val="24"/>
              </w:rPr>
              <w:t>Tregtisë</w:t>
            </w:r>
            <w:r w:rsidRPr="004979D2">
              <w:rPr>
                <w:rFonts w:ascii="Times New Roman" w:hAnsi="Times New Roman" w:cs="Times New Roman"/>
                <w:sz w:val="24"/>
                <w:szCs w:val="24"/>
              </w:rPr>
              <w:t xml:space="preserve"> dhe </w:t>
            </w:r>
            <w:r w:rsidR="003D1043" w:rsidRPr="004979D2">
              <w:rPr>
                <w:rFonts w:ascii="Times New Roman" w:hAnsi="Times New Roman" w:cs="Times New Roman"/>
                <w:sz w:val="24"/>
                <w:szCs w:val="24"/>
              </w:rPr>
              <w:t>Industrisë</w:t>
            </w:r>
          </w:p>
        </w:tc>
        <w:tc>
          <w:tcPr>
            <w:tcW w:w="2463" w:type="dxa"/>
          </w:tcPr>
          <w:p w14:paraId="79484A10" w14:textId="77777777" w:rsidR="00DE3B44" w:rsidRPr="004979D2" w:rsidRDefault="00DE3B44"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 xml:space="preserve">Zbatimi dhe </w:t>
            </w:r>
            <w:r w:rsidR="003D1043" w:rsidRPr="004979D2">
              <w:rPr>
                <w:rFonts w:ascii="Times New Roman" w:hAnsi="Times New Roman" w:cs="Times New Roman"/>
                <w:sz w:val="24"/>
                <w:szCs w:val="24"/>
              </w:rPr>
              <w:t>implementimi</w:t>
            </w:r>
            <w:r w:rsidRPr="004979D2">
              <w:rPr>
                <w:rFonts w:ascii="Times New Roman" w:hAnsi="Times New Roman" w:cs="Times New Roman"/>
                <w:sz w:val="24"/>
                <w:szCs w:val="24"/>
              </w:rPr>
              <w:t xml:space="preserve"> i ligjeve dhe akteve </w:t>
            </w:r>
            <w:r w:rsidR="003D1043" w:rsidRPr="004979D2">
              <w:rPr>
                <w:rFonts w:ascii="Times New Roman" w:hAnsi="Times New Roman" w:cs="Times New Roman"/>
                <w:sz w:val="24"/>
                <w:szCs w:val="24"/>
              </w:rPr>
              <w:t>nënligjore</w:t>
            </w:r>
            <w:r w:rsidRPr="004979D2">
              <w:rPr>
                <w:rFonts w:ascii="Times New Roman" w:hAnsi="Times New Roman" w:cs="Times New Roman"/>
                <w:sz w:val="24"/>
                <w:szCs w:val="24"/>
              </w:rPr>
              <w:t xml:space="preserve"> nga AKK; MTI </w:t>
            </w:r>
            <w:r w:rsidR="003D1043" w:rsidRPr="004979D2">
              <w:rPr>
                <w:rFonts w:ascii="Times New Roman" w:hAnsi="Times New Roman" w:cs="Times New Roman"/>
                <w:sz w:val="24"/>
                <w:szCs w:val="24"/>
              </w:rPr>
              <w:t>është</w:t>
            </w:r>
            <w:r w:rsidRPr="004979D2">
              <w:rPr>
                <w:rFonts w:ascii="Times New Roman" w:hAnsi="Times New Roman" w:cs="Times New Roman"/>
                <w:sz w:val="24"/>
                <w:szCs w:val="24"/>
              </w:rPr>
              <w:t xml:space="preserve"> </w:t>
            </w:r>
            <w:r w:rsidR="003D1043" w:rsidRPr="004979D2">
              <w:rPr>
                <w:rFonts w:ascii="Times New Roman" w:hAnsi="Times New Roman" w:cs="Times New Roman"/>
                <w:sz w:val="24"/>
                <w:szCs w:val="24"/>
              </w:rPr>
              <w:t>sponsor</w:t>
            </w:r>
            <w:r w:rsidRPr="004979D2">
              <w:rPr>
                <w:rFonts w:ascii="Times New Roman" w:hAnsi="Times New Roman" w:cs="Times New Roman"/>
                <w:sz w:val="24"/>
                <w:szCs w:val="24"/>
              </w:rPr>
              <w:t xml:space="preserve"> i </w:t>
            </w:r>
            <w:r w:rsidR="003D1043" w:rsidRPr="004979D2">
              <w:rPr>
                <w:rFonts w:ascii="Times New Roman" w:hAnsi="Times New Roman" w:cs="Times New Roman"/>
                <w:sz w:val="24"/>
                <w:szCs w:val="24"/>
              </w:rPr>
              <w:t>kornizës</w:t>
            </w:r>
            <w:r w:rsidRPr="004979D2">
              <w:rPr>
                <w:rFonts w:ascii="Times New Roman" w:hAnsi="Times New Roman" w:cs="Times New Roman"/>
                <w:sz w:val="24"/>
                <w:szCs w:val="24"/>
              </w:rPr>
              <w:t xml:space="preserve"> ligjore.</w:t>
            </w:r>
          </w:p>
        </w:tc>
      </w:tr>
      <w:tr w:rsidR="00DE3B44" w:rsidRPr="004979D2" w14:paraId="4274DC40" w14:textId="77777777" w:rsidTr="00B11DC4">
        <w:trPr>
          <w:jc w:val="center"/>
        </w:trPr>
        <w:tc>
          <w:tcPr>
            <w:tcW w:w="2554" w:type="dxa"/>
          </w:tcPr>
          <w:p w14:paraId="0827A807" w14:textId="00E34F78" w:rsidR="00DE3B44" w:rsidRPr="004979D2" w:rsidRDefault="008437DF" w:rsidP="002B1BC6">
            <w:pPr>
              <w:pStyle w:val="ListParagraph"/>
              <w:numPr>
                <w:ilvl w:val="0"/>
                <w:numId w:val="33"/>
              </w:num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Ligji Nr.</w:t>
            </w:r>
            <w:r w:rsidR="00DE3B44" w:rsidRPr="004979D2">
              <w:rPr>
                <w:rFonts w:ascii="Times New Roman" w:hAnsi="Times New Roman" w:cs="Times New Roman"/>
                <w:sz w:val="24"/>
                <w:szCs w:val="24"/>
              </w:rPr>
              <w:t xml:space="preserve">. 04/L-226 </w:t>
            </w:r>
            <w:r w:rsidR="003D1043" w:rsidRPr="004979D2">
              <w:rPr>
                <w:rFonts w:ascii="Times New Roman" w:hAnsi="Times New Roman" w:cs="Times New Roman"/>
                <w:sz w:val="24"/>
                <w:szCs w:val="24"/>
              </w:rPr>
              <w:t>për ndryshimin dhe plotësimin e ligjit nr. 03/l-229 për mbrojtjen e konkurrencës</w:t>
            </w:r>
          </w:p>
        </w:tc>
        <w:tc>
          <w:tcPr>
            <w:tcW w:w="2160" w:type="dxa"/>
          </w:tcPr>
          <w:p w14:paraId="7465C83E" w14:textId="77777777" w:rsidR="00DE3B44" w:rsidRPr="004979D2" w:rsidRDefault="00DE3B44"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 xml:space="preserve">Gazeta Zyrtare Nr. 88/25 </w:t>
            </w:r>
            <w:r w:rsidR="003D1043" w:rsidRPr="004979D2">
              <w:rPr>
                <w:rFonts w:ascii="Times New Roman" w:hAnsi="Times New Roman" w:cs="Times New Roman"/>
                <w:sz w:val="24"/>
                <w:szCs w:val="24"/>
              </w:rPr>
              <w:t>Nëntor</w:t>
            </w:r>
            <w:r w:rsidRPr="004979D2">
              <w:rPr>
                <w:rFonts w:ascii="Times New Roman" w:hAnsi="Times New Roman" w:cs="Times New Roman"/>
                <w:sz w:val="24"/>
                <w:szCs w:val="24"/>
              </w:rPr>
              <w:t xml:space="preserve"> 2010 -PN.</w:t>
            </w:r>
            <w:r w:rsidR="00C10934" w:rsidRPr="004979D2">
              <w:rPr>
                <w:rFonts w:ascii="Times New Roman" w:hAnsi="Times New Roman" w:cs="Times New Roman"/>
                <w:sz w:val="24"/>
                <w:szCs w:val="24"/>
              </w:rPr>
              <w:t xml:space="preserve"> </w:t>
            </w:r>
            <w:r w:rsidRPr="004979D2">
              <w:rPr>
                <w:rFonts w:ascii="Times New Roman" w:hAnsi="Times New Roman" w:cs="Times New Roman"/>
                <w:sz w:val="24"/>
                <w:szCs w:val="24"/>
              </w:rPr>
              <w:t>Nr. 17/10 Mars 2014</w:t>
            </w:r>
            <w:r w:rsidR="008B6EDC" w:rsidRPr="004979D2">
              <w:rPr>
                <w:rFonts w:ascii="Times New Roman" w:hAnsi="Times New Roman" w:cs="Times New Roman"/>
                <w:sz w:val="24"/>
                <w:szCs w:val="24"/>
              </w:rPr>
              <w:t xml:space="preserve"> (</w:t>
            </w:r>
            <w:hyperlink r:id="rId17" w:history="1">
              <w:r w:rsidR="008B6EDC" w:rsidRPr="004979D2">
                <w:rPr>
                  <w:rStyle w:val="Hyperlink"/>
                  <w:rFonts w:ascii="Times New Roman" w:hAnsi="Times New Roman" w:cs="Times New Roman"/>
                  <w:sz w:val="24"/>
                  <w:szCs w:val="24"/>
                </w:rPr>
                <w:t>https://gzk.rks-gov.net/</w:t>
              </w:r>
            </w:hyperlink>
            <w:r w:rsidR="008B6EDC" w:rsidRPr="004979D2">
              <w:rPr>
                <w:rFonts w:ascii="Times New Roman" w:hAnsi="Times New Roman" w:cs="Times New Roman"/>
                <w:sz w:val="24"/>
                <w:szCs w:val="24"/>
              </w:rPr>
              <w:t xml:space="preserve">) </w:t>
            </w:r>
          </w:p>
        </w:tc>
        <w:tc>
          <w:tcPr>
            <w:tcW w:w="2250" w:type="dxa"/>
          </w:tcPr>
          <w:p w14:paraId="7FBFD919" w14:textId="77777777" w:rsidR="00DE3B44" w:rsidRPr="004979D2" w:rsidRDefault="00DE3B44"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 xml:space="preserve">Autoriteti Kosovar i </w:t>
            </w:r>
            <w:r w:rsidR="003D1043" w:rsidRPr="004979D2">
              <w:rPr>
                <w:rFonts w:ascii="Times New Roman" w:hAnsi="Times New Roman" w:cs="Times New Roman"/>
                <w:sz w:val="24"/>
                <w:szCs w:val="24"/>
              </w:rPr>
              <w:t>Konkurrencës</w:t>
            </w:r>
            <w:r w:rsidRPr="004979D2">
              <w:rPr>
                <w:rFonts w:ascii="Times New Roman" w:hAnsi="Times New Roman" w:cs="Times New Roman"/>
                <w:sz w:val="24"/>
                <w:szCs w:val="24"/>
              </w:rPr>
              <w:t xml:space="preserve">; Ministria e </w:t>
            </w:r>
            <w:r w:rsidR="003D1043" w:rsidRPr="004979D2">
              <w:rPr>
                <w:rFonts w:ascii="Times New Roman" w:hAnsi="Times New Roman" w:cs="Times New Roman"/>
                <w:sz w:val="24"/>
                <w:szCs w:val="24"/>
              </w:rPr>
              <w:t>Tregtisë</w:t>
            </w:r>
            <w:r w:rsidRPr="004979D2">
              <w:rPr>
                <w:rFonts w:ascii="Times New Roman" w:hAnsi="Times New Roman" w:cs="Times New Roman"/>
                <w:sz w:val="24"/>
                <w:szCs w:val="24"/>
              </w:rPr>
              <w:t xml:space="preserve"> dhe </w:t>
            </w:r>
            <w:r w:rsidR="003D1043" w:rsidRPr="004979D2">
              <w:rPr>
                <w:rFonts w:ascii="Times New Roman" w:hAnsi="Times New Roman" w:cs="Times New Roman"/>
                <w:sz w:val="24"/>
                <w:szCs w:val="24"/>
              </w:rPr>
              <w:t>Industrisë</w:t>
            </w:r>
          </w:p>
        </w:tc>
        <w:tc>
          <w:tcPr>
            <w:tcW w:w="2463" w:type="dxa"/>
          </w:tcPr>
          <w:p w14:paraId="7DF8878B" w14:textId="77777777" w:rsidR="00DE3B44" w:rsidRPr="004979D2" w:rsidRDefault="00DE3B44"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 xml:space="preserve">Zbatimi dhe </w:t>
            </w:r>
            <w:r w:rsidR="003D1043" w:rsidRPr="004979D2">
              <w:rPr>
                <w:rFonts w:ascii="Times New Roman" w:hAnsi="Times New Roman" w:cs="Times New Roman"/>
                <w:sz w:val="24"/>
                <w:szCs w:val="24"/>
              </w:rPr>
              <w:t>implementimi</w:t>
            </w:r>
            <w:r w:rsidRPr="004979D2">
              <w:rPr>
                <w:rFonts w:ascii="Times New Roman" w:hAnsi="Times New Roman" w:cs="Times New Roman"/>
                <w:sz w:val="24"/>
                <w:szCs w:val="24"/>
              </w:rPr>
              <w:t xml:space="preserve"> i ligjeve dhe akteve </w:t>
            </w:r>
            <w:r w:rsidR="003D1043" w:rsidRPr="004979D2">
              <w:rPr>
                <w:rFonts w:ascii="Times New Roman" w:hAnsi="Times New Roman" w:cs="Times New Roman"/>
                <w:sz w:val="24"/>
                <w:szCs w:val="24"/>
              </w:rPr>
              <w:t>nënligjore</w:t>
            </w:r>
            <w:r w:rsidRPr="004979D2">
              <w:rPr>
                <w:rFonts w:ascii="Times New Roman" w:hAnsi="Times New Roman" w:cs="Times New Roman"/>
                <w:sz w:val="24"/>
                <w:szCs w:val="24"/>
              </w:rPr>
              <w:t xml:space="preserve"> nga AKK; MTI </w:t>
            </w:r>
            <w:r w:rsidR="003D1043" w:rsidRPr="004979D2">
              <w:rPr>
                <w:rFonts w:ascii="Times New Roman" w:hAnsi="Times New Roman" w:cs="Times New Roman"/>
                <w:sz w:val="24"/>
                <w:szCs w:val="24"/>
              </w:rPr>
              <w:t>është</w:t>
            </w:r>
            <w:r w:rsidRPr="004979D2">
              <w:rPr>
                <w:rFonts w:ascii="Times New Roman" w:hAnsi="Times New Roman" w:cs="Times New Roman"/>
                <w:sz w:val="24"/>
                <w:szCs w:val="24"/>
              </w:rPr>
              <w:t xml:space="preserve"> </w:t>
            </w:r>
            <w:proofErr w:type="spellStart"/>
            <w:r w:rsidRPr="004979D2">
              <w:rPr>
                <w:rFonts w:ascii="Times New Roman" w:hAnsi="Times New Roman" w:cs="Times New Roman"/>
                <w:sz w:val="24"/>
                <w:szCs w:val="24"/>
              </w:rPr>
              <w:t>spon</w:t>
            </w:r>
            <w:r w:rsidR="003E43EE" w:rsidRPr="004979D2">
              <w:rPr>
                <w:rFonts w:ascii="Times New Roman" w:hAnsi="Times New Roman" w:cs="Times New Roman"/>
                <w:sz w:val="24"/>
                <w:szCs w:val="24"/>
              </w:rPr>
              <w:t>s</w:t>
            </w:r>
            <w:r w:rsidRPr="004979D2">
              <w:rPr>
                <w:rFonts w:ascii="Times New Roman" w:hAnsi="Times New Roman" w:cs="Times New Roman"/>
                <w:sz w:val="24"/>
                <w:szCs w:val="24"/>
              </w:rPr>
              <w:t>or</w:t>
            </w:r>
            <w:r w:rsidR="003E43EE" w:rsidRPr="004979D2">
              <w:rPr>
                <w:rFonts w:ascii="Times New Roman" w:hAnsi="Times New Roman" w:cs="Times New Roman"/>
                <w:sz w:val="24"/>
                <w:szCs w:val="24"/>
              </w:rPr>
              <w:t>iz</w:t>
            </w:r>
            <w:r w:rsidRPr="004979D2">
              <w:rPr>
                <w:rFonts w:ascii="Times New Roman" w:hAnsi="Times New Roman" w:cs="Times New Roman"/>
                <w:sz w:val="24"/>
                <w:szCs w:val="24"/>
              </w:rPr>
              <w:t>ues</w:t>
            </w:r>
            <w:proofErr w:type="spellEnd"/>
            <w:r w:rsidRPr="004979D2">
              <w:rPr>
                <w:rFonts w:ascii="Times New Roman" w:hAnsi="Times New Roman" w:cs="Times New Roman"/>
                <w:sz w:val="24"/>
                <w:szCs w:val="24"/>
              </w:rPr>
              <w:t xml:space="preserve"> i </w:t>
            </w:r>
            <w:r w:rsidR="003D1043" w:rsidRPr="004979D2">
              <w:rPr>
                <w:rFonts w:ascii="Times New Roman" w:hAnsi="Times New Roman" w:cs="Times New Roman"/>
                <w:sz w:val="24"/>
                <w:szCs w:val="24"/>
              </w:rPr>
              <w:t>kornizës</w:t>
            </w:r>
            <w:r w:rsidRPr="004979D2">
              <w:rPr>
                <w:rFonts w:ascii="Times New Roman" w:hAnsi="Times New Roman" w:cs="Times New Roman"/>
                <w:sz w:val="24"/>
                <w:szCs w:val="24"/>
              </w:rPr>
              <w:t xml:space="preserve"> ligjore.</w:t>
            </w:r>
          </w:p>
        </w:tc>
      </w:tr>
      <w:tr w:rsidR="00DE3B44" w:rsidRPr="004979D2" w14:paraId="3AC15365" w14:textId="77777777" w:rsidTr="00B11DC4">
        <w:trPr>
          <w:jc w:val="center"/>
        </w:trPr>
        <w:tc>
          <w:tcPr>
            <w:tcW w:w="2554" w:type="dxa"/>
          </w:tcPr>
          <w:p w14:paraId="18326DBA" w14:textId="77777777" w:rsidR="00DE3B44" w:rsidRPr="004979D2" w:rsidRDefault="003D1043" w:rsidP="002B1BC6">
            <w:pPr>
              <w:pStyle w:val="ListParagraph"/>
              <w:numPr>
                <w:ilvl w:val="0"/>
                <w:numId w:val="33"/>
              </w:num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Udhëzim administrativ nr. 04/2012 për formën dhe përmbajtjen e legjitimacionit</w:t>
            </w:r>
          </w:p>
        </w:tc>
        <w:tc>
          <w:tcPr>
            <w:tcW w:w="2160" w:type="dxa"/>
          </w:tcPr>
          <w:p w14:paraId="61A83051" w14:textId="77777777" w:rsidR="00DE3B44" w:rsidRPr="004979D2" w:rsidRDefault="00DE3B44"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Gazeta Zyrtare</w:t>
            </w:r>
            <w:r w:rsidR="008B6EDC" w:rsidRPr="004979D2">
              <w:rPr>
                <w:rFonts w:ascii="Times New Roman" w:hAnsi="Times New Roman" w:cs="Times New Roman"/>
                <w:sz w:val="24"/>
                <w:szCs w:val="24"/>
              </w:rPr>
              <w:t xml:space="preserve"> (</w:t>
            </w:r>
            <w:hyperlink r:id="rId18" w:history="1">
              <w:r w:rsidR="008B6EDC" w:rsidRPr="004979D2">
                <w:rPr>
                  <w:rStyle w:val="Hyperlink"/>
                  <w:rFonts w:ascii="Times New Roman" w:hAnsi="Times New Roman" w:cs="Times New Roman"/>
                  <w:sz w:val="24"/>
                  <w:szCs w:val="24"/>
                </w:rPr>
                <w:t>https://gzk.rks-gov.net/</w:t>
              </w:r>
            </w:hyperlink>
            <w:r w:rsidR="008B6EDC" w:rsidRPr="004979D2">
              <w:rPr>
                <w:rFonts w:ascii="Times New Roman" w:hAnsi="Times New Roman" w:cs="Times New Roman"/>
                <w:sz w:val="24"/>
                <w:szCs w:val="24"/>
              </w:rPr>
              <w:t xml:space="preserve">) </w:t>
            </w:r>
          </w:p>
        </w:tc>
        <w:tc>
          <w:tcPr>
            <w:tcW w:w="2250" w:type="dxa"/>
          </w:tcPr>
          <w:p w14:paraId="0C5272AA" w14:textId="77777777" w:rsidR="00DE3B44" w:rsidRPr="004979D2" w:rsidRDefault="00DE3B44"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 xml:space="preserve">Autoriteti Kosovar i </w:t>
            </w:r>
            <w:r w:rsidR="003D1043" w:rsidRPr="004979D2">
              <w:rPr>
                <w:rFonts w:ascii="Times New Roman" w:hAnsi="Times New Roman" w:cs="Times New Roman"/>
                <w:sz w:val="24"/>
                <w:szCs w:val="24"/>
              </w:rPr>
              <w:t>Konkurrencës</w:t>
            </w:r>
            <w:r w:rsidRPr="004979D2">
              <w:rPr>
                <w:rFonts w:ascii="Times New Roman" w:hAnsi="Times New Roman" w:cs="Times New Roman"/>
                <w:sz w:val="24"/>
                <w:szCs w:val="24"/>
              </w:rPr>
              <w:t xml:space="preserve">; Ministria e </w:t>
            </w:r>
            <w:r w:rsidR="003D1043" w:rsidRPr="004979D2">
              <w:rPr>
                <w:rFonts w:ascii="Times New Roman" w:hAnsi="Times New Roman" w:cs="Times New Roman"/>
                <w:sz w:val="24"/>
                <w:szCs w:val="24"/>
              </w:rPr>
              <w:t>Tregtisë</w:t>
            </w:r>
            <w:r w:rsidRPr="004979D2">
              <w:rPr>
                <w:rFonts w:ascii="Times New Roman" w:hAnsi="Times New Roman" w:cs="Times New Roman"/>
                <w:sz w:val="24"/>
                <w:szCs w:val="24"/>
              </w:rPr>
              <w:t xml:space="preserve"> dhe </w:t>
            </w:r>
            <w:r w:rsidR="003D1043" w:rsidRPr="004979D2">
              <w:rPr>
                <w:rFonts w:ascii="Times New Roman" w:hAnsi="Times New Roman" w:cs="Times New Roman"/>
                <w:sz w:val="24"/>
                <w:szCs w:val="24"/>
              </w:rPr>
              <w:t>Industrisë</w:t>
            </w:r>
          </w:p>
        </w:tc>
        <w:tc>
          <w:tcPr>
            <w:tcW w:w="2463" w:type="dxa"/>
          </w:tcPr>
          <w:p w14:paraId="52059210" w14:textId="77777777" w:rsidR="00DE3B44" w:rsidRPr="004979D2" w:rsidRDefault="00DE3B44"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 xml:space="preserve">Zbatimi dhe </w:t>
            </w:r>
            <w:r w:rsidR="003D1043" w:rsidRPr="004979D2">
              <w:rPr>
                <w:rFonts w:ascii="Times New Roman" w:hAnsi="Times New Roman" w:cs="Times New Roman"/>
                <w:sz w:val="24"/>
                <w:szCs w:val="24"/>
              </w:rPr>
              <w:t>implementimi</w:t>
            </w:r>
            <w:r w:rsidRPr="004979D2">
              <w:rPr>
                <w:rFonts w:ascii="Times New Roman" w:hAnsi="Times New Roman" w:cs="Times New Roman"/>
                <w:sz w:val="24"/>
                <w:szCs w:val="24"/>
              </w:rPr>
              <w:t xml:space="preserve"> i ligjeve dhe akteve </w:t>
            </w:r>
            <w:r w:rsidR="003D1043" w:rsidRPr="004979D2">
              <w:rPr>
                <w:rFonts w:ascii="Times New Roman" w:hAnsi="Times New Roman" w:cs="Times New Roman"/>
                <w:sz w:val="24"/>
                <w:szCs w:val="24"/>
              </w:rPr>
              <w:t>nënligjore</w:t>
            </w:r>
            <w:r w:rsidRPr="004979D2">
              <w:rPr>
                <w:rFonts w:ascii="Times New Roman" w:hAnsi="Times New Roman" w:cs="Times New Roman"/>
                <w:sz w:val="24"/>
                <w:szCs w:val="24"/>
              </w:rPr>
              <w:t xml:space="preserve"> nga AKK; MTI </w:t>
            </w:r>
            <w:r w:rsidR="003D1043" w:rsidRPr="004979D2">
              <w:rPr>
                <w:rFonts w:ascii="Times New Roman" w:hAnsi="Times New Roman" w:cs="Times New Roman"/>
                <w:sz w:val="24"/>
                <w:szCs w:val="24"/>
              </w:rPr>
              <w:t>është</w:t>
            </w:r>
            <w:r w:rsidRPr="004979D2">
              <w:rPr>
                <w:rFonts w:ascii="Times New Roman" w:hAnsi="Times New Roman" w:cs="Times New Roman"/>
                <w:sz w:val="24"/>
                <w:szCs w:val="24"/>
              </w:rPr>
              <w:t xml:space="preserve"> </w:t>
            </w:r>
            <w:proofErr w:type="spellStart"/>
            <w:r w:rsidRPr="004979D2">
              <w:rPr>
                <w:rFonts w:ascii="Times New Roman" w:hAnsi="Times New Roman" w:cs="Times New Roman"/>
                <w:sz w:val="24"/>
                <w:szCs w:val="24"/>
              </w:rPr>
              <w:t>spon</w:t>
            </w:r>
            <w:r w:rsidR="003E43EE" w:rsidRPr="004979D2">
              <w:rPr>
                <w:rFonts w:ascii="Times New Roman" w:hAnsi="Times New Roman" w:cs="Times New Roman"/>
                <w:sz w:val="24"/>
                <w:szCs w:val="24"/>
              </w:rPr>
              <w:t>s</w:t>
            </w:r>
            <w:r w:rsidRPr="004979D2">
              <w:rPr>
                <w:rFonts w:ascii="Times New Roman" w:hAnsi="Times New Roman" w:cs="Times New Roman"/>
                <w:sz w:val="24"/>
                <w:szCs w:val="24"/>
              </w:rPr>
              <w:t>or</w:t>
            </w:r>
            <w:r w:rsidR="003E43EE" w:rsidRPr="004979D2">
              <w:rPr>
                <w:rFonts w:ascii="Times New Roman" w:hAnsi="Times New Roman" w:cs="Times New Roman"/>
                <w:sz w:val="24"/>
                <w:szCs w:val="24"/>
              </w:rPr>
              <w:t>iz</w:t>
            </w:r>
            <w:r w:rsidRPr="004979D2">
              <w:rPr>
                <w:rFonts w:ascii="Times New Roman" w:hAnsi="Times New Roman" w:cs="Times New Roman"/>
                <w:sz w:val="24"/>
                <w:szCs w:val="24"/>
              </w:rPr>
              <w:t>ues</w:t>
            </w:r>
            <w:proofErr w:type="spellEnd"/>
            <w:r w:rsidRPr="004979D2">
              <w:rPr>
                <w:rFonts w:ascii="Times New Roman" w:hAnsi="Times New Roman" w:cs="Times New Roman"/>
                <w:sz w:val="24"/>
                <w:szCs w:val="24"/>
              </w:rPr>
              <w:t xml:space="preserve"> i </w:t>
            </w:r>
            <w:r w:rsidR="003D1043" w:rsidRPr="004979D2">
              <w:rPr>
                <w:rFonts w:ascii="Times New Roman" w:hAnsi="Times New Roman" w:cs="Times New Roman"/>
                <w:sz w:val="24"/>
                <w:szCs w:val="24"/>
              </w:rPr>
              <w:t>kornizës</w:t>
            </w:r>
            <w:r w:rsidRPr="004979D2">
              <w:rPr>
                <w:rFonts w:ascii="Times New Roman" w:hAnsi="Times New Roman" w:cs="Times New Roman"/>
                <w:sz w:val="24"/>
                <w:szCs w:val="24"/>
              </w:rPr>
              <w:t xml:space="preserve"> ligjore.</w:t>
            </w:r>
          </w:p>
        </w:tc>
      </w:tr>
      <w:tr w:rsidR="008B6EDC" w:rsidRPr="004979D2" w14:paraId="6ED3C272" w14:textId="77777777" w:rsidTr="00B11DC4">
        <w:trPr>
          <w:jc w:val="center"/>
        </w:trPr>
        <w:tc>
          <w:tcPr>
            <w:tcW w:w="2554" w:type="dxa"/>
          </w:tcPr>
          <w:p w14:paraId="25A90C88" w14:textId="77777777" w:rsidR="008B6EDC" w:rsidRPr="004979D2" w:rsidRDefault="008B6EDC" w:rsidP="002B1BC6">
            <w:pPr>
              <w:pStyle w:val="ListParagraph"/>
              <w:numPr>
                <w:ilvl w:val="0"/>
                <w:numId w:val="33"/>
              </w:numPr>
              <w:spacing w:after="0" w:line="360" w:lineRule="auto"/>
              <w:rPr>
                <w:rFonts w:ascii="Times New Roman" w:hAnsi="Times New Roman" w:cs="Times New Roman"/>
                <w:sz w:val="24"/>
                <w:szCs w:val="24"/>
              </w:rPr>
            </w:pPr>
            <w:r w:rsidRPr="004979D2">
              <w:rPr>
                <w:rFonts w:ascii="Times New Roman" w:hAnsi="Times New Roman" w:cs="Times New Roman"/>
                <w:sz w:val="24"/>
                <w:szCs w:val="24"/>
              </w:rPr>
              <w:lastRenderedPageBreak/>
              <w:t>Udhëzim administrativ nr. 05/2012 për kriteret dhe kushtet për caktimin e marrëveshjeve me vlerë të vogël</w:t>
            </w:r>
          </w:p>
        </w:tc>
        <w:tc>
          <w:tcPr>
            <w:tcW w:w="2160" w:type="dxa"/>
          </w:tcPr>
          <w:p w14:paraId="615271C8"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Gazeta Zyrtare (</w:t>
            </w:r>
            <w:hyperlink r:id="rId19" w:history="1">
              <w:r w:rsidRPr="004979D2">
                <w:rPr>
                  <w:rStyle w:val="Hyperlink"/>
                  <w:rFonts w:ascii="Times New Roman" w:hAnsi="Times New Roman" w:cs="Times New Roman"/>
                  <w:sz w:val="24"/>
                  <w:szCs w:val="24"/>
                </w:rPr>
                <w:t>https://gzk.rks-gov.net/</w:t>
              </w:r>
            </w:hyperlink>
            <w:r w:rsidRPr="004979D2">
              <w:rPr>
                <w:rFonts w:ascii="Times New Roman" w:hAnsi="Times New Roman" w:cs="Times New Roman"/>
                <w:sz w:val="24"/>
                <w:szCs w:val="24"/>
              </w:rPr>
              <w:t xml:space="preserve">) </w:t>
            </w:r>
          </w:p>
        </w:tc>
        <w:tc>
          <w:tcPr>
            <w:tcW w:w="2250" w:type="dxa"/>
          </w:tcPr>
          <w:p w14:paraId="32E3DE39"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Autoriteti Kosovar i Konkurrencës; Ministria e Tregtisë dhe Industrisë</w:t>
            </w:r>
          </w:p>
        </w:tc>
        <w:tc>
          <w:tcPr>
            <w:tcW w:w="2463" w:type="dxa"/>
          </w:tcPr>
          <w:p w14:paraId="6AD0FF01"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 xml:space="preserve">Zbatimi dhe implementimi i ligjeve dhe akteve nënligjore nga AKK; MTI është </w:t>
            </w:r>
            <w:proofErr w:type="spellStart"/>
            <w:r w:rsidRPr="004979D2">
              <w:rPr>
                <w:rFonts w:ascii="Times New Roman" w:hAnsi="Times New Roman" w:cs="Times New Roman"/>
                <w:sz w:val="24"/>
                <w:szCs w:val="24"/>
              </w:rPr>
              <w:t>sponzorues</w:t>
            </w:r>
            <w:proofErr w:type="spellEnd"/>
            <w:r w:rsidRPr="004979D2">
              <w:rPr>
                <w:rFonts w:ascii="Times New Roman" w:hAnsi="Times New Roman" w:cs="Times New Roman"/>
                <w:sz w:val="24"/>
                <w:szCs w:val="24"/>
              </w:rPr>
              <w:t xml:space="preserve"> i kornizës ligjore.</w:t>
            </w:r>
          </w:p>
        </w:tc>
      </w:tr>
      <w:tr w:rsidR="008B6EDC" w:rsidRPr="004979D2" w14:paraId="765B9F55" w14:textId="77777777" w:rsidTr="00B11DC4">
        <w:trPr>
          <w:jc w:val="center"/>
        </w:trPr>
        <w:tc>
          <w:tcPr>
            <w:tcW w:w="2554" w:type="dxa"/>
          </w:tcPr>
          <w:p w14:paraId="4CD77DA2" w14:textId="77777777" w:rsidR="008B6EDC" w:rsidRPr="004979D2" w:rsidRDefault="008B6EDC" w:rsidP="002B1BC6">
            <w:pPr>
              <w:pStyle w:val="ListParagraph"/>
              <w:numPr>
                <w:ilvl w:val="0"/>
                <w:numId w:val="33"/>
              </w:num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Udhëzim administrativ nr. 06/2012 për mënyrën e paraqitjes së kërkesës dhe kriteret për konstatimin e përqendrimit</w:t>
            </w:r>
          </w:p>
        </w:tc>
        <w:tc>
          <w:tcPr>
            <w:tcW w:w="2160" w:type="dxa"/>
          </w:tcPr>
          <w:p w14:paraId="01FB9130"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Gazeta Zyrtare (</w:t>
            </w:r>
            <w:hyperlink r:id="rId20" w:history="1">
              <w:r w:rsidRPr="004979D2">
                <w:rPr>
                  <w:rStyle w:val="Hyperlink"/>
                  <w:rFonts w:ascii="Times New Roman" w:hAnsi="Times New Roman" w:cs="Times New Roman"/>
                  <w:sz w:val="24"/>
                  <w:szCs w:val="24"/>
                </w:rPr>
                <w:t>https://gzk.rks-gov.net/</w:t>
              </w:r>
            </w:hyperlink>
            <w:r w:rsidRPr="004979D2">
              <w:rPr>
                <w:rFonts w:ascii="Times New Roman" w:hAnsi="Times New Roman" w:cs="Times New Roman"/>
                <w:sz w:val="24"/>
                <w:szCs w:val="24"/>
              </w:rPr>
              <w:t xml:space="preserve">) </w:t>
            </w:r>
          </w:p>
        </w:tc>
        <w:tc>
          <w:tcPr>
            <w:tcW w:w="2250" w:type="dxa"/>
          </w:tcPr>
          <w:p w14:paraId="2AFD900B"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Autoriteti Kosovar i Konkurrencës; Ministria e Tregtisë dhe Industrisë</w:t>
            </w:r>
          </w:p>
        </w:tc>
        <w:tc>
          <w:tcPr>
            <w:tcW w:w="2463" w:type="dxa"/>
          </w:tcPr>
          <w:p w14:paraId="5C8BB2EA"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 xml:space="preserve">Zbatimi dhe implementimi i ligjeve dhe akteve nënligjore nga AKK; MTI është </w:t>
            </w:r>
            <w:proofErr w:type="spellStart"/>
            <w:r w:rsidR="003E43EE" w:rsidRPr="004979D2">
              <w:rPr>
                <w:rFonts w:ascii="Times New Roman" w:hAnsi="Times New Roman" w:cs="Times New Roman"/>
                <w:sz w:val="24"/>
                <w:szCs w:val="24"/>
              </w:rPr>
              <w:t>sponsorizues</w:t>
            </w:r>
            <w:proofErr w:type="spellEnd"/>
            <w:r w:rsidR="003E43EE" w:rsidRPr="004979D2" w:rsidDel="003E43EE">
              <w:rPr>
                <w:rFonts w:ascii="Times New Roman" w:hAnsi="Times New Roman" w:cs="Times New Roman"/>
                <w:sz w:val="24"/>
                <w:szCs w:val="24"/>
              </w:rPr>
              <w:t xml:space="preserve"> </w:t>
            </w:r>
            <w:r w:rsidRPr="004979D2">
              <w:rPr>
                <w:rFonts w:ascii="Times New Roman" w:hAnsi="Times New Roman" w:cs="Times New Roman"/>
                <w:sz w:val="24"/>
                <w:szCs w:val="24"/>
              </w:rPr>
              <w:t>i kornizës ligjore.</w:t>
            </w:r>
          </w:p>
        </w:tc>
      </w:tr>
      <w:tr w:rsidR="008B6EDC" w:rsidRPr="004979D2" w14:paraId="147D14F3" w14:textId="77777777" w:rsidTr="00B11DC4">
        <w:trPr>
          <w:jc w:val="center"/>
        </w:trPr>
        <w:tc>
          <w:tcPr>
            <w:tcW w:w="2554" w:type="dxa"/>
          </w:tcPr>
          <w:p w14:paraId="33FC8866" w14:textId="77777777" w:rsidR="008B6EDC" w:rsidRPr="004979D2" w:rsidRDefault="008B6EDC" w:rsidP="002B1BC6">
            <w:pPr>
              <w:pStyle w:val="ListParagraph"/>
              <w:numPr>
                <w:ilvl w:val="0"/>
                <w:numId w:val="33"/>
              </w:num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Udhëzim administrativ nr. 07/2012 mbi kriteret për lirimin ose uljen e masës administrative</w:t>
            </w:r>
          </w:p>
        </w:tc>
        <w:tc>
          <w:tcPr>
            <w:tcW w:w="2160" w:type="dxa"/>
          </w:tcPr>
          <w:p w14:paraId="7A098918"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Gazeta Zyrtare (</w:t>
            </w:r>
            <w:hyperlink r:id="rId21" w:history="1">
              <w:r w:rsidRPr="004979D2">
                <w:rPr>
                  <w:rStyle w:val="Hyperlink"/>
                  <w:rFonts w:ascii="Times New Roman" w:hAnsi="Times New Roman" w:cs="Times New Roman"/>
                  <w:sz w:val="24"/>
                  <w:szCs w:val="24"/>
                </w:rPr>
                <w:t>https://gzk.rks-gov.net/</w:t>
              </w:r>
            </w:hyperlink>
            <w:r w:rsidRPr="004979D2">
              <w:rPr>
                <w:rFonts w:ascii="Times New Roman" w:hAnsi="Times New Roman" w:cs="Times New Roman"/>
                <w:sz w:val="24"/>
                <w:szCs w:val="24"/>
              </w:rPr>
              <w:t xml:space="preserve">) </w:t>
            </w:r>
          </w:p>
        </w:tc>
        <w:tc>
          <w:tcPr>
            <w:tcW w:w="2250" w:type="dxa"/>
          </w:tcPr>
          <w:p w14:paraId="5ADD47F7"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Autoriteti Kosovar i Konkurrencës; Ministria e Tregtisë dhe Industrisë</w:t>
            </w:r>
          </w:p>
        </w:tc>
        <w:tc>
          <w:tcPr>
            <w:tcW w:w="2463" w:type="dxa"/>
          </w:tcPr>
          <w:p w14:paraId="761EBE72"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 xml:space="preserve">Zbatimi dhe implementimi i ligjeve dhe akteve nënligjore nga AKK; MTI është </w:t>
            </w:r>
            <w:proofErr w:type="spellStart"/>
            <w:r w:rsidR="003E43EE" w:rsidRPr="004979D2">
              <w:rPr>
                <w:rFonts w:ascii="Times New Roman" w:hAnsi="Times New Roman" w:cs="Times New Roman"/>
                <w:sz w:val="24"/>
                <w:szCs w:val="24"/>
              </w:rPr>
              <w:t>sponsorizues</w:t>
            </w:r>
            <w:proofErr w:type="spellEnd"/>
            <w:r w:rsidR="003E43EE" w:rsidRPr="004979D2" w:rsidDel="003E43EE">
              <w:rPr>
                <w:rFonts w:ascii="Times New Roman" w:hAnsi="Times New Roman" w:cs="Times New Roman"/>
                <w:sz w:val="24"/>
                <w:szCs w:val="24"/>
              </w:rPr>
              <w:t xml:space="preserve"> </w:t>
            </w:r>
            <w:r w:rsidRPr="004979D2">
              <w:rPr>
                <w:rFonts w:ascii="Times New Roman" w:hAnsi="Times New Roman" w:cs="Times New Roman"/>
                <w:sz w:val="24"/>
                <w:szCs w:val="24"/>
              </w:rPr>
              <w:t>i kornizës ligjore.</w:t>
            </w:r>
          </w:p>
        </w:tc>
      </w:tr>
      <w:tr w:rsidR="008B6EDC" w:rsidRPr="004979D2" w14:paraId="7A8EFA57" w14:textId="77777777" w:rsidTr="00B11DC4">
        <w:trPr>
          <w:jc w:val="center"/>
        </w:trPr>
        <w:tc>
          <w:tcPr>
            <w:tcW w:w="2554" w:type="dxa"/>
          </w:tcPr>
          <w:p w14:paraId="1D9979BC" w14:textId="77777777" w:rsidR="008B6EDC" w:rsidRPr="004979D2" w:rsidRDefault="008B6EDC" w:rsidP="002B1BC6">
            <w:pPr>
              <w:pStyle w:val="ListParagraph"/>
              <w:numPr>
                <w:ilvl w:val="0"/>
                <w:numId w:val="33"/>
              </w:num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Statuti i AKK nr.04-V-312</w:t>
            </w:r>
          </w:p>
        </w:tc>
        <w:tc>
          <w:tcPr>
            <w:tcW w:w="2160" w:type="dxa"/>
          </w:tcPr>
          <w:p w14:paraId="23DFD167"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Autoriteti Kosovar i Konkurrencës (</w:t>
            </w:r>
            <w:hyperlink r:id="rId22" w:history="1">
              <w:r w:rsidRPr="004979D2">
                <w:rPr>
                  <w:rStyle w:val="Hyperlink"/>
                  <w:rFonts w:ascii="Times New Roman" w:hAnsi="Times New Roman" w:cs="Times New Roman"/>
                  <w:sz w:val="24"/>
                  <w:szCs w:val="24"/>
                </w:rPr>
                <w:t>https://ak.rks-gov.net/ballina</w:t>
              </w:r>
            </w:hyperlink>
            <w:r w:rsidRPr="004979D2">
              <w:rPr>
                <w:rFonts w:ascii="Times New Roman" w:hAnsi="Times New Roman" w:cs="Times New Roman"/>
                <w:sz w:val="24"/>
                <w:szCs w:val="24"/>
              </w:rPr>
              <w:t>)</w:t>
            </w:r>
          </w:p>
        </w:tc>
        <w:tc>
          <w:tcPr>
            <w:tcW w:w="2250" w:type="dxa"/>
          </w:tcPr>
          <w:p w14:paraId="5C71276B"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Autoriteti Kosovar i Konkurrencës</w:t>
            </w:r>
          </w:p>
        </w:tc>
        <w:tc>
          <w:tcPr>
            <w:tcW w:w="2463" w:type="dxa"/>
          </w:tcPr>
          <w:p w14:paraId="7C022D40"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Zbatimi dhe implementimi</w:t>
            </w:r>
          </w:p>
        </w:tc>
      </w:tr>
      <w:tr w:rsidR="008B6EDC" w:rsidRPr="004979D2" w14:paraId="0DC5679F" w14:textId="77777777" w:rsidTr="00B11DC4">
        <w:trPr>
          <w:jc w:val="center"/>
        </w:trPr>
        <w:tc>
          <w:tcPr>
            <w:tcW w:w="2554" w:type="dxa"/>
          </w:tcPr>
          <w:p w14:paraId="5A26D2D1" w14:textId="77777777" w:rsidR="008B6EDC" w:rsidRPr="004979D2" w:rsidRDefault="003E43EE" w:rsidP="002B1BC6">
            <w:pPr>
              <w:pStyle w:val="ListParagraph"/>
              <w:numPr>
                <w:ilvl w:val="0"/>
                <w:numId w:val="33"/>
              </w:num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Udhëzimi</w:t>
            </w:r>
            <w:r w:rsidR="008B6EDC" w:rsidRPr="004979D2">
              <w:rPr>
                <w:rFonts w:ascii="Times New Roman" w:hAnsi="Times New Roman" w:cs="Times New Roman"/>
                <w:sz w:val="24"/>
                <w:szCs w:val="24"/>
              </w:rPr>
              <w:t xml:space="preserve"> Administrativ nr.02/2011 Mbi mënyrën dhe kriteret</w:t>
            </w:r>
            <w:r w:rsidR="00C17F8E" w:rsidRPr="004979D2">
              <w:rPr>
                <w:rFonts w:ascii="Times New Roman" w:hAnsi="Times New Roman" w:cs="Times New Roman"/>
                <w:sz w:val="24"/>
                <w:szCs w:val="24"/>
              </w:rPr>
              <w:t xml:space="preserve"> për </w:t>
            </w:r>
            <w:r w:rsidR="008B6EDC" w:rsidRPr="004979D2">
              <w:rPr>
                <w:rFonts w:ascii="Times New Roman" w:hAnsi="Times New Roman" w:cs="Times New Roman"/>
                <w:sz w:val="24"/>
                <w:szCs w:val="24"/>
              </w:rPr>
              <w:lastRenderedPageBreak/>
              <w:t>konstatimin E tregut përkatës-relevant</w:t>
            </w:r>
          </w:p>
        </w:tc>
        <w:tc>
          <w:tcPr>
            <w:tcW w:w="2160" w:type="dxa"/>
          </w:tcPr>
          <w:p w14:paraId="1E727578"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lastRenderedPageBreak/>
              <w:t>Autoriteti Kosovar i Konkurrencës (</w:t>
            </w:r>
            <w:hyperlink r:id="rId23" w:history="1">
              <w:r w:rsidRPr="004979D2">
                <w:rPr>
                  <w:rStyle w:val="Hyperlink"/>
                  <w:rFonts w:ascii="Times New Roman" w:hAnsi="Times New Roman" w:cs="Times New Roman"/>
                  <w:sz w:val="24"/>
                  <w:szCs w:val="24"/>
                </w:rPr>
                <w:t>https://ak.rks-gov.net/ballina</w:t>
              </w:r>
            </w:hyperlink>
            <w:r w:rsidRPr="004979D2">
              <w:rPr>
                <w:rFonts w:ascii="Times New Roman" w:hAnsi="Times New Roman" w:cs="Times New Roman"/>
                <w:sz w:val="24"/>
                <w:szCs w:val="24"/>
              </w:rPr>
              <w:t>)</w:t>
            </w:r>
          </w:p>
        </w:tc>
        <w:tc>
          <w:tcPr>
            <w:tcW w:w="2250" w:type="dxa"/>
          </w:tcPr>
          <w:p w14:paraId="28113265" w14:textId="77777777" w:rsidR="008B6EDC" w:rsidRPr="004979D2" w:rsidRDefault="008B6EDC" w:rsidP="002B1BC6">
            <w:pPr>
              <w:spacing w:after="0" w:line="360" w:lineRule="auto"/>
              <w:rPr>
                <w:rStyle w:val="CommentReference"/>
                <w:rFonts w:ascii="Times New Roman" w:hAnsi="Times New Roman" w:cs="Times New Roman"/>
                <w:sz w:val="24"/>
                <w:szCs w:val="24"/>
              </w:rPr>
            </w:pPr>
            <w:r w:rsidRPr="004979D2">
              <w:rPr>
                <w:rFonts w:ascii="Times New Roman" w:hAnsi="Times New Roman" w:cs="Times New Roman"/>
                <w:sz w:val="24"/>
                <w:szCs w:val="24"/>
              </w:rPr>
              <w:t>Autoriteti Kosovar i Konkurrencës</w:t>
            </w:r>
          </w:p>
        </w:tc>
        <w:tc>
          <w:tcPr>
            <w:tcW w:w="2463" w:type="dxa"/>
          </w:tcPr>
          <w:p w14:paraId="36C71034"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Zbatimi dhe implementimi</w:t>
            </w:r>
          </w:p>
        </w:tc>
      </w:tr>
      <w:tr w:rsidR="008B6EDC" w:rsidRPr="004979D2" w14:paraId="73149D7F" w14:textId="77777777" w:rsidTr="00B11DC4">
        <w:trPr>
          <w:jc w:val="center"/>
        </w:trPr>
        <w:tc>
          <w:tcPr>
            <w:tcW w:w="2554" w:type="dxa"/>
          </w:tcPr>
          <w:p w14:paraId="6924F23C" w14:textId="77777777" w:rsidR="008B6EDC" w:rsidRPr="004979D2" w:rsidRDefault="003E43EE" w:rsidP="002B1BC6">
            <w:pPr>
              <w:pStyle w:val="ListParagraph"/>
              <w:numPr>
                <w:ilvl w:val="0"/>
                <w:numId w:val="33"/>
              </w:numPr>
              <w:spacing w:after="0" w:line="360" w:lineRule="auto"/>
              <w:rPr>
                <w:rFonts w:ascii="Times New Roman" w:hAnsi="Times New Roman" w:cs="Times New Roman"/>
                <w:sz w:val="24"/>
                <w:szCs w:val="24"/>
              </w:rPr>
            </w:pPr>
            <w:r w:rsidRPr="004979D2">
              <w:rPr>
                <w:rFonts w:ascii="Times New Roman" w:hAnsi="Times New Roman" w:cs="Times New Roman"/>
                <w:sz w:val="24"/>
                <w:szCs w:val="24"/>
              </w:rPr>
              <w:lastRenderedPageBreak/>
              <w:t>Udhëzimi</w:t>
            </w:r>
            <w:r w:rsidR="008B6EDC" w:rsidRPr="004979D2">
              <w:rPr>
                <w:rFonts w:ascii="Times New Roman" w:hAnsi="Times New Roman" w:cs="Times New Roman"/>
                <w:sz w:val="24"/>
                <w:szCs w:val="24"/>
              </w:rPr>
              <w:t xml:space="preserve"> Administrativ nr.03/2011 mbi kriteret </w:t>
            </w:r>
            <w:r w:rsidRPr="004979D2">
              <w:rPr>
                <w:rFonts w:ascii="Times New Roman" w:hAnsi="Times New Roman" w:cs="Times New Roman"/>
                <w:sz w:val="24"/>
                <w:szCs w:val="24"/>
              </w:rPr>
              <w:t>për shqiptimin</w:t>
            </w:r>
            <w:r w:rsidR="008B6EDC" w:rsidRPr="004979D2">
              <w:rPr>
                <w:rFonts w:ascii="Times New Roman" w:hAnsi="Times New Roman" w:cs="Times New Roman"/>
                <w:sz w:val="24"/>
                <w:szCs w:val="24"/>
              </w:rPr>
              <w:t xml:space="preserve"> </w:t>
            </w:r>
            <w:r w:rsidRPr="004979D2">
              <w:rPr>
                <w:rFonts w:ascii="Times New Roman" w:hAnsi="Times New Roman" w:cs="Times New Roman"/>
                <w:sz w:val="24"/>
                <w:szCs w:val="24"/>
              </w:rPr>
              <w:t>e</w:t>
            </w:r>
            <w:r w:rsidR="008B6EDC" w:rsidRPr="004979D2">
              <w:rPr>
                <w:rFonts w:ascii="Times New Roman" w:hAnsi="Times New Roman" w:cs="Times New Roman"/>
                <w:sz w:val="24"/>
                <w:szCs w:val="24"/>
              </w:rPr>
              <w:t xml:space="preserve"> masës se sanksioneve administrative, </w:t>
            </w:r>
          </w:p>
        </w:tc>
        <w:tc>
          <w:tcPr>
            <w:tcW w:w="2160" w:type="dxa"/>
          </w:tcPr>
          <w:p w14:paraId="496DDFD5"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Autoriteti Kosovar i Konkurrencës (</w:t>
            </w:r>
            <w:hyperlink r:id="rId24" w:history="1">
              <w:r w:rsidRPr="004979D2">
                <w:rPr>
                  <w:rStyle w:val="Hyperlink"/>
                  <w:rFonts w:ascii="Times New Roman" w:hAnsi="Times New Roman" w:cs="Times New Roman"/>
                  <w:sz w:val="24"/>
                  <w:szCs w:val="24"/>
                </w:rPr>
                <w:t>https://ak.rks-gov.net/ballina</w:t>
              </w:r>
            </w:hyperlink>
            <w:r w:rsidRPr="004979D2">
              <w:rPr>
                <w:rFonts w:ascii="Times New Roman" w:hAnsi="Times New Roman" w:cs="Times New Roman"/>
                <w:sz w:val="24"/>
                <w:szCs w:val="24"/>
              </w:rPr>
              <w:t>)</w:t>
            </w:r>
          </w:p>
        </w:tc>
        <w:tc>
          <w:tcPr>
            <w:tcW w:w="2250" w:type="dxa"/>
          </w:tcPr>
          <w:p w14:paraId="1730C7C5" w14:textId="77777777" w:rsidR="008B6EDC" w:rsidRPr="004979D2" w:rsidRDefault="008B6EDC" w:rsidP="002B1BC6">
            <w:pPr>
              <w:spacing w:after="0" w:line="360" w:lineRule="auto"/>
              <w:rPr>
                <w:rStyle w:val="CommentReference"/>
                <w:rFonts w:ascii="Times New Roman" w:hAnsi="Times New Roman" w:cs="Times New Roman"/>
                <w:sz w:val="24"/>
                <w:szCs w:val="24"/>
              </w:rPr>
            </w:pPr>
            <w:r w:rsidRPr="004979D2">
              <w:rPr>
                <w:rFonts w:ascii="Times New Roman" w:hAnsi="Times New Roman" w:cs="Times New Roman"/>
                <w:sz w:val="24"/>
                <w:szCs w:val="24"/>
              </w:rPr>
              <w:t>Autoriteti Kosovar i Konkurrencës</w:t>
            </w:r>
          </w:p>
        </w:tc>
        <w:tc>
          <w:tcPr>
            <w:tcW w:w="2463" w:type="dxa"/>
          </w:tcPr>
          <w:p w14:paraId="456C9ECB"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Zbatimi dhe implementimi</w:t>
            </w:r>
          </w:p>
        </w:tc>
      </w:tr>
      <w:tr w:rsidR="008B6EDC" w:rsidRPr="004979D2" w14:paraId="153DBEA1" w14:textId="77777777" w:rsidTr="00B11DC4">
        <w:trPr>
          <w:jc w:val="center"/>
        </w:trPr>
        <w:tc>
          <w:tcPr>
            <w:tcW w:w="2554" w:type="dxa"/>
          </w:tcPr>
          <w:p w14:paraId="78EB0379" w14:textId="77777777" w:rsidR="008B6EDC" w:rsidRPr="004979D2" w:rsidRDefault="008B6EDC" w:rsidP="002B1BC6">
            <w:pPr>
              <w:pStyle w:val="ListParagraph"/>
              <w:numPr>
                <w:ilvl w:val="0"/>
                <w:numId w:val="33"/>
              </w:num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Rregullore nr.01/2016 mbi kushtet dhe Rregullat e përdorimit</w:t>
            </w:r>
            <w:r w:rsidR="008753CB" w:rsidRPr="004979D2">
              <w:rPr>
                <w:rFonts w:ascii="Times New Roman" w:hAnsi="Times New Roman" w:cs="Times New Roman"/>
                <w:sz w:val="24"/>
                <w:szCs w:val="24"/>
              </w:rPr>
              <w:t xml:space="preserve"> të </w:t>
            </w:r>
            <w:r w:rsidRPr="004979D2">
              <w:rPr>
                <w:rFonts w:ascii="Times New Roman" w:hAnsi="Times New Roman" w:cs="Times New Roman"/>
                <w:sz w:val="24"/>
                <w:szCs w:val="24"/>
              </w:rPr>
              <w:t>automjeteve zyrtare,</w:t>
            </w:r>
          </w:p>
        </w:tc>
        <w:tc>
          <w:tcPr>
            <w:tcW w:w="2160" w:type="dxa"/>
          </w:tcPr>
          <w:p w14:paraId="6AF1405A"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Autoriteti Kosovar i Konkurrencës (</w:t>
            </w:r>
            <w:hyperlink r:id="rId25" w:history="1">
              <w:r w:rsidRPr="004979D2">
                <w:rPr>
                  <w:rStyle w:val="Hyperlink"/>
                  <w:rFonts w:ascii="Times New Roman" w:hAnsi="Times New Roman" w:cs="Times New Roman"/>
                  <w:sz w:val="24"/>
                  <w:szCs w:val="24"/>
                </w:rPr>
                <w:t>https://ak.rks-gov.net/ballina</w:t>
              </w:r>
            </w:hyperlink>
            <w:r w:rsidRPr="004979D2">
              <w:rPr>
                <w:rFonts w:ascii="Times New Roman" w:hAnsi="Times New Roman" w:cs="Times New Roman"/>
                <w:sz w:val="24"/>
                <w:szCs w:val="24"/>
              </w:rPr>
              <w:t>)</w:t>
            </w:r>
          </w:p>
        </w:tc>
        <w:tc>
          <w:tcPr>
            <w:tcW w:w="2250" w:type="dxa"/>
          </w:tcPr>
          <w:p w14:paraId="443E9F3A" w14:textId="77777777" w:rsidR="008B6EDC" w:rsidRPr="004979D2" w:rsidRDefault="008B6EDC" w:rsidP="002B1BC6">
            <w:pPr>
              <w:spacing w:after="0" w:line="360" w:lineRule="auto"/>
              <w:rPr>
                <w:rStyle w:val="CommentReference"/>
                <w:rFonts w:ascii="Times New Roman" w:hAnsi="Times New Roman" w:cs="Times New Roman"/>
                <w:sz w:val="24"/>
                <w:szCs w:val="24"/>
              </w:rPr>
            </w:pPr>
            <w:r w:rsidRPr="004979D2">
              <w:rPr>
                <w:rFonts w:ascii="Times New Roman" w:hAnsi="Times New Roman" w:cs="Times New Roman"/>
                <w:sz w:val="24"/>
                <w:szCs w:val="24"/>
              </w:rPr>
              <w:t>Autoriteti Kosovar i Konkurrencës</w:t>
            </w:r>
          </w:p>
        </w:tc>
        <w:tc>
          <w:tcPr>
            <w:tcW w:w="2463" w:type="dxa"/>
          </w:tcPr>
          <w:p w14:paraId="316F4884"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Zbatimi dhe implementimi</w:t>
            </w:r>
          </w:p>
        </w:tc>
      </w:tr>
      <w:tr w:rsidR="008B6EDC" w:rsidRPr="004979D2" w14:paraId="7738C8D2" w14:textId="77777777" w:rsidTr="00B11DC4">
        <w:trPr>
          <w:jc w:val="center"/>
        </w:trPr>
        <w:tc>
          <w:tcPr>
            <w:tcW w:w="2554" w:type="dxa"/>
          </w:tcPr>
          <w:p w14:paraId="7CC6F5AF" w14:textId="77777777" w:rsidR="008B6EDC" w:rsidRPr="004979D2" w:rsidRDefault="008B6EDC" w:rsidP="002B1BC6">
            <w:pPr>
              <w:pStyle w:val="ListParagraph"/>
              <w:numPr>
                <w:ilvl w:val="0"/>
                <w:numId w:val="33"/>
              </w:num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 xml:space="preserve">Rregullore nr.02/2016 e punës se Komisionit </w:t>
            </w:r>
            <w:proofErr w:type="spellStart"/>
            <w:r w:rsidR="008753CB" w:rsidRPr="004979D2">
              <w:rPr>
                <w:rFonts w:ascii="Times New Roman" w:hAnsi="Times New Roman" w:cs="Times New Roman"/>
                <w:sz w:val="24"/>
                <w:szCs w:val="24"/>
              </w:rPr>
              <w:t>të</w:t>
            </w:r>
            <w:r w:rsidRPr="004979D2">
              <w:rPr>
                <w:rFonts w:ascii="Times New Roman" w:hAnsi="Times New Roman" w:cs="Times New Roman"/>
                <w:sz w:val="24"/>
                <w:szCs w:val="24"/>
              </w:rPr>
              <w:t>e</w:t>
            </w:r>
            <w:proofErr w:type="spellEnd"/>
            <w:r w:rsidRPr="004979D2">
              <w:rPr>
                <w:rFonts w:ascii="Times New Roman" w:hAnsi="Times New Roman" w:cs="Times New Roman"/>
                <w:sz w:val="24"/>
                <w:szCs w:val="24"/>
              </w:rPr>
              <w:t xml:space="preserve"> Autoritetit Kosovare</w:t>
            </w:r>
            <w:r w:rsidR="008753CB" w:rsidRPr="004979D2">
              <w:rPr>
                <w:rFonts w:ascii="Times New Roman" w:hAnsi="Times New Roman" w:cs="Times New Roman"/>
                <w:sz w:val="24"/>
                <w:szCs w:val="24"/>
              </w:rPr>
              <w:t xml:space="preserve"> të </w:t>
            </w:r>
            <w:proofErr w:type="spellStart"/>
            <w:r w:rsidR="008753CB" w:rsidRPr="004979D2">
              <w:rPr>
                <w:rFonts w:ascii="Times New Roman" w:hAnsi="Times New Roman" w:cs="Times New Roman"/>
                <w:sz w:val="24"/>
                <w:szCs w:val="24"/>
              </w:rPr>
              <w:t>të</w:t>
            </w:r>
            <w:proofErr w:type="spellEnd"/>
            <w:r w:rsidR="008753CB" w:rsidRPr="004979D2">
              <w:rPr>
                <w:rFonts w:ascii="Times New Roman" w:hAnsi="Times New Roman" w:cs="Times New Roman"/>
                <w:sz w:val="24"/>
                <w:szCs w:val="24"/>
              </w:rPr>
              <w:t xml:space="preserve"> </w:t>
            </w:r>
            <w:r w:rsidRPr="004979D2">
              <w:rPr>
                <w:rFonts w:ascii="Times New Roman" w:hAnsi="Times New Roman" w:cs="Times New Roman"/>
                <w:sz w:val="24"/>
                <w:szCs w:val="24"/>
              </w:rPr>
              <w:t>Konkurrencës,</w:t>
            </w:r>
          </w:p>
        </w:tc>
        <w:tc>
          <w:tcPr>
            <w:tcW w:w="2160" w:type="dxa"/>
          </w:tcPr>
          <w:p w14:paraId="77CC3A8C"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Autoriteti Kosovar i Konkurrencës (</w:t>
            </w:r>
            <w:hyperlink r:id="rId26" w:history="1">
              <w:r w:rsidRPr="004979D2">
                <w:rPr>
                  <w:rStyle w:val="Hyperlink"/>
                  <w:rFonts w:ascii="Times New Roman" w:hAnsi="Times New Roman" w:cs="Times New Roman"/>
                  <w:sz w:val="24"/>
                  <w:szCs w:val="24"/>
                </w:rPr>
                <w:t>https://ak.rks-gov.net/ballina</w:t>
              </w:r>
            </w:hyperlink>
            <w:r w:rsidRPr="004979D2">
              <w:rPr>
                <w:rFonts w:ascii="Times New Roman" w:hAnsi="Times New Roman" w:cs="Times New Roman"/>
                <w:sz w:val="24"/>
                <w:szCs w:val="24"/>
              </w:rPr>
              <w:t>)</w:t>
            </w:r>
          </w:p>
        </w:tc>
        <w:tc>
          <w:tcPr>
            <w:tcW w:w="2250" w:type="dxa"/>
          </w:tcPr>
          <w:p w14:paraId="70EF165A" w14:textId="77777777" w:rsidR="008B6EDC" w:rsidRPr="004979D2" w:rsidRDefault="008B6EDC" w:rsidP="002B1BC6">
            <w:pPr>
              <w:spacing w:after="0" w:line="360" w:lineRule="auto"/>
              <w:rPr>
                <w:rStyle w:val="CommentReference"/>
                <w:rFonts w:ascii="Times New Roman" w:hAnsi="Times New Roman" w:cs="Times New Roman"/>
                <w:sz w:val="24"/>
                <w:szCs w:val="24"/>
              </w:rPr>
            </w:pPr>
            <w:r w:rsidRPr="004979D2">
              <w:rPr>
                <w:rFonts w:ascii="Times New Roman" w:hAnsi="Times New Roman" w:cs="Times New Roman"/>
                <w:sz w:val="24"/>
                <w:szCs w:val="24"/>
              </w:rPr>
              <w:t>Autoriteti Kosovar i Konkurrencës</w:t>
            </w:r>
          </w:p>
        </w:tc>
        <w:tc>
          <w:tcPr>
            <w:tcW w:w="2463" w:type="dxa"/>
          </w:tcPr>
          <w:p w14:paraId="1F396086"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Zbatimi dhe implementimi</w:t>
            </w:r>
          </w:p>
        </w:tc>
      </w:tr>
      <w:tr w:rsidR="008B6EDC" w:rsidRPr="004979D2" w14:paraId="203F95A7" w14:textId="77777777" w:rsidTr="00B11DC4">
        <w:trPr>
          <w:jc w:val="center"/>
        </w:trPr>
        <w:tc>
          <w:tcPr>
            <w:tcW w:w="2554" w:type="dxa"/>
          </w:tcPr>
          <w:p w14:paraId="587D1FD1" w14:textId="77777777" w:rsidR="008B6EDC" w:rsidRPr="004979D2" w:rsidRDefault="008B6EDC" w:rsidP="002B1BC6">
            <w:pPr>
              <w:pStyle w:val="ListParagraph"/>
              <w:numPr>
                <w:ilvl w:val="0"/>
                <w:numId w:val="33"/>
              </w:num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 xml:space="preserve">Rregullore 01/2017 </w:t>
            </w:r>
            <w:r w:rsidR="008753CB" w:rsidRPr="004979D2">
              <w:rPr>
                <w:rFonts w:ascii="Times New Roman" w:hAnsi="Times New Roman" w:cs="Times New Roman"/>
                <w:sz w:val="24"/>
                <w:szCs w:val="24"/>
              </w:rPr>
              <w:t>për</w:t>
            </w:r>
            <w:r w:rsidRPr="004979D2">
              <w:rPr>
                <w:rFonts w:ascii="Times New Roman" w:hAnsi="Times New Roman" w:cs="Times New Roman"/>
                <w:sz w:val="24"/>
                <w:szCs w:val="24"/>
              </w:rPr>
              <w:t xml:space="preserve"> procedurat hetimore</w:t>
            </w:r>
            <w:r w:rsidR="008753CB" w:rsidRPr="004979D2">
              <w:rPr>
                <w:rFonts w:ascii="Times New Roman" w:hAnsi="Times New Roman" w:cs="Times New Roman"/>
                <w:sz w:val="24"/>
                <w:szCs w:val="24"/>
              </w:rPr>
              <w:t xml:space="preserve"> të </w:t>
            </w:r>
            <w:r w:rsidRPr="004979D2">
              <w:rPr>
                <w:rFonts w:ascii="Times New Roman" w:hAnsi="Times New Roman" w:cs="Times New Roman"/>
                <w:sz w:val="24"/>
                <w:szCs w:val="24"/>
              </w:rPr>
              <w:t>AKK,</w:t>
            </w:r>
          </w:p>
        </w:tc>
        <w:tc>
          <w:tcPr>
            <w:tcW w:w="2160" w:type="dxa"/>
          </w:tcPr>
          <w:p w14:paraId="533A74C2"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Autoriteti Kosovar i Konkurrencës (</w:t>
            </w:r>
            <w:hyperlink r:id="rId27" w:history="1">
              <w:r w:rsidRPr="004979D2">
                <w:rPr>
                  <w:rStyle w:val="Hyperlink"/>
                  <w:rFonts w:ascii="Times New Roman" w:hAnsi="Times New Roman" w:cs="Times New Roman"/>
                  <w:sz w:val="24"/>
                  <w:szCs w:val="24"/>
                </w:rPr>
                <w:t>https://ak.rks-gov.net/ballina</w:t>
              </w:r>
            </w:hyperlink>
            <w:r w:rsidRPr="004979D2">
              <w:rPr>
                <w:rFonts w:ascii="Times New Roman" w:hAnsi="Times New Roman" w:cs="Times New Roman"/>
                <w:sz w:val="24"/>
                <w:szCs w:val="24"/>
              </w:rPr>
              <w:t>)</w:t>
            </w:r>
          </w:p>
        </w:tc>
        <w:tc>
          <w:tcPr>
            <w:tcW w:w="2250" w:type="dxa"/>
          </w:tcPr>
          <w:p w14:paraId="049E1C88" w14:textId="77777777" w:rsidR="008B6EDC" w:rsidRPr="004979D2" w:rsidRDefault="008B6EDC" w:rsidP="002B1BC6">
            <w:pPr>
              <w:spacing w:after="0" w:line="360" w:lineRule="auto"/>
              <w:rPr>
                <w:rStyle w:val="CommentReference"/>
                <w:rFonts w:ascii="Times New Roman" w:hAnsi="Times New Roman" w:cs="Times New Roman"/>
                <w:sz w:val="24"/>
                <w:szCs w:val="24"/>
              </w:rPr>
            </w:pPr>
            <w:r w:rsidRPr="004979D2">
              <w:rPr>
                <w:rFonts w:ascii="Times New Roman" w:hAnsi="Times New Roman" w:cs="Times New Roman"/>
                <w:sz w:val="24"/>
                <w:szCs w:val="24"/>
              </w:rPr>
              <w:t>Autoriteti Kosovar i Konkurrencës</w:t>
            </w:r>
          </w:p>
        </w:tc>
        <w:tc>
          <w:tcPr>
            <w:tcW w:w="2463" w:type="dxa"/>
          </w:tcPr>
          <w:p w14:paraId="40B95005"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Zbatimi dhe implementimi</w:t>
            </w:r>
          </w:p>
        </w:tc>
      </w:tr>
      <w:tr w:rsidR="008B6EDC" w:rsidRPr="004979D2" w14:paraId="6E6BA90D" w14:textId="77777777" w:rsidTr="00B11DC4">
        <w:trPr>
          <w:jc w:val="center"/>
        </w:trPr>
        <w:tc>
          <w:tcPr>
            <w:tcW w:w="2554" w:type="dxa"/>
          </w:tcPr>
          <w:p w14:paraId="425CE63C" w14:textId="77777777" w:rsidR="008B6EDC" w:rsidRPr="004979D2" w:rsidRDefault="008B6EDC" w:rsidP="002B1BC6">
            <w:pPr>
              <w:pStyle w:val="ListParagraph"/>
              <w:numPr>
                <w:ilvl w:val="0"/>
                <w:numId w:val="33"/>
              </w:numPr>
              <w:spacing w:after="0" w:line="360" w:lineRule="auto"/>
              <w:rPr>
                <w:rFonts w:ascii="Times New Roman" w:hAnsi="Times New Roman" w:cs="Times New Roman"/>
                <w:sz w:val="24"/>
                <w:szCs w:val="24"/>
              </w:rPr>
            </w:pPr>
            <w:proofErr w:type="spellStart"/>
            <w:r w:rsidRPr="004979D2">
              <w:rPr>
                <w:rFonts w:ascii="Times New Roman" w:hAnsi="Times New Roman" w:cs="Times New Roman"/>
                <w:sz w:val="24"/>
                <w:szCs w:val="24"/>
              </w:rPr>
              <w:t>Udhezimi</w:t>
            </w:r>
            <w:proofErr w:type="spellEnd"/>
            <w:r w:rsidRPr="004979D2">
              <w:rPr>
                <w:rFonts w:ascii="Times New Roman" w:hAnsi="Times New Roman" w:cs="Times New Roman"/>
                <w:sz w:val="24"/>
                <w:szCs w:val="24"/>
              </w:rPr>
              <w:t xml:space="preserve"> Administrativ nr.02/2017</w:t>
            </w:r>
            <w:r w:rsidR="00C17F8E" w:rsidRPr="004979D2">
              <w:rPr>
                <w:rFonts w:ascii="Times New Roman" w:hAnsi="Times New Roman" w:cs="Times New Roman"/>
                <w:sz w:val="24"/>
                <w:szCs w:val="24"/>
              </w:rPr>
              <w:t xml:space="preserve"> për </w:t>
            </w:r>
            <w:r w:rsidRPr="004979D2">
              <w:rPr>
                <w:rFonts w:ascii="Times New Roman" w:hAnsi="Times New Roman" w:cs="Times New Roman"/>
                <w:sz w:val="24"/>
                <w:szCs w:val="24"/>
              </w:rPr>
              <w:t>përjashtimin grupor</w:t>
            </w:r>
            <w:r w:rsidR="008753CB" w:rsidRPr="004979D2">
              <w:rPr>
                <w:rFonts w:ascii="Times New Roman" w:hAnsi="Times New Roman" w:cs="Times New Roman"/>
                <w:sz w:val="24"/>
                <w:szCs w:val="24"/>
              </w:rPr>
              <w:t xml:space="preserve"> të </w:t>
            </w:r>
            <w:r w:rsidRPr="004979D2">
              <w:rPr>
                <w:rFonts w:ascii="Times New Roman" w:hAnsi="Times New Roman" w:cs="Times New Roman"/>
                <w:sz w:val="24"/>
                <w:szCs w:val="24"/>
              </w:rPr>
              <w:t xml:space="preserve">Marrëveshjeve horizontale </w:t>
            </w:r>
            <w:r w:rsidRPr="004979D2">
              <w:rPr>
                <w:rFonts w:ascii="Times New Roman" w:hAnsi="Times New Roman" w:cs="Times New Roman"/>
                <w:sz w:val="24"/>
                <w:szCs w:val="24"/>
              </w:rPr>
              <w:lastRenderedPageBreak/>
              <w:t>ndërmjet Ndërmarrësve,</w:t>
            </w:r>
          </w:p>
        </w:tc>
        <w:tc>
          <w:tcPr>
            <w:tcW w:w="2160" w:type="dxa"/>
          </w:tcPr>
          <w:p w14:paraId="00F958FA"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lastRenderedPageBreak/>
              <w:t>Autoriteti Kosovar i Konkurrencës (</w:t>
            </w:r>
            <w:hyperlink r:id="rId28" w:history="1">
              <w:r w:rsidRPr="004979D2">
                <w:rPr>
                  <w:rStyle w:val="Hyperlink"/>
                  <w:rFonts w:ascii="Times New Roman" w:hAnsi="Times New Roman" w:cs="Times New Roman"/>
                  <w:sz w:val="24"/>
                  <w:szCs w:val="24"/>
                </w:rPr>
                <w:t>https://ak.rks-gov.net/ballina</w:t>
              </w:r>
            </w:hyperlink>
            <w:r w:rsidRPr="004979D2">
              <w:rPr>
                <w:rFonts w:ascii="Times New Roman" w:hAnsi="Times New Roman" w:cs="Times New Roman"/>
                <w:sz w:val="24"/>
                <w:szCs w:val="24"/>
              </w:rPr>
              <w:t>)</w:t>
            </w:r>
          </w:p>
        </w:tc>
        <w:tc>
          <w:tcPr>
            <w:tcW w:w="2250" w:type="dxa"/>
          </w:tcPr>
          <w:p w14:paraId="78D725BD" w14:textId="77777777" w:rsidR="008B6EDC" w:rsidRPr="004979D2" w:rsidRDefault="008B6EDC" w:rsidP="002B1BC6">
            <w:pPr>
              <w:spacing w:after="0" w:line="360" w:lineRule="auto"/>
              <w:rPr>
                <w:rStyle w:val="CommentReference"/>
                <w:rFonts w:ascii="Times New Roman" w:hAnsi="Times New Roman" w:cs="Times New Roman"/>
                <w:sz w:val="24"/>
                <w:szCs w:val="24"/>
              </w:rPr>
            </w:pPr>
            <w:r w:rsidRPr="004979D2">
              <w:rPr>
                <w:rFonts w:ascii="Times New Roman" w:hAnsi="Times New Roman" w:cs="Times New Roman"/>
                <w:sz w:val="24"/>
                <w:szCs w:val="24"/>
              </w:rPr>
              <w:t>Autoriteti Kosovar i Konkurrencës</w:t>
            </w:r>
          </w:p>
        </w:tc>
        <w:tc>
          <w:tcPr>
            <w:tcW w:w="2463" w:type="dxa"/>
          </w:tcPr>
          <w:p w14:paraId="70CFC955"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Zbatimi dhe implementimi</w:t>
            </w:r>
          </w:p>
        </w:tc>
      </w:tr>
      <w:tr w:rsidR="008B6EDC" w:rsidRPr="004979D2" w14:paraId="0D6DEB45" w14:textId="77777777" w:rsidTr="00B11DC4">
        <w:trPr>
          <w:jc w:val="center"/>
        </w:trPr>
        <w:tc>
          <w:tcPr>
            <w:tcW w:w="2554" w:type="dxa"/>
          </w:tcPr>
          <w:p w14:paraId="33415C92" w14:textId="77777777" w:rsidR="008B6EDC" w:rsidRPr="004979D2" w:rsidRDefault="008B6EDC" w:rsidP="002B1BC6">
            <w:pPr>
              <w:pStyle w:val="ListParagraph"/>
              <w:numPr>
                <w:ilvl w:val="0"/>
                <w:numId w:val="33"/>
              </w:numPr>
              <w:spacing w:after="0" w:line="360" w:lineRule="auto"/>
              <w:rPr>
                <w:rFonts w:ascii="Times New Roman" w:hAnsi="Times New Roman" w:cs="Times New Roman"/>
                <w:sz w:val="24"/>
                <w:szCs w:val="24"/>
              </w:rPr>
            </w:pPr>
            <w:proofErr w:type="spellStart"/>
            <w:r w:rsidRPr="004979D2">
              <w:rPr>
                <w:rFonts w:ascii="Times New Roman" w:hAnsi="Times New Roman" w:cs="Times New Roman"/>
                <w:sz w:val="24"/>
                <w:szCs w:val="24"/>
              </w:rPr>
              <w:lastRenderedPageBreak/>
              <w:t>Udhezimi</w:t>
            </w:r>
            <w:proofErr w:type="spellEnd"/>
            <w:r w:rsidRPr="004979D2">
              <w:rPr>
                <w:rFonts w:ascii="Times New Roman" w:hAnsi="Times New Roman" w:cs="Times New Roman"/>
                <w:sz w:val="24"/>
                <w:szCs w:val="24"/>
              </w:rPr>
              <w:t xml:space="preserve"> Administrativ nr.03/2017 mbi përjashtimet grupore</w:t>
            </w:r>
            <w:r w:rsidR="008753CB" w:rsidRPr="004979D2">
              <w:rPr>
                <w:rFonts w:ascii="Times New Roman" w:hAnsi="Times New Roman" w:cs="Times New Roman"/>
                <w:sz w:val="24"/>
                <w:szCs w:val="24"/>
              </w:rPr>
              <w:t xml:space="preserve"> të </w:t>
            </w:r>
            <w:r w:rsidRPr="004979D2">
              <w:rPr>
                <w:rFonts w:ascii="Times New Roman" w:hAnsi="Times New Roman" w:cs="Times New Roman"/>
                <w:sz w:val="24"/>
                <w:szCs w:val="24"/>
              </w:rPr>
              <w:t>marrëveshjeve vertikale</w:t>
            </w:r>
            <w:r w:rsidR="008753CB" w:rsidRPr="004979D2">
              <w:rPr>
                <w:rFonts w:ascii="Times New Roman" w:hAnsi="Times New Roman" w:cs="Times New Roman"/>
                <w:sz w:val="24"/>
                <w:szCs w:val="24"/>
              </w:rPr>
              <w:t xml:space="preserve"> të </w:t>
            </w:r>
            <w:r w:rsidRPr="004979D2">
              <w:rPr>
                <w:rFonts w:ascii="Times New Roman" w:hAnsi="Times New Roman" w:cs="Times New Roman"/>
                <w:sz w:val="24"/>
                <w:szCs w:val="24"/>
              </w:rPr>
              <w:t>ndërmarrësve,</w:t>
            </w:r>
          </w:p>
        </w:tc>
        <w:tc>
          <w:tcPr>
            <w:tcW w:w="2160" w:type="dxa"/>
          </w:tcPr>
          <w:p w14:paraId="6D8928D3"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Autoriteti Kosovar i Konkurrencës (</w:t>
            </w:r>
            <w:hyperlink r:id="rId29" w:history="1">
              <w:r w:rsidRPr="004979D2">
                <w:rPr>
                  <w:rStyle w:val="Hyperlink"/>
                  <w:rFonts w:ascii="Times New Roman" w:hAnsi="Times New Roman" w:cs="Times New Roman"/>
                  <w:sz w:val="24"/>
                  <w:szCs w:val="24"/>
                </w:rPr>
                <w:t>https://ak.rks-gov.net/ballina</w:t>
              </w:r>
            </w:hyperlink>
            <w:r w:rsidRPr="004979D2">
              <w:rPr>
                <w:rFonts w:ascii="Times New Roman" w:hAnsi="Times New Roman" w:cs="Times New Roman"/>
                <w:sz w:val="24"/>
                <w:szCs w:val="24"/>
              </w:rPr>
              <w:t>)</w:t>
            </w:r>
          </w:p>
        </w:tc>
        <w:tc>
          <w:tcPr>
            <w:tcW w:w="2250" w:type="dxa"/>
          </w:tcPr>
          <w:p w14:paraId="41F0140C" w14:textId="77777777" w:rsidR="008B6EDC" w:rsidRPr="004979D2" w:rsidRDefault="008B6EDC" w:rsidP="002B1BC6">
            <w:pPr>
              <w:spacing w:after="0" w:line="360" w:lineRule="auto"/>
              <w:rPr>
                <w:rStyle w:val="CommentReference"/>
                <w:rFonts w:ascii="Times New Roman" w:hAnsi="Times New Roman" w:cs="Times New Roman"/>
                <w:sz w:val="24"/>
                <w:szCs w:val="24"/>
              </w:rPr>
            </w:pPr>
            <w:r w:rsidRPr="004979D2">
              <w:rPr>
                <w:rFonts w:ascii="Times New Roman" w:hAnsi="Times New Roman" w:cs="Times New Roman"/>
                <w:sz w:val="24"/>
                <w:szCs w:val="24"/>
              </w:rPr>
              <w:t>Autoriteti Kosovar i Konkurrencës</w:t>
            </w:r>
          </w:p>
        </w:tc>
        <w:tc>
          <w:tcPr>
            <w:tcW w:w="2463" w:type="dxa"/>
          </w:tcPr>
          <w:p w14:paraId="323DF1B1"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Zbatimi dhe implementimi</w:t>
            </w:r>
          </w:p>
        </w:tc>
      </w:tr>
      <w:tr w:rsidR="008B6EDC" w:rsidRPr="004979D2" w14:paraId="46C266AC" w14:textId="77777777" w:rsidTr="00B11DC4">
        <w:trPr>
          <w:jc w:val="center"/>
        </w:trPr>
        <w:tc>
          <w:tcPr>
            <w:tcW w:w="2554" w:type="dxa"/>
          </w:tcPr>
          <w:p w14:paraId="4CE772FC" w14:textId="77777777" w:rsidR="008B6EDC" w:rsidRPr="004979D2" w:rsidRDefault="008B6EDC" w:rsidP="002B1BC6">
            <w:pPr>
              <w:pStyle w:val="ListParagraph"/>
              <w:numPr>
                <w:ilvl w:val="0"/>
                <w:numId w:val="33"/>
              </w:numPr>
              <w:spacing w:after="0" w:line="360" w:lineRule="auto"/>
              <w:rPr>
                <w:rFonts w:ascii="Times New Roman" w:hAnsi="Times New Roman" w:cs="Times New Roman"/>
                <w:sz w:val="24"/>
                <w:szCs w:val="24"/>
              </w:rPr>
            </w:pPr>
            <w:proofErr w:type="spellStart"/>
            <w:r w:rsidRPr="004979D2">
              <w:rPr>
                <w:rFonts w:ascii="Times New Roman" w:hAnsi="Times New Roman" w:cs="Times New Roman"/>
                <w:sz w:val="24"/>
                <w:szCs w:val="24"/>
              </w:rPr>
              <w:t>Udhezimi</w:t>
            </w:r>
            <w:proofErr w:type="spellEnd"/>
            <w:r w:rsidRPr="004979D2">
              <w:rPr>
                <w:rFonts w:ascii="Times New Roman" w:hAnsi="Times New Roman" w:cs="Times New Roman"/>
                <w:sz w:val="24"/>
                <w:szCs w:val="24"/>
              </w:rPr>
              <w:t xml:space="preserve"> Administrativ nr.04/2017 </w:t>
            </w:r>
            <w:r w:rsidR="008753CB" w:rsidRPr="004979D2">
              <w:rPr>
                <w:rFonts w:ascii="Times New Roman" w:hAnsi="Times New Roman" w:cs="Times New Roman"/>
                <w:sz w:val="24"/>
                <w:szCs w:val="24"/>
              </w:rPr>
              <w:t>për</w:t>
            </w:r>
            <w:r w:rsidRPr="004979D2">
              <w:rPr>
                <w:rFonts w:ascii="Times New Roman" w:hAnsi="Times New Roman" w:cs="Times New Roman"/>
                <w:sz w:val="24"/>
                <w:szCs w:val="24"/>
              </w:rPr>
              <w:t xml:space="preserve"> përjashtimet grupore</w:t>
            </w:r>
            <w:r w:rsidR="008753CB" w:rsidRPr="004979D2">
              <w:rPr>
                <w:rFonts w:ascii="Times New Roman" w:hAnsi="Times New Roman" w:cs="Times New Roman"/>
                <w:sz w:val="24"/>
                <w:szCs w:val="24"/>
              </w:rPr>
              <w:t xml:space="preserve"> të </w:t>
            </w:r>
            <w:r w:rsidRPr="004979D2">
              <w:rPr>
                <w:rFonts w:ascii="Times New Roman" w:hAnsi="Times New Roman" w:cs="Times New Roman"/>
                <w:sz w:val="24"/>
                <w:szCs w:val="24"/>
              </w:rPr>
              <w:t>Marrëveshjeve ne sektorin e transportit,</w:t>
            </w:r>
          </w:p>
        </w:tc>
        <w:tc>
          <w:tcPr>
            <w:tcW w:w="2160" w:type="dxa"/>
          </w:tcPr>
          <w:p w14:paraId="6632FADF"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Autoriteti Kosovar i Konkurrencës (</w:t>
            </w:r>
            <w:hyperlink r:id="rId30" w:history="1">
              <w:r w:rsidRPr="004979D2">
                <w:rPr>
                  <w:rStyle w:val="Hyperlink"/>
                  <w:rFonts w:ascii="Times New Roman" w:hAnsi="Times New Roman" w:cs="Times New Roman"/>
                  <w:sz w:val="24"/>
                  <w:szCs w:val="24"/>
                </w:rPr>
                <w:t>https://ak.rks-gov.net/ballina</w:t>
              </w:r>
            </w:hyperlink>
            <w:r w:rsidRPr="004979D2">
              <w:rPr>
                <w:rFonts w:ascii="Times New Roman" w:hAnsi="Times New Roman" w:cs="Times New Roman"/>
                <w:sz w:val="24"/>
                <w:szCs w:val="24"/>
              </w:rPr>
              <w:t>)</w:t>
            </w:r>
          </w:p>
        </w:tc>
        <w:tc>
          <w:tcPr>
            <w:tcW w:w="2250" w:type="dxa"/>
          </w:tcPr>
          <w:p w14:paraId="4CCF283C" w14:textId="77777777" w:rsidR="008B6EDC" w:rsidRPr="004979D2" w:rsidRDefault="008B6EDC" w:rsidP="002B1BC6">
            <w:pPr>
              <w:spacing w:after="0" w:line="360" w:lineRule="auto"/>
              <w:rPr>
                <w:rStyle w:val="CommentReference"/>
                <w:rFonts w:ascii="Times New Roman" w:hAnsi="Times New Roman" w:cs="Times New Roman"/>
                <w:sz w:val="24"/>
                <w:szCs w:val="24"/>
              </w:rPr>
            </w:pPr>
            <w:r w:rsidRPr="004979D2">
              <w:rPr>
                <w:rFonts w:ascii="Times New Roman" w:hAnsi="Times New Roman" w:cs="Times New Roman"/>
                <w:sz w:val="24"/>
                <w:szCs w:val="24"/>
              </w:rPr>
              <w:t>Autoriteti Kosovar i Konkurrencës</w:t>
            </w:r>
          </w:p>
        </w:tc>
        <w:tc>
          <w:tcPr>
            <w:tcW w:w="2463" w:type="dxa"/>
          </w:tcPr>
          <w:p w14:paraId="42475CDD"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Zbatimi dhe implementimi</w:t>
            </w:r>
          </w:p>
        </w:tc>
      </w:tr>
      <w:tr w:rsidR="008B6EDC" w:rsidRPr="004979D2" w14:paraId="6C2F0972" w14:textId="77777777" w:rsidTr="00B11DC4">
        <w:trPr>
          <w:jc w:val="center"/>
        </w:trPr>
        <w:tc>
          <w:tcPr>
            <w:tcW w:w="2554" w:type="dxa"/>
          </w:tcPr>
          <w:p w14:paraId="2AE9ACE7" w14:textId="77777777" w:rsidR="008B6EDC" w:rsidRPr="004979D2" w:rsidRDefault="008B6EDC" w:rsidP="002B1BC6">
            <w:pPr>
              <w:pStyle w:val="ListParagraph"/>
              <w:numPr>
                <w:ilvl w:val="0"/>
                <w:numId w:val="33"/>
              </w:numPr>
              <w:spacing w:after="0" w:line="360" w:lineRule="auto"/>
              <w:rPr>
                <w:rFonts w:ascii="Times New Roman" w:hAnsi="Times New Roman" w:cs="Times New Roman"/>
                <w:sz w:val="24"/>
                <w:szCs w:val="24"/>
              </w:rPr>
            </w:pPr>
            <w:proofErr w:type="spellStart"/>
            <w:r w:rsidRPr="004979D2">
              <w:rPr>
                <w:rFonts w:ascii="Times New Roman" w:hAnsi="Times New Roman" w:cs="Times New Roman"/>
                <w:sz w:val="24"/>
                <w:szCs w:val="24"/>
              </w:rPr>
              <w:t>Udhezimi</w:t>
            </w:r>
            <w:proofErr w:type="spellEnd"/>
            <w:r w:rsidRPr="004979D2">
              <w:rPr>
                <w:rFonts w:ascii="Times New Roman" w:hAnsi="Times New Roman" w:cs="Times New Roman"/>
                <w:sz w:val="24"/>
                <w:szCs w:val="24"/>
              </w:rPr>
              <w:t xml:space="preserve"> Administrativ nr.05/2017</w:t>
            </w:r>
            <w:r w:rsidR="00C17F8E" w:rsidRPr="004979D2">
              <w:rPr>
                <w:rFonts w:ascii="Times New Roman" w:hAnsi="Times New Roman" w:cs="Times New Roman"/>
                <w:sz w:val="24"/>
                <w:szCs w:val="24"/>
              </w:rPr>
              <w:t xml:space="preserve"> për </w:t>
            </w:r>
            <w:r w:rsidRPr="004979D2">
              <w:rPr>
                <w:rFonts w:ascii="Times New Roman" w:hAnsi="Times New Roman" w:cs="Times New Roman"/>
                <w:sz w:val="24"/>
                <w:szCs w:val="24"/>
              </w:rPr>
              <w:t>përjashtimet grupore</w:t>
            </w:r>
            <w:r w:rsidR="008753CB" w:rsidRPr="004979D2">
              <w:rPr>
                <w:rFonts w:ascii="Times New Roman" w:hAnsi="Times New Roman" w:cs="Times New Roman"/>
                <w:sz w:val="24"/>
                <w:szCs w:val="24"/>
              </w:rPr>
              <w:t xml:space="preserve"> të </w:t>
            </w:r>
            <w:r w:rsidRPr="004979D2">
              <w:rPr>
                <w:rFonts w:ascii="Times New Roman" w:hAnsi="Times New Roman" w:cs="Times New Roman"/>
                <w:sz w:val="24"/>
                <w:szCs w:val="24"/>
              </w:rPr>
              <w:t>Marrëveshjeve ne sektorin e sigurimeve,</w:t>
            </w:r>
          </w:p>
        </w:tc>
        <w:tc>
          <w:tcPr>
            <w:tcW w:w="2160" w:type="dxa"/>
          </w:tcPr>
          <w:p w14:paraId="619ADA48"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Autoriteti Kosovar i Konkurrencës (</w:t>
            </w:r>
            <w:hyperlink r:id="rId31" w:history="1">
              <w:r w:rsidRPr="004979D2">
                <w:rPr>
                  <w:rStyle w:val="Hyperlink"/>
                  <w:rFonts w:ascii="Times New Roman" w:hAnsi="Times New Roman" w:cs="Times New Roman"/>
                  <w:sz w:val="24"/>
                  <w:szCs w:val="24"/>
                </w:rPr>
                <w:t>https://ak.rks-gov.net/ballina</w:t>
              </w:r>
            </w:hyperlink>
            <w:r w:rsidRPr="004979D2">
              <w:rPr>
                <w:rFonts w:ascii="Times New Roman" w:hAnsi="Times New Roman" w:cs="Times New Roman"/>
                <w:sz w:val="24"/>
                <w:szCs w:val="24"/>
              </w:rPr>
              <w:t>)</w:t>
            </w:r>
          </w:p>
        </w:tc>
        <w:tc>
          <w:tcPr>
            <w:tcW w:w="2250" w:type="dxa"/>
          </w:tcPr>
          <w:p w14:paraId="0CB4D71F" w14:textId="77777777" w:rsidR="008B6EDC" w:rsidRPr="004979D2" w:rsidRDefault="008B6EDC" w:rsidP="002B1BC6">
            <w:pPr>
              <w:spacing w:after="0" w:line="360" w:lineRule="auto"/>
              <w:rPr>
                <w:rStyle w:val="CommentReference"/>
                <w:rFonts w:ascii="Times New Roman" w:hAnsi="Times New Roman" w:cs="Times New Roman"/>
                <w:sz w:val="24"/>
                <w:szCs w:val="24"/>
              </w:rPr>
            </w:pPr>
            <w:r w:rsidRPr="004979D2">
              <w:rPr>
                <w:rFonts w:ascii="Times New Roman" w:hAnsi="Times New Roman" w:cs="Times New Roman"/>
                <w:sz w:val="24"/>
                <w:szCs w:val="24"/>
              </w:rPr>
              <w:t>Autoriteti Kosovar i Konkurrencës</w:t>
            </w:r>
          </w:p>
        </w:tc>
        <w:tc>
          <w:tcPr>
            <w:tcW w:w="2463" w:type="dxa"/>
          </w:tcPr>
          <w:p w14:paraId="10AD875F"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Zbatimi dhe implementimi</w:t>
            </w:r>
          </w:p>
        </w:tc>
      </w:tr>
      <w:tr w:rsidR="008B6EDC" w:rsidRPr="004979D2" w14:paraId="7286DE5F" w14:textId="77777777" w:rsidTr="00B11DC4">
        <w:trPr>
          <w:jc w:val="center"/>
        </w:trPr>
        <w:tc>
          <w:tcPr>
            <w:tcW w:w="2554" w:type="dxa"/>
          </w:tcPr>
          <w:p w14:paraId="638A549F" w14:textId="77777777" w:rsidR="008B6EDC" w:rsidRPr="004979D2" w:rsidRDefault="008B6EDC" w:rsidP="002B1BC6">
            <w:pPr>
              <w:pStyle w:val="ListParagraph"/>
              <w:numPr>
                <w:ilvl w:val="0"/>
                <w:numId w:val="33"/>
              </w:numPr>
              <w:spacing w:after="0" w:line="360" w:lineRule="auto"/>
              <w:rPr>
                <w:rFonts w:ascii="Times New Roman" w:hAnsi="Times New Roman" w:cs="Times New Roman"/>
                <w:sz w:val="24"/>
                <w:szCs w:val="24"/>
              </w:rPr>
            </w:pPr>
            <w:proofErr w:type="spellStart"/>
            <w:r w:rsidRPr="004979D2">
              <w:rPr>
                <w:rFonts w:ascii="Times New Roman" w:hAnsi="Times New Roman" w:cs="Times New Roman"/>
                <w:sz w:val="24"/>
                <w:szCs w:val="24"/>
              </w:rPr>
              <w:t>Udhezimi</w:t>
            </w:r>
            <w:proofErr w:type="spellEnd"/>
            <w:r w:rsidRPr="004979D2">
              <w:rPr>
                <w:rFonts w:ascii="Times New Roman" w:hAnsi="Times New Roman" w:cs="Times New Roman"/>
                <w:sz w:val="24"/>
                <w:szCs w:val="24"/>
              </w:rPr>
              <w:t xml:space="preserve"> Administrativ nr. 06/2017</w:t>
            </w:r>
            <w:r w:rsidR="00C17F8E" w:rsidRPr="004979D2">
              <w:rPr>
                <w:rFonts w:ascii="Times New Roman" w:hAnsi="Times New Roman" w:cs="Times New Roman"/>
                <w:sz w:val="24"/>
                <w:szCs w:val="24"/>
              </w:rPr>
              <w:t xml:space="preserve"> për </w:t>
            </w:r>
            <w:r w:rsidRPr="004979D2">
              <w:rPr>
                <w:rFonts w:ascii="Times New Roman" w:hAnsi="Times New Roman" w:cs="Times New Roman"/>
                <w:sz w:val="24"/>
                <w:szCs w:val="24"/>
              </w:rPr>
              <w:t>përjashtimin grupor</w:t>
            </w:r>
            <w:r w:rsidR="008753CB" w:rsidRPr="004979D2">
              <w:rPr>
                <w:rFonts w:ascii="Times New Roman" w:hAnsi="Times New Roman" w:cs="Times New Roman"/>
                <w:sz w:val="24"/>
                <w:szCs w:val="24"/>
              </w:rPr>
              <w:t xml:space="preserve"> të </w:t>
            </w:r>
            <w:r w:rsidRPr="004979D2">
              <w:rPr>
                <w:rFonts w:ascii="Times New Roman" w:hAnsi="Times New Roman" w:cs="Times New Roman"/>
                <w:sz w:val="24"/>
                <w:szCs w:val="24"/>
              </w:rPr>
              <w:t>Marrëveshjes</w:t>
            </w:r>
            <w:r w:rsidR="00C17F8E" w:rsidRPr="004979D2">
              <w:rPr>
                <w:rFonts w:ascii="Times New Roman" w:hAnsi="Times New Roman" w:cs="Times New Roman"/>
                <w:sz w:val="24"/>
                <w:szCs w:val="24"/>
              </w:rPr>
              <w:t xml:space="preserve"> për </w:t>
            </w:r>
            <w:proofErr w:type="spellStart"/>
            <w:r w:rsidRPr="004979D2">
              <w:rPr>
                <w:rFonts w:ascii="Times New Roman" w:hAnsi="Times New Roman" w:cs="Times New Roman"/>
                <w:sz w:val="24"/>
                <w:szCs w:val="24"/>
              </w:rPr>
              <w:lastRenderedPageBreak/>
              <w:t>distribuim</w:t>
            </w:r>
            <w:proofErr w:type="spellEnd"/>
            <w:r w:rsidRPr="004979D2">
              <w:rPr>
                <w:rFonts w:ascii="Times New Roman" w:hAnsi="Times New Roman" w:cs="Times New Roman"/>
                <w:sz w:val="24"/>
                <w:szCs w:val="24"/>
              </w:rPr>
              <w:t xml:space="preserve"> dhe </w:t>
            </w:r>
            <w:proofErr w:type="spellStart"/>
            <w:r w:rsidRPr="004979D2">
              <w:rPr>
                <w:rFonts w:ascii="Times New Roman" w:hAnsi="Times New Roman" w:cs="Times New Roman"/>
                <w:sz w:val="24"/>
                <w:szCs w:val="24"/>
              </w:rPr>
              <w:t>servisim</w:t>
            </w:r>
            <w:proofErr w:type="spellEnd"/>
            <w:r w:rsidR="008753CB" w:rsidRPr="004979D2">
              <w:rPr>
                <w:rFonts w:ascii="Times New Roman" w:hAnsi="Times New Roman" w:cs="Times New Roman"/>
                <w:sz w:val="24"/>
                <w:szCs w:val="24"/>
              </w:rPr>
              <w:t xml:space="preserve"> të </w:t>
            </w:r>
            <w:r w:rsidRPr="004979D2">
              <w:rPr>
                <w:rFonts w:ascii="Times New Roman" w:hAnsi="Times New Roman" w:cs="Times New Roman"/>
                <w:sz w:val="24"/>
                <w:szCs w:val="24"/>
              </w:rPr>
              <w:t>Automjeteve motorike,</w:t>
            </w:r>
          </w:p>
        </w:tc>
        <w:tc>
          <w:tcPr>
            <w:tcW w:w="2160" w:type="dxa"/>
          </w:tcPr>
          <w:p w14:paraId="4CDD3B7E"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lastRenderedPageBreak/>
              <w:t>Autoriteti Kosovar i Konkurrencës (</w:t>
            </w:r>
            <w:hyperlink r:id="rId32" w:history="1">
              <w:r w:rsidRPr="004979D2">
                <w:rPr>
                  <w:rStyle w:val="Hyperlink"/>
                  <w:rFonts w:ascii="Times New Roman" w:hAnsi="Times New Roman" w:cs="Times New Roman"/>
                  <w:sz w:val="24"/>
                  <w:szCs w:val="24"/>
                </w:rPr>
                <w:t>https://ak.rks-gov.net/ballina</w:t>
              </w:r>
            </w:hyperlink>
            <w:r w:rsidRPr="004979D2">
              <w:rPr>
                <w:rFonts w:ascii="Times New Roman" w:hAnsi="Times New Roman" w:cs="Times New Roman"/>
                <w:sz w:val="24"/>
                <w:szCs w:val="24"/>
              </w:rPr>
              <w:t>)</w:t>
            </w:r>
          </w:p>
        </w:tc>
        <w:tc>
          <w:tcPr>
            <w:tcW w:w="2250" w:type="dxa"/>
          </w:tcPr>
          <w:p w14:paraId="5E40218B" w14:textId="77777777" w:rsidR="008B6EDC" w:rsidRPr="004979D2" w:rsidRDefault="008B6EDC" w:rsidP="002B1BC6">
            <w:pPr>
              <w:spacing w:after="0" w:line="360" w:lineRule="auto"/>
              <w:rPr>
                <w:rStyle w:val="CommentReference"/>
                <w:rFonts w:ascii="Times New Roman" w:hAnsi="Times New Roman" w:cs="Times New Roman"/>
                <w:sz w:val="24"/>
                <w:szCs w:val="24"/>
              </w:rPr>
            </w:pPr>
            <w:r w:rsidRPr="004979D2">
              <w:rPr>
                <w:rFonts w:ascii="Times New Roman" w:hAnsi="Times New Roman" w:cs="Times New Roman"/>
                <w:sz w:val="24"/>
                <w:szCs w:val="24"/>
              </w:rPr>
              <w:t>Autoriteti Kosovar i Konkurrencës</w:t>
            </w:r>
          </w:p>
        </w:tc>
        <w:tc>
          <w:tcPr>
            <w:tcW w:w="2463" w:type="dxa"/>
          </w:tcPr>
          <w:p w14:paraId="5D53CA5B"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Zbatimi dhe implementimi</w:t>
            </w:r>
          </w:p>
        </w:tc>
      </w:tr>
      <w:tr w:rsidR="008B6EDC" w:rsidRPr="004979D2" w14:paraId="5EBDB3CA" w14:textId="77777777" w:rsidTr="00B11DC4">
        <w:trPr>
          <w:jc w:val="center"/>
        </w:trPr>
        <w:tc>
          <w:tcPr>
            <w:tcW w:w="2554" w:type="dxa"/>
          </w:tcPr>
          <w:p w14:paraId="3B0DD022" w14:textId="77777777" w:rsidR="008B6EDC" w:rsidRPr="004979D2" w:rsidRDefault="008B6EDC" w:rsidP="002B1BC6">
            <w:pPr>
              <w:pStyle w:val="ListParagraph"/>
              <w:numPr>
                <w:ilvl w:val="0"/>
                <w:numId w:val="33"/>
              </w:numPr>
              <w:spacing w:after="0" w:line="360" w:lineRule="auto"/>
              <w:rPr>
                <w:rFonts w:ascii="Times New Roman" w:hAnsi="Times New Roman" w:cs="Times New Roman"/>
                <w:sz w:val="24"/>
                <w:szCs w:val="24"/>
              </w:rPr>
            </w:pPr>
            <w:r w:rsidRPr="004979D2">
              <w:rPr>
                <w:rFonts w:ascii="Times New Roman" w:hAnsi="Times New Roman" w:cs="Times New Roman"/>
                <w:sz w:val="24"/>
                <w:szCs w:val="24"/>
              </w:rPr>
              <w:lastRenderedPageBreak/>
              <w:t>Kodi i mirësjelljes</w:t>
            </w:r>
            <w:r w:rsidR="00C17F8E" w:rsidRPr="004979D2">
              <w:rPr>
                <w:rFonts w:ascii="Times New Roman" w:hAnsi="Times New Roman" w:cs="Times New Roman"/>
                <w:sz w:val="24"/>
                <w:szCs w:val="24"/>
              </w:rPr>
              <w:t xml:space="preserve"> për </w:t>
            </w:r>
            <w:r w:rsidRPr="004979D2">
              <w:rPr>
                <w:rFonts w:ascii="Times New Roman" w:hAnsi="Times New Roman" w:cs="Times New Roman"/>
                <w:sz w:val="24"/>
                <w:szCs w:val="24"/>
              </w:rPr>
              <w:t>Autoritetin Kosovar</w:t>
            </w:r>
            <w:r w:rsidR="008753CB" w:rsidRPr="004979D2">
              <w:rPr>
                <w:rFonts w:ascii="Times New Roman" w:hAnsi="Times New Roman" w:cs="Times New Roman"/>
                <w:sz w:val="24"/>
                <w:szCs w:val="24"/>
              </w:rPr>
              <w:t xml:space="preserve"> të </w:t>
            </w:r>
            <w:r w:rsidRPr="004979D2">
              <w:rPr>
                <w:rFonts w:ascii="Times New Roman" w:hAnsi="Times New Roman" w:cs="Times New Roman"/>
                <w:sz w:val="24"/>
                <w:szCs w:val="24"/>
              </w:rPr>
              <w:t>konkurrencës,</w:t>
            </w:r>
          </w:p>
        </w:tc>
        <w:tc>
          <w:tcPr>
            <w:tcW w:w="2160" w:type="dxa"/>
          </w:tcPr>
          <w:p w14:paraId="1BF6784D"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Autoriteti Kosovar i Konkurrencës (</w:t>
            </w:r>
            <w:hyperlink r:id="rId33" w:history="1">
              <w:r w:rsidRPr="004979D2">
                <w:rPr>
                  <w:rStyle w:val="Hyperlink"/>
                  <w:rFonts w:ascii="Times New Roman" w:hAnsi="Times New Roman" w:cs="Times New Roman"/>
                  <w:sz w:val="24"/>
                  <w:szCs w:val="24"/>
                </w:rPr>
                <w:t>https://ak.rks-gov.net/ballina</w:t>
              </w:r>
            </w:hyperlink>
            <w:r w:rsidRPr="004979D2">
              <w:rPr>
                <w:rFonts w:ascii="Times New Roman" w:hAnsi="Times New Roman" w:cs="Times New Roman"/>
                <w:sz w:val="24"/>
                <w:szCs w:val="24"/>
              </w:rPr>
              <w:t>)</w:t>
            </w:r>
          </w:p>
        </w:tc>
        <w:tc>
          <w:tcPr>
            <w:tcW w:w="2250" w:type="dxa"/>
          </w:tcPr>
          <w:p w14:paraId="5971F48B" w14:textId="77777777" w:rsidR="008B6EDC" w:rsidRPr="004979D2" w:rsidRDefault="008B6EDC" w:rsidP="002B1BC6">
            <w:pPr>
              <w:spacing w:after="0" w:line="360" w:lineRule="auto"/>
              <w:rPr>
                <w:rStyle w:val="CommentReference"/>
                <w:rFonts w:ascii="Times New Roman" w:hAnsi="Times New Roman" w:cs="Times New Roman"/>
                <w:sz w:val="24"/>
                <w:szCs w:val="24"/>
              </w:rPr>
            </w:pPr>
            <w:r w:rsidRPr="004979D2">
              <w:rPr>
                <w:rFonts w:ascii="Times New Roman" w:hAnsi="Times New Roman" w:cs="Times New Roman"/>
                <w:sz w:val="24"/>
                <w:szCs w:val="24"/>
              </w:rPr>
              <w:t>Autoriteti Kosovar i Konkurrencës</w:t>
            </w:r>
          </w:p>
        </w:tc>
        <w:tc>
          <w:tcPr>
            <w:tcW w:w="2463" w:type="dxa"/>
          </w:tcPr>
          <w:p w14:paraId="03BF58C8"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Zbatimi dhe implementimi</w:t>
            </w:r>
          </w:p>
        </w:tc>
      </w:tr>
      <w:tr w:rsidR="008B6EDC" w:rsidRPr="004979D2" w14:paraId="240E7FEE" w14:textId="77777777" w:rsidTr="00B11DC4">
        <w:trPr>
          <w:jc w:val="center"/>
        </w:trPr>
        <w:tc>
          <w:tcPr>
            <w:tcW w:w="2554" w:type="dxa"/>
          </w:tcPr>
          <w:p w14:paraId="2EA742FF" w14:textId="77777777" w:rsidR="008B6EDC" w:rsidRPr="004979D2" w:rsidRDefault="008B6EDC" w:rsidP="002B1BC6">
            <w:pPr>
              <w:pStyle w:val="ListParagraph"/>
              <w:numPr>
                <w:ilvl w:val="0"/>
                <w:numId w:val="33"/>
              </w:num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Rregullore nr.03.20189</w:t>
            </w:r>
            <w:r w:rsidR="00C17F8E" w:rsidRPr="004979D2">
              <w:rPr>
                <w:rFonts w:ascii="Times New Roman" w:hAnsi="Times New Roman" w:cs="Times New Roman"/>
                <w:sz w:val="24"/>
                <w:szCs w:val="24"/>
              </w:rPr>
              <w:t xml:space="preserve"> për </w:t>
            </w:r>
            <w:proofErr w:type="spellStart"/>
            <w:r w:rsidRPr="004979D2">
              <w:rPr>
                <w:rFonts w:ascii="Times New Roman" w:hAnsi="Times New Roman" w:cs="Times New Roman"/>
                <w:sz w:val="24"/>
                <w:szCs w:val="24"/>
              </w:rPr>
              <w:t>org.e</w:t>
            </w:r>
            <w:proofErr w:type="spellEnd"/>
            <w:r w:rsidRPr="004979D2">
              <w:rPr>
                <w:rFonts w:ascii="Times New Roman" w:hAnsi="Times New Roman" w:cs="Times New Roman"/>
                <w:sz w:val="24"/>
                <w:szCs w:val="24"/>
              </w:rPr>
              <w:t xml:space="preserve"> </w:t>
            </w:r>
            <w:proofErr w:type="spellStart"/>
            <w:r w:rsidRPr="004979D2">
              <w:rPr>
                <w:rFonts w:ascii="Times New Roman" w:hAnsi="Times New Roman" w:cs="Times New Roman"/>
                <w:sz w:val="24"/>
                <w:szCs w:val="24"/>
              </w:rPr>
              <w:t>brendeshem</w:t>
            </w:r>
            <w:proofErr w:type="spellEnd"/>
            <w:r w:rsidRPr="004979D2">
              <w:rPr>
                <w:rFonts w:ascii="Times New Roman" w:hAnsi="Times New Roman" w:cs="Times New Roman"/>
                <w:sz w:val="24"/>
                <w:szCs w:val="24"/>
              </w:rPr>
              <w:t xml:space="preserve">, </w:t>
            </w:r>
            <w:proofErr w:type="spellStart"/>
            <w:r w:rsidRPr="004979D2">
              <w:rPr>
                <w:rFonts w:ascii="Times New Roman" w:hAnsi="Times New Roman" w:cs="Times New Roman"/>
                <w:sz w:val="24"/>
                <w:szCs w:val="24"/>
              </w:rPr>
              <w:t>sis.e</w:t>
            </w:r>
            <w:proofErr w:type="spellEnd"/>
            <w:r w:rsidRPr="004979D2">
              <w:rPr>
                <w:rFonts w:ascii="Times New Roman" w:hAnsi="Times New Roman" w:cs="Times New Roman"/>
                <w:sz w:val="24"/>
                <w:szCs w:val="24"/>
              </w:rPr>
              <w:t xml:space="preserve"> vendeve</w:t>
            </w:r>
            <w:r w:rsidR="008753CB" w:rsidRPr="004979D2">
              <w:rPr>
                <w:rFonts w:ascii="Times New Roman" w:hAnsi="Times New Roman" w:cs="Times New Roman"/>
                <w:sz w:val="24"/>
                <w:szCs w:val="24"/>
              </w:rPr>
              <w:t xml:space="preserve"> të </w:t>
            </w:r>
            <w:r w:rsidRPr="004979D2">
              <w:rPr>
                <w:rFonts w:ascii="Times New Roman" w:hAnsi="Times New Roman" w:cs="Times New Roman"/>
                <w:sz w:val="24"/>
                <w:szCs w:val="24"/>
              </w:rPr>
              <w:t>punës dhe përshkrimin e detyrave</w:t>
            </w:r>
            <w:r w:rsidR="008753CB" w:rsidRPr="004979D2">
              <w:rPr>
                <w:rFonts w:ascii="Times New Roman" w:hAnsi="Times New Roman" w:cs="Times New Roman"/>
                <w:sz w:val="24"/>
                <w:szCs w:val="24"/>
              </w:rPr>
              <w:t xml:space="preserve"> të </w:t>
            </w:r>
            <w:r w:rsidRPr="004979D2">
              <w:rPr>
                <w:rFonts w:ascii="Times New Roman" w:hAnsi="Times New Roman" w:cs="Times New Roman"/>
                <w:sz w:val="24"/>
                <w:szCs w:val="24"/>
              </w:rPr>
              <w:t>punës ne Sekretariatin e AKK</w:t>
            </w:r>
          </w:p>
        </w:tc>
        <w:tc>
          <w:tcPr>
            <w:tcW w:w="2160" w:type="dxa"/>
          </w:tcPr>
          <w:p w14:paraId="61C1F8B7"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Autoriteti Kosovar i Konkurrencës (</w:t>
            </w:r>
            <w:hyperlink r:id="rId34" w:history="1">
              <w:r w:rsidRPr="004979D2">
                <w:rPr>
                  <w:rStyle w:val="Hyperlink"/>
                  <w:rFonts w:ascii="Times New Roman" w:hAnsi="Times New Roman" w:cs="Times New Roman"/>
                  <w:sz w:val="24"/>
                  <w:szCs w:val="24"/>
                </w:rPr>
                <w:t>https://ak.rks-gov.net/ballina</w:t>
              </w:r>
            </w:hyperlink>
            <w:r w:rsidRPr="004979D2">
              <w:rPr>
                <w:rFonts w:ascii="Times New Roman" w:hAnsi="Times New Roman" w:cs="Times New Roman"/>
                <w:sz w:val="24"/>
                <w:szCs w:val="24"/>
              </w:rPr>
              <w:t>)</w:t>
            </w:r>
          </w:p>
        </w:tc>
        <w:tc>
          <w:tcPr>
            <w:tcW w:w="2250" w:type="dxa"/>
          </w:tcPr>
          <w:p w14:paraId="696F7AA4" w14:textId="77777777" w:rsidR="008B6EDC" w:rsidRPr="004979D2" w:rsidRDefault="008B6EDC" w:rsidP="002B1BC6">
            <w:pPr>
              <w:spacing w:after="0" w:line="360" w:lineRule="auto"/>
              <w:rPr>
                <w:rStyle w:val="CommentReference"/>
                <w:rFonts w:ascii="Times New Roman" w:hAnsi="Times New Roman" w:cs="Times New Roman"/>
                <w:sz w:val="24"/>
                <w:szCs w:val="24"/>
              </w:rPr>
            </w:pPr>
            <w:r w:rsidRPr="004979D2">
              <w:rPr>
                <w:rFonts w:ascii="Times New Roman" w:hAnsi="Times New Roman" w:cs="Times New Roman"/>
                <w:sz w:val="24"/>
                <w:szCs w:val="24"/>
              </w:rPr>
              <w:t>Autoriteti Kosovar i Konkurrencës</w:t>
            </w:r>
          </w:p>
        </w:tc>
        <w:tc>
          <w:tcPr>
            <w:tcW w:w="2463" w:type="dxa"/>
          </w:tcPr>
          <w:p w14:paraId="74C0D093" w14:textId="77777777" w:rsidR="008B6EDC" w:rsidRPr="004979D2" w:rsidRDefault="008B6EDC" w:rsidP="002B1BC6">
            <w:pPr>
              <w:spacing w:after="0" w:line="360" w:lineRule="auto"/>
              <w:rPr>
                <w:rFonts w:ascii="Times New Roman" w:hAnsi="Times New Roman" w:cs="Times New Roman"/>
                <w:sz w:val="24"/>
                <w:szCs w:val="24"/>
              </w:rPr>
            </w:pPr>
            <w:r w:rsidRPr="004979D2">
              <w:rPr>
                <w:rFonts w:ascii="Times New Roman" w:hAnsi="Times New Roman" w:cs="Times New Roman"/>
                <w:sz w:val="24"/>
                <w:szCs w:val="24"/>
              </w:rPr>
              <w:t>Zbatimi dhe implementimi</w:t>
            </w:r>
          </w:p>
        </w:tc>
      </w:tr>
    </w:tbl>
    <w:p w14:paraId="5B4E8FEC" w14:textId="77777777" w:rsidR="00A22B1A" w:rsidRDefault="00A22B1A" w:rsidP="002B1BC6">
      <w:pPr>
        <w:spacing w:line="360" w:lineRule="auto"/>
        <w:rPr>
          <w:rFonts w:ascii="Times New Roman" w:hAnsi="Times New Roman" w:cs="Times New Roman"/>
          <w:sz w:val="24"/>
          <w:szCs w:val="24"/>
        </w:rPr>
      </w:pPr>
    </w:p>
    <w:p w14:paraId="7BC02992" w14:textId="77777777" w:rsidR="00E069A6" w:rsidRDefault="00E069A6" w:rsidP="002B1BC6">
      <w:pPr>
        <w:spacing w:line="360" w:lineRule="auto"/>
        <w:rPr>
          <w:rFonts w:ascii="Times New Roman" w:hAnsi="Times New Roman" w:cs="Times New Roman"/>
          <w:sz w:val="24"/>
          <w:szCs w:val="24"/>
        </w:rPr>
      </w:pPr>
    </w:p>
    <w:p w14:paraId="1607D06F" w14:textId="77777777" w:rsidR="00E069A6" w:rsidRDefault="00E069A6" w:rsidP="002B1BC6">
      <w:pPr>
        <w:spacing w:line="360" w:lineRule="auto"/>
        <w:rPr>
          <w:rFonts w:ascii="Times New Roman" w:hAnsi="Times New Roman" w:cs="Times New Roman"/>
          <w:sz w:val="24"/>
          <w:szCs w:val="24"/>
        </w:rPr>
      </w:pPr>
    </w:p>
    <w:p w14:paraId="44D3F8AF" w14:textId="77777777" w:rsidR="00E069A6" w:rsidRDefault="00E069A6" w:rsidP="002B1BC6">
      <w:pPr>
        <w:spacing w:line="360" w:lineRule="auto"/>
        <w:rPr>
          <w:rFonts w:ascii="Times New Roman" w:hAnsi="Times New Roman" w:cs="Times New Roman"/>
          <w:sz w:val="24"/>
          <w:szCs w:val="24"/>
        </w:rPr>
      </w:pPr>
    </w:p>
    <w:p w14:paraId="12F81A8F" w14:textId="77777777" w:rsidR="00E069A6" w:rsidRDefault="00E069A6" w:rsidP="002B1BC6">
      <w:pPr>
        <w:spacing w:line="360" w:lineRule="auto"/>
        <w:rPr>
          <w:rFonts w:ascii="Times New Roman" w:hAnsi="Times New Roman" w:cs="Times New Roman"/>
          <w:sz w:val="24"/>
          <w:szCs w:val="24"/>
        </w:rPr>
      </w:pPr>
    </w:p>
    <w:p w14:paraId="531F9047" w14:textId="77777777" w:rsidR="00E069A6" w:rsidRDefault="00E069A6" w:rsidP="002B1BC6">
      <w:pPr>
        <w:spacing w:line="360" w:lineRule="auto"/>
        <w:rPr>
          <w:rFonts w:ascii="Times New Roman" w:hAnsi="Times New Roman" w:cs="Times New Roman"/>
          <w:sz w:val="24"/>
          <w:szCs w:val="24"/>
        </w:rPr>
      </w:pPr>
    </w:p>
    <w:p w14:paraId="7CEED3B3" w14:textId="77777777" w:rsidR="00E069A6" w:rsidRDefault="00E069A6" w:rsidP="002B1BC6">
      <w:pPr>
        <w:spacing w:line="360" w:lineRule="auto"/>
        <w:rPr>
          <w:rFonts w:ascii="Times New Roman" w:hAnsi="Times New Roman" w:cs="Times New Roman"/>
          <w:sz w:val="24"/>
          <w:szCs w:val="24"/>
        </w:rPr>
      </w:pPr>
    </w:p>
    <w:p w14:paraId="713C670C" w14:textId="77777777" w:rsidR="00E069A6" w:rsidRDefault="00E069A6" w:rsidP="002B1BC6">
      <w:pPr>
        <w:spacing w:line="360" w:lineRule="auto"/>
        <w:rPr>
          <w:rFonts w:ascii="Times New Roman" w:hAnsi="Times New Roman" w:cs="Times New Roman"/>
          <w:sz w:val="24"/>
          <w:szCs w:val="24"/>
        </w:rPr>
      </w:pPr>
    </w:p>
    <w:p w14:paraId="354A1C4A" w14:textId="77777777" w:rsidR="00E069A6" w:rsidRDefault="00E069A6" w:rsidP="002B1BC6">
      <w:pPr>
        <w:spacing w:line="360" w:lineRule="auto"/>
        <w:rPr>
          <w:rFonts w:ascii="Times New Roman" w:hAnsi="Times New Roman" w:cs="Times New Roman"/>
          <w:sz w:val="24"/>
          <w:szCs w:val="24"/>
        </w:rPr>
      </w:pPr>
    </w:p>
    <w:p w14:paraId="772C1021" w14:textId="77777777" w:rsidR="00E069A6" w:rsidRPr="004979D2" w:rsidRDefault="00E069A6" w:rsidP="002B1BC6">
      <w:pPr>
        <w:spacing w:line="360" w:lineRule="auto"/>
        <w:rPr>
          <w:rFonts w:ascii="Times New Roman" w:hAnsi="Times New Roman" w:cs="Times New Roman"/>
          <w:sz w:val="24"/>
          <w:szCs w:val="24"/>
        </w:rPr>
      </w:pPr>
    </w:p>
    <w:p w14:paraId="6FF42EFE" w14:textId="2B6C6A63" w:rsidR="0006153E" w:rsidRPr="004979D2" w:rsidRDefault="008437DF" w:rsidP="002B1BC6">
      <w:pPr>
        <w:pStyle w:val="Heading2"/>
        <w:numPr>
          <w:ilvl w:val="1"/>
          <w:numId w:val="50"/>
        </w:numPr>
        <w:spacing w:line="360" w:lineRule="auto"/>
        <w:rPr>
          <w:rFonts w:cs="Times New Roman"/>
          <w:szCs w:val="24"/>
        </w:rPr>
      </w:pPr>
      <w:r w:rsidRPr="004979D2">
        <w:rPr>
          <w:rFonts w:cs="Times New Roman"/>
          <w:szCs w:val="24"/>
        </w:rPr>
        <w:lastRenderedPageBreak/>
        <w:t xml:space="preserve"> </w:t>
      </w:r>
      <w:bookmarkStart w:id="38" w:name="_Toc1114322"/>
      <w:r w:rsidR="0006153E" w:rsidRPr="004979D2">
        <w:rPr>
          <w:rFonts w:cs="Times New Roman"/>
          <w:szCs w:val="24"/>
        </w:rPr>
        <w:t>Problemi kryesor</w:t>
      </w:r>
      <w:bookmarkEnd w:id="38"/>
    </w:p>
    <w:p w14:paraId="04F7444F" w14:textId="793A2FDB" w:rsidR="0006153E" w:rsidRDefault="0006153E"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Në këtë nën-kapitull është paraqitur pema e problemit që përmban problemin kryesor, shkaqet dhe efektet e tij. Të </w:t>
      </w:r>
      <w:proofErr w:type="spellStart"/>
      <w:r w:rsidRPr="004979D2">
        <w:rPr>
          <w:rFonts w:ascii="Times New Roman" w:hAnsi="Times New Roman" w:cs="Times New Roman"/>
          <w:sz w:val="24"/>
          <w:szCs w:val="24"/>
        </w:rPr>
        <w:t>njejtat</w:t>
      </w:r>
      <w:proofErr w:type="spellEnd"/>
      <w:r w:rsidRPr="004979D2">
        <w:rPr>
          <w:rFonts w:ascii="Times New Roman" w:hAnsi="Times New Roman" w:cs="Times New Roman"/>
          <w:sz w:val="24"/>
          <w:szCs w:val="24"/>
        </w:rPr>
        <w:t xml:space="preserve"> gjithashtu janë analizuar në pjesën narrative si më poshtë.</w:t>
      </w:r>
    </w:p>
    <w:p w14:paraId="1D044260" w14:textId="77777777" w:rsidR="00063448" w:rsidRPr="004979D2" w:rsidRDefault="00063448" w:rsidP="002B1BC6">
      <w:pPr>
        <w:pStyle w:val="Caption"/>
        <w:spacing w:line="360" w:lineRule="auto"/>
        <w:rPr>
          <w:rFonts w:ascii="Times New Roman" w:hAnsi="Times New Roman" w:cs="Times New Roman"/>
          <w:sz w:val="24"/>
          <w:szCs w:val="24"/>
        </w:rPr>
      </w:pPr>
      <w:r w:rsidRPr="004979D2">
        <w:rPr>
          <w:rFonts w:ascii="Times New Roman" w:hAnsi="Times New Roman" w:cs="Times New Roman"/>
          <w:sz w:val="24"/>
          <w:szCs w:val="24"/>
        </w:rPr>
        <w:t>Figur</w:t>
      </w:r>
      <w:r w:rsidR="00162D8C" w:rsidRPr="004979D2">
        <w:rPr>
          <w:rFonts w:ascii="Times New Roman" w:hAnsi="Times New Roman" w:cs="Times New Roman"/>
          <w:sz w:val="24"/>
          <w:szCs w:val="24"/>
        </w:rPr>
        <w:t>a</w:t>
      </w:r>
      <w:r w:rsidRPr="004979D2">
        <w:rPr>
          <w:rFonts w:ascii="Times New Roman" w:hAnsi="Times New Roman" w:cs="Times New Roman"/>
          <w:sz w:val="24"/>
          <w:szCs w:val="24"/>
        </w:rPr>
        <w:t xml:space="preserve"> </w:t>
      </w:r>
      <w:r w:rsidR="0084199F" w:rsidRPr="004979D2">
        <w:rPr>
          <w:rFonts w:ascii="Times New Roman" w:hAnsi="Times New Roman" w:cs="Times New Roman"/>
          <w:sz w:val="24"/>
          <w:szCs w:val="24"/>
        </w:rPr>
        <w:t>6</w:t>
      </w:r>
      <w:r w:rsidRPr="004979D2">
        <w:rPr>
          <w:rFonts w:ascii="Times New Roman" w:hAnsi="Times New Roman" w:cs="Times New Roman"/>
          <w:sz w:val="24"/>
          <w:szCs w:val="24"/>
        </w:rPr>
        <w:t>: P</w:t>
      </w:r>
      <w:r w:rsidR="001E3DB1" w:rsidRPr="004979D2">
        <w:rPr>
          <w:rFonts w:ascii="Times New Roman" w:hAnsi="Times New Roman" w:cs="Times New Roman"/>
          <w:sz w:val="24"/>
          <w:szCs w:val="24"/>
        </w:rPr>
        <w:t xml:space="preserve">ema e problemit, që paraqet problemin kryesor, shkaqet e tij dhe </w:t>
      </w:r>
      <w:r w:rsidR="00937A2C" w:rsidRPr="004979D2">
        <w:rPr>
          <w:rFonts w:ascii="Times New Roman" w:hAnsi="Times New Roman" w:cs="Times New Roman"/>
          <w:sz w:val="24"/>
          <w:szCs w:val="24"/>
        </w:rPr>
        <w:t>efektet</w:t>
      </w:r>
    </w:p>
    <w:tbl>
      <w:tblPr>
        <w:tblStyle w:val="TableGrid"/>
        <w:tblW w:w="0" w:type="auto"/>
        <w:jc w:val="center"/>
        <w:tblLook w:val="04A0" w:firstRow="1" w:lastRow="0" w:firstColumn="1" w:lastColumn="0" w:noHBand="0" w:noVBand="1"/>
      </w:tblPr>
      <w:tblGrid>
        <w:gridCol w:w="1635"/>
        <w:gridCol w:w="7761"/>
      </w:tblGrid>
      <w:tr w:rsidR="007B53FE" w:rsidRPr="004979D2" w14:paraId="4B9E25D5" w14:textId="77777777" w:rsidTr="001C7171">
        <w:trPr>
          <w:jc w:val="center"/>
        </w:trPr>
        <w:tc>
          <w:tcPr>
            <w:tcW w:w="1638" w:type="dxa"/>
            <w:vMerge w:val="restart"/>
            <w:tcBorders>
              <w:top w:val="single" w:sz="4" w:space="0" w:color="auto"/>
              <w:left w:val="single" w:sz="4" w:space="0" w:color="auto"/>
              <w:right w:val="single" w:sz="4" w:space="0" w:color="auto"/>
            </w:tcBorders>
            <w:vAlign w:val="center"/>
          </w:tcPr>
          <w:p w14:paraId="47730EC7" w14:textId="77777777" w:rsidR="007B53FE" w:rsidRPr="004979D2" w:rsidRDefault="007B53FE" w:rsidP="00E069A6">
            <w:pPr>
              <w:jc w:val="center"/>
              <w:rPr>
                <w:rFonts w:ascii="Times New Roman" w:hAnsi="Times New Roman" w:cs="Times New Roman"/>
                <w:b/>
                <w:sz w:val="24"/>
                <w:szCs w:val="24"/>
              </w:rPr>
            </w:pPr>
            <w:r w:rsidRPr="004979D2">
              <w:rPr>
                <w:rFonts w:ascii="Times New Roman" w:hAnsi="Times New Roman" w:cs="Times New Roman"/>
                <w:b/>
                <w:sz w:val="24"/>
                <w:szCs w:val="24"/>
              </w:rPr>
              <w:t>EFEKTET</w:t>
            </w:r>
          </w:p>
        </w:tc>
        <w:tc>
          <w:tcPr>
            <w:tcW w:w="7938" w:type="dxa"/>
            <w:tcBorders>
              <w:left w:val="single" w:sz="4" w:space="0" w:color="auto"/>
            </w:tcBorders>
          </w:tcPr>
          <w:p w14:paraId="240AC116" w14:textId="77777777" w:rsidR="007B53FE" w:rsidRPr="004979D2" w:rsidRDefault="007B53FE" w:rsidP="00E069A6">
            <w:pPr>
              <w:rPr>
                <w:rFonts w:ascii="Times New Roman" w:hAnsi="Times New Roman" w:cs="Times New Roman"/>
                <w:b/>
                <w:color w:val="767171" w:themeColor="background2" w:themeShade="80"/>
                <w:sz w:val="24"/>
                <w:szCs w:val="24"/>
              </w:rPr>
            </w:pPr>
            <w:r w:rsidRPr="004979D2">
              <w:rPr>
                <w:rFonts w:ascii="Times New Roman" w:hAnsi="Times New Roman" w:cs="Times New Roman"/>
                <w:b/>
                <w:color w:val="8496B0" w:themeColor="text2" w:themeTint="99"/>
                <w:sz w:val="24"/>
                <w:szCs w:val="24"/>
              </w:rPr>
              <w:t>RREGULLAT JANË TË PA KOMPLETUARA</w:t>
            </w:r>
            <w:r w:rsidRPr="004979D2">
              <w:rPr>
                <w:rFonts w:ascii="Times New Roman" w:hAnsi="Times New Roman" w:cs="Times New Roman"/>
                <w:b/>
                <w:color w:val="767171" w:themeColor="background2" w:themeShade="80"/>
                <w:sz w:val="24"/>
                <w:szCs w:val="24"/>
              </w:rPr>
              <w:t xml:space="preserve"> </w:t>
            </w:r>
          </w:p>
        </w:tc>
      </w:tr>
      <w:tr w:rsidR="007B53FE" w:rsidRPr="004979D2" w14:paraId="09ACB34B" w14:textId="77777777" w:rsidTr="001C7171">
        <w:trPr>
          <w:jc w:val="center"/>
        </w:trPr>
        <w:tc>
          <w:tcPr>
            <w:tcW w:w="1638" w:type="dxa"/>
            <w:vMerge/>
            <w:tcBorders>
              <w:left w:val="single" w:sz="4" w:space="0" w:color="auto"/>
              <w:right w:val="single" w:sz="4" w:space="0" w:color="auto"/>
            </w:tcBorders>
          </w:tcPr>
          <w:p w14:paraId="0D1E491A" w14:textId="77777777" w:rsidR="007B53FE" w:rsidRPr="004979D2" w:rsidRDefault="007B53FE" w:rsidP="00E069A6">
            <w:pPr>
              <w:jc w:val="center"/>
              <w:rPr>
                <w:rFonts w:ascii="Times New Roman" w:hAnsi="Times New Roman" w:cs="Times New Roman"/>
                <w:b/>
                <w:sz w:val="24"/>
                <w:szCs w:val="24"/>
              </w:rPr>
            </w:pPr>
          </w:p>
        </w:tc>
        <w:tc>
          <w:tcPr>
            <w:tcW w:w="7938" w:type="dxa"/>
            <w:tcBorders>
              <w:left w:val="single" w:sz="4" w:space="0" w:color="auto"/>
            </w:tcBorders>
            <w:shd w:val="clear" w:color="auto" w:fill="D5DCE4" w:themeFill="text2" w:themeFillTint="33"/>
          </w:tcPr>
          <w:p w14:paraId="5DE7336D" w14:textId="484ACC5F" w:rsidR="007B53FE" w:rsidRPr="004979D2" w:rsidRDefault="007B53FE" w:rsidP="00E069A6">
            <w:pPr>
              <w:pStyle w:val="ListParagraph"/>
              <w:numPr>
                <w:ilvl w:val="0"/>
                <w:numId w:val="19"/>
              </w:numPr>
              <w:jc w:val="both"/>
              <w:rPr>
                <w:rFonts w:ascii="Times New Roman" w:hAnsi="Times New Roman" w:cs="Times New Roman"/>
                <w:sz w:val="24"/>
                <w:szCs w:val="24"/>
              </w:rPr>
            </w:pPr>
            <w:r w:rsidRPr="004979D2">
              <w:rPr>
                <w:rFonts w:ascii="Times New Roman" w:hAnsi="Times New Roman" w:cs="Times New Roman"/>
                <w:sz w:val="24"/>
                <w:szCs w:val="24"/>
              </w:rPr>
              <w:t>Krijohen vakume ligjore dhe institucionale të cilat ndikojnë në vendimmarrje</w:t>
            </w:r>
            <w:r w:rsidR="00D0017D" w:rsidRPr="004979D2">
              <w:rPr>
                <w:rFonts w:ascii="Times New Roman" w:hAnsi="Times New Roman" w:cs="Times New Roman"/>
                <w:sz w:val="24"/>
                <w:szCs w:val="24"/>
              </w:rPr>
              <w:t xml:space="preserve"> dhe punën </w:t>
            </w:r>
            <w:r w:rsidRPr="004979D2">
              <w:rPr>
                <w:rFonts w:ascii="Times New Roman" w:hAnsi="Times New Roman" w:cs="Times New Roman"/>
                <w:sz w:val="24"/>
                <w:szCs w:val="24"/>
              </w:rPr>
              <w:t>A</w:t>
            </w:r>
            <w:r w:rsidR="00F8376E" w:rsidRPr="004979D2">
              <w:rPr>
                <w:rFonts w:ascii="Times New Roman" w:hAnsi="Times New Roman" w:cs="Times New Roman"/>
                <w:sz w:val="24"/>
                <w:szCs w:val="24"/>
              </w:rPr>
              <w:t>KK</w:t>
            </w:r>
            <w:r w:rsidR="003E43EE" w:rsidRPr="004979D2">
              <w:rPr>
                <w:rFonts w:ascii="Times New Roman" w:hAnsi="Times New Roman" w:cs="Times New Roman"/>
                <w:sz w:val="24"/>
                <w:szCs w:val="24"/>
              </w:rPr>
              <w:t>-së</w:t>
            </w:r>
          </w:p>
        </w:tc>
      </w:tr>
      <w:tr w:rsidR="007B53FE" w:rsidRPr="004979D2" w14:paraId="08DF2346" w14:textId="77777777" w:rsidTr="001C7171">
        <w:trPr>
          <w:jc w:val="center"/>
        </w:trPr>
        <w:tc>
          <w:tcPr>
            <w:tcW w:w="1638" w:type="dxa"/>
            <w:vMerge/>
            <w:tcBorders>
              <w:left w:val="single" w:sz="4" w:space="0" w:color="auto"/>
              <w:right w:val="single" w:sz="4" w:space="0" w:color="auto"/>
            </w:tcBorders>
          </w:tcPr>
          <w:p w14:paraId="4166FDCB" w14:textId="77777777" w:rsidR="007B53FE" w:rsidRPr="004979D2" w:rsidRDefault="007B53FE" w:rsidP="00E069A6">
            <w:pPr>
              <w:jc w:val="center"/>
              <w:rPr>
                <w:rFonts w:ascii="Times New Roman" w:hAnsi="Times New Roman" w:cs="Times New Roman"/>
                <w:b/>
                <w:sz w:val="24"/>
                <w:szCs w:val="24"/>
              </w:rPr>
            </w:pPr>
          </w:p>
        </w:tc>
        <w:tc>
          <w:tcPr>
            <w:tcW w:w="7938" w:type="dxa"/>
            <w:tcBorders>
              <w:left w:val="single" w:sz="4" w:space="0" w:color="auto"/>
            </w:tcBorders>
            <w:shd w:val="clear" w:color="auto" w:fill="D5DCE4" w:themeFill="text2" w:themeFillTint="33"/>
          </w:tcPr>
          <w:p w14:paraId="27231B68" w14:textId="77777777" w:rsidR="007B53FE" w:rsidRPr="004979D2" w:rsidRDefault="007B53FE" w:rsidP="00E069A6">
            <w:pPr>
              <w:pStyle w:val="ListParagraph"/>
              <w:numPr>
                <w:ilvl w:val="0"/>
                <w:numId w:val="19"/>
              </w:numPr>
              <w:jc w:val="both"/>
              <w:rPr>
                <w:rFonts w:ascii="Times New Roman" w:hAnsi="Times New Roman" w:cs="Times New Roman"/>
                <w:sz w:val="24"/>
                <w:szCs w:val="24"/>
              </w:rPr>
            </w:pPr>
            <w:r w:rsidRPr="004979D2">
              <w:rPr>
                <w:rFonts w:ascii="Times New Roman" w:hAnsi="Times New Roman" w:cs="Times New Roman"/>
                <w:sz w:val="24"/>
                <w:szCs w:val="24"/>
              </w:rPr>
              <w:t>Çrregullim i tregut të lir</w:t>
            </w:r>
            <w:r w:rsidR="003E43EE" w:rsidRPr="004979D2">
              <w:rPr>
                <w:rFonts w:ascii="Times New Roman" w:hAnsi="Times New Roman" w:cs="Times New Roman"/>
                <w:sz w:val="24"/>
                <w:szCs w:val="24"/>
              </w:rPr>
              <w:t>ë</w:t>
            </w:r>
            <w:r w:rsidRPr="004979D2">
              <w:rPr>
                <w:rFonts w:ascii="Times New Roman" w:hAnsi="Times New Roman" w:cs="Times New Roman"/>
                <w:sz w:val="24"/>
                <w:szCs w:val="24"/>
              </w:rPr>
              <w:t xml:space="preserve"> duke dëmtuar konsumatorin dhe funksionin e ndërmarrjeve</w:t>
            </w:r>
          </w:p>
        </w:tc>
      </w:tr>
      <w:tr w:rsidR="007B53FE" w:rsidRPr="004979D2" w14:paraId="48B452B2" w14:textId="77777777" w:rsidTr="001C7171">
        <w:trPr>
          <w:jc w:val="center"/>
        </w:trPr>
        <w:tc>
          <w:tcPr>
            <w:tcW w:w="1638" w:type="dxa"/>
            <w:vMerge/>
            <w:tcBorders>
              <w:left w:val="single" w:sz="4" w:space="0" w:color="auto"/>
              <w:right w:val="single" w:sz="4" w:space="0" w:color="auto"/>
            </w:tcBorders>
          </w:tcPr>
          <w:p w14:paraId="7358FAA2" w14:textId="77777777" w:rsidR="007B53FE" w:rsidRPr="004979D2" w:rsidRDefault="007B53FE" w:rsidP="00E069A6">
            <w:pPr>
              <w:jc w:val="center"/>
              <w:rPr>
                <w:rFonts w:ascii="Times New Roman" w:hAnsi="Times New Roman" w:cs="Times New Roman"/>
                <w:b/>
                <w:sz w:val="24"/>
                <w:szCs w:val="24"/>
              </w:rPr>
            </w:pPr>
          </w:p>
        </w:tc>
        <w:tc>
          <w:tcPr>
            <w:tcW w:w="7938" w:type="dxa"/>
            <w:tcBorders>
              <w:left w:val="single" w:sz="4" w:space="0" w:color="auto"/>
            </w:tcBorders>
            <w:shd w:val="clear" w:color="auto" w:fill="D5DCE4" w:themeFill="text2" w:themeFillTint="33"/>
          </w:tcPr>
          <w:p w14:paraId="3794209F" w14:textId="77777777" w:rsidR="007B53FE" w:rsidRPr="004979D2" w:rsidRDefault="007B53FE" w:rsidP="00E069A6">
            <w:pPr>
              <w:pStyle w:val="ListParagraph"/>
              <w:numPr>
                <w:ilvl w:val="0"/>
                <w:numId w:val="19"/>
              </w:numPr>
              <w:jc w:val="both"/>
              <w:rPr>
                <w:rFonts w:ascii="Times New Roman" w:hAnsi="Times New Roman" w:cs="Times New Roman"/>
                <w:sz w:val="24"/>
                <w:szCs w:val="24"/>
              </w:rPr>
            </w:pPr>
            <w:r w:rsidRPr="004979D2">
              <w:rPr>
                <w:rFonts w:ascii="Times New Roman" w:hAnsi="Times New Roman" w:cs="Times New Roman"/>
                <w:sz w:val="24"/>
                <w:szCs w:val="24"/>
              </w:rPr>
              <w:t xml:space="preserve">Krijohen </w:t>
            </w:r>
            <w:proofErr w:type="spellStart"/>
            <w:r w:rsidRPr="004979D2">
              <w:rPr>
                <w:rFonts w:ascii="Times New Roman" w:hAnsi="Times New Roman" w:cs="Times New Roman"/>
                <w:sz w:val="24"/>
                <w:szCs w:val="24"/>
              </w:rPr>
              <w:t>konfuzitete</w:t>
            </w:r>
            <w:proofErr w:type="spellEnd"/>
            <w:r w:rsidRPr="004979D2">
              <w:rPr>
                <w:rFonts w:ascii="Times New Roman" w:hAnsi="Times New Roman" w:cs="Times New Roman"/>
                <w:sz w:val="24"/>
                <w:szCs w:val="24"/>
              </w:rPr>
              <w:t xml:space="preserve">, pasiguri juridike dhe </w:t>
            </w:r>
            <w:proofErr w:type="spellStart"/>
            <w:r w:rsidRPr="004979D2">
              <w:rPr>
                <w:rFonts w:ascii="Times New Roman" w:hAnsi="Times New Roman" w:cs="Times New Roman"/>
                <w:sz w:val="24"/>
                <w:szCs w:val="24"/>
              </w:rPr>
              <w:t>dublifikim</w:t>
            </w:r>
            <w:proofErr w:type="spellEnd"/>
            <w:r w:rsidRPr="004979D2">
              <w:rPr>
                <w:rFonts w:ascii="Times New Roman" w:hAnsi="Times New Roman" w:cs="Times New Roman"/>
                <w:sz w:val="24"/>
                <w:szCs w:val="24"/>
              </w:rPr>
              <w:t xml:space="preserve"> i vendimeve</w:t>
            </w:r>
          </w:p>
        </w:tc>
      </w:tr>
      <w:tr w:rsidR="007B53FE" w:rsidRPr="004979D2" w14:paraId="2C865D66" w14:textId="77777777" w:rsidTr="001C7171">
        <w:trPr>
          <w:jc w:val="center"/>
        </w:trPr>
        <w:tc>
          <w:tcPr>
            <w:tcW w:w="1638" w:type="dxa"/>
            <w:vMerge/>
            <w:tcBorders>
              <w:left w:val="single" w:sz="4" w:space="0" w:color="auto"/>
              <w:right w:val="single" w:sz="4" w:space="0" w:color="auto"/>
            </w:tcBorders>
          </w:tcPr>
          <w:p w14:paraId="48D555D3" w14:textId="77777777" w:rsidR="007B53FE" w:rsidRPr="004979D2" w:rsidRDefault="007B53FE" w:rsidP="00E069A6">
            <w:pPr>
              <w:jc w:val="center"/>
              <w:rPr>
                <w:rFonts w:ascii="Times New Roman" w:hAnsi="Times New Roman" w:cs="Times New Roman"/>
                <w:b/>
                <w:sz w:val="24"/>
                <w:szCs w:val="24"/>
              </w:rPr>
            </w:pPr>
          </w:p>
        </w:tc>
        <w:tc>
          <w:tcPr>
            <w:tcW w:w="7938" w:type="dxa"/>
            <w:tcBorders>
              <w:left w:val="single" w:sz="4" w:space="0" w:color="auto"/>
            </w:tcBorders>
            <w:shd w:val="clear" w:color="auto" w:fill="D5DCE4" w:themeFill="text2" w:themeFillTint="33"/>
          </w:tcPr>
          <w:p w14:paraId="3B4A4D5B" w14:textId="77777777" w:rsidR="007B53FE" w:rsidRPr="004979D2" w:rsidRDefault="007B53FE" w:rsidP="00E069A6">
            <w:pPr>
              <w:pStyle w:val="ListParagraph"/>
              <w:numPr>
                <w:ilvl w:val="0"/>
                <w:numId w:val="19"/>
              </w:numPr>
              <w:jc w:val="both"/>
              <w:rPr>
                <w:rFonts w:ascii="Times New Roman" w:hAnsi="Times New Roman" w:cs="Times New Roman"/>
                <w:sz w:val="24"/>
                <w:szCs w:val="24"/>
              </w:rPr>
            </w:pPr>
            <w:r w:rsidRPr="004979D2">
              <w:rPr>
                <w:rFonts w:ascii="Times New Roman" w:hAnsi="Times New Roman" w:cs="Times New Roman"/>
                <w:sz w:val="24"/>
                <w:szCs w:val="24"/>
              </w:rPr>
              <w:t>Krijohen vakume institucionale në pozita të cilat ndikojnë në funksionimin e A</w:t>
            </w:r>
            <w:r w:rsidR="00F8376E" w:rsidRPr="004979D2">
              <w:rPr>
                <w:rFonts w:ascii="Times New Roman" w:hAnsi="Times New Roman" w:cs="Times New Roman"/>
                <w:sz w:val="24"/>
                <w:szCs w:val="24"/>
              </w:rPr>
              <w:t>KK</w:t>
            </w:r>
            <w:r w:rsidR="003E43EE" w:rsidRPr="004979D2">
              <w:rPr>
                <w:rFonts w:ascii="Times New Roman" w:hAnsi="Times New Roman" w:cs="Times New Roman"/>
                <w:sz w:val="24"/>
                <w:szCs w:val="24"/>
              </w:rPr>
              <w:t>-së</w:t>
            </w:r>
          </w:p>
        </w:tc>
      </w:tr>
      <w:tr w:rsidR="007B53FE" w:rsidRPr="004979D2" w14:paraId="7F00C6C9" w14:textId="77777777" w:rsidTr="001C7171">
        <w:trPr>
          <w:jc w:val="center"/>
        </w:trPr>
        <w:tc>
          <w:tcPr>
            <w:tcW w:w="1638" w:type="dxa"/>
            <w:vMerge/>
            <w:tcBorders>
              <w:left w:val="single" w:sz="4" w:space="0" w:color="auto"/>
              <w:right w:val="single" w:sz="4" w:space="0" w:color="auto"/>
            </w:tcBorders>
          </w:tcPr>
          <w:p w14:paraId="39B9D484" w14:textId="77777777" w:rsidR="007B53FE" w:rsidRPr="004979D2" w:rsidRDefault="007B53FE" w:rsidP="00E069A6">
            <w:pPr>
              <w:jc w:val="center"/>
              <w:rPr>
                <w:rFonts w:ascii="Times New Roman" w:hAnsi="Times New Roman" w:cs="Times New Roman"/>
                <w:b/>
                <w:sz w:val="24"/>
                <w:szCs w:val="24"/>
              </w:rPr>
            </w:pPr>
          </w:p>
        </w:tc>
        <w:tc>
          <w:tcPr>
            <w:tcW w:w="7938" w:type="dxa"/>
            <w:tcBorders>
              <w:left w:val="single" w:sz="4" w:space="0" w:color="auto"/>
            </w:tcBorders>
            <w:shd w:val="clear" w:color="auto" w:fill="D5DCE4" w:themeFill="text2" w:themeFillTint="33"/>
          </w:tcPr>
          <w:p w14:paraId="291AAA37" w14:textId="77777777" w:rsidR="007B53FE" w:rsidRPr="004979D2" w:rsidRDefault="004976EC" w:rsidP="00E069A6">
            <w:pPr>
              <w:pStyle w:val="ListParagraph"/>
              <w:numPr>
                <w:ilvl w:val="0"/>
                <w:numId w:val="19"/>
              </w:numPr>
              <w:jc w:val="both"/>
              <w:rPr>
                <w:rFonts w:ascii="Times New Roman" w:hAnsi="Times New Roman" w:cs="Times New Roman"/>
                <w:sz w:val="24"/>
                <w:szCs w:val="24"/>
              </w:rPr>
            </w:pPr>
            <w:r w:rsidRPr="004979D2">
              <w:rPr>
                <w:rFonts w:ascii="Times New Roman" w:hAnsi="Times New Roman" w:cs="Times New Roman"/>
                <w:sz w:val="24"/>
                <w:szCs w:val="24"/>
              </w:rPr>
              <w:t>Zvarritj</w:t>
            </w:r>
            <w:r w:rsidR="003E43EE" w:rsidRPr="004979D2">
              <w:rPr>
                <w:rFonts w:ascii="Times New Roman" w:hAnsi="Times New Roman" w:cs="Times New Roman"/>
                <w:sz w:val="24"/>
                <w:szCs w:val="24"/>
              </w:rPr>
              <w:t>a</w:t>
            </w:r>
            <w:r w:rsidR="007B53FE" w:rsidRPr="004979D2">
              <w:rPr>
                <w:rFonts w:ascii="Times New Roman" w:hAnsi="Times New Roman" w:cs="Times New Roman"/>
                <w:sz w:val="24"/>
                <w:szCs w:val="24"/>
              </w:rPr>
              <w:t xml:space="preserve"> e lëndëve nëpër gjykata, zvogëlon rolin ekzekutiv të autoritetit, cenon konkurrencën dhe tregun e lir</w:t>
            </w:r>
            <w:r w:rsidR="003E43EE" w:rsidRPr="004979D2">
              <w:rPr>
                <w:rFonts w:ascii="Times New Roman" w:hAnsi="Times New Roman" w:cs="Times New Roman"/>
                <w:sz w:val="24"/>
                <w:szCs w:val="24"/>
              </w:rPr>
              <w:t>ë</w:t>
            </w:r>
            <w:r w:rsidR="007B53FE" w:rsidRPr="004979D2">
              <w:rPr>
                <w:rFonts w:ascii="Times New Roman" w:hAnsi="Times New Roman" w:cs="Times New Roman"/>
                <w:sz w:val="24"/>
                <w:szCs w:val="24"/>
              </w:rPr>
              <w:t>.</w:t>
            </w:r>
          </w:p>
        </w:tc>
      </w:tr>
      <w:tr w:rsidR="007B53FE" w:rsidRPr="004979D2" w14:paraId="15BBF934" w14:textId="77777777" w:rsidTr="001C7171">
        <w:trPr>
          <w:jc w:val="center"/>
        </w:trPr>
        <w:tc>
          <w:tcPr>
            <w:tcW w:w="1638" w:type="dxa"/>
            <w:vMerge/>
            <w:tcBorders>
              <w:left w:val="single" w:sz="4" w:space="0" w:color="auto"/>
              <w:right w:val="single" w:sz="4" w:space="0" w:color="auto"/>
            </w:tcBorders>
          </w:tcPr>
          <w:p w14:paraId="5BD6FFCF" w14:textId="77777777" w:rsidR="007B53FE" w:rsidRPr="004979D2" w:rsidRDefault="007B53FE" w:rsidP="00E069A6">
            <w:pPr>
              <w:jc w:val="center"/>
              <w:rPr>
                <w:rFonts w:ascii="Times New Roman" w:hAnsi="Times New Roman" w:cs="Times New Roman"/>
                <w:b/>
                <w:sz w:val="24"/>
                <w:szCs w:val="24"/>
              </w:rPr>
            </w:pPr>
          </w:p>
        </w:tc>
        <w:tc>
          <w:tcPr>
            <w:tcW w:w="7938" w:type="dxa"/>
            <w:tcBorders>
              <w:left w:val="single" w:sz="4" w:space="0" w:color="auto"/>
            </w:tcBorders>
            <w:shd w:val="clear" w:color="auto" w:fill="D5DCE4" w:themeFill="text2" w:themeFillTint="33"/>
          </w:tcPr>
          <w:p w14:paraId="62208C87" w14:textId="77777777" w:rsidR="007B53FE" w:rsidRPr="004979D2" w:rsidRDefault="007B53FE" w:rsidP="00E069A6">
            <w:pPr>
              <w:pStyle w:val="ListParagraph"/>
              <w:numPr>
                <w:ilvl w:val="0"/>
                <w:numId w:val="19"/>
              </w:numPr>
              <w:jc w:val="both"/>
              <w:rPr>
                <w:rFonts w:ascii="Times New Roman" w:hAnsi="Times New Roman" w:cs="Times New Roman"/>
                <w:sz w:val="24"/>
                <w:szCs w:val="24"/>
              </w:rPr>
            </w:pPr>
            <w:r w:rsidRPr="004979D2">
              <w:rPr>
                <w:rFonts w:ascii="Times New Roman" w:hAnsi="Times New Roman" w:cs="Times New Roman"/>
                <w:sz w:val="24"/>
                <w:szCs w:val="24"/>
              </w:rPr>
              <w:t xml:space="preserve">Mos efikasitet në zhvillimin e procedurave hetimore </w:t>
            </w:r>
          </w:p>
        </w:tc>
      </w:tr>
      <w:tr w:rsidR="007B53FE" w:rsidRPr="004979D2" w14:paraId="27664686" w14:textId="77777777" w:rsidTr="001C7171">
        <w:trPr>
          <w:jc w:val="center"/>
        </w:trPr>
        <w:tc>
          <w:tcPr>
            <w:tcW w:w="1638" w:type="dxa"/>
            <w:vMerge/>
            <w:tcBorders>
              <w:left w:val="single" w:sz="4" w:space="0" w:color="auto"/>
              <w:right w:val="single" w:sz="4" w:space="0" w:color="auto"/>
            </w:tcBorders>
          </w:tcPr>
          <w:p w14:paraId="6753F16B" w14:textId="77777777" w:rsidR="007B53FE" w:rsidRPr="004979D2" w:rsidRDefault="007B53FE" w:rsidP="00E069A6">
            <w:pPr>
              <w:jc w:val="center"/>
              <w:rPr>
                <w:rFonts w:ascii="Times New Roman" w:hAnsi="Times New Roman" w:cs="Times New Roman"/>
                <w:b/>
                <w:sz w:val="24"/>
                <w:szCs w:val="24"/>
              </w:rPr>
            </w:pPr>
          </w:p>
        </w:tc>
        <w:tc>
          <w:tcPr>
            <w:tcW w:w="7938" w:type="dxa"/>
            <w:tcBorders>
              <w:left w:val="single" w:sz="4" w:space="0" w:color="auto"/>
            </w:tcBorders>
            <w:shd w:val="clear" w:color="auto" w:fill="auto"/>
          </w:tcPr>
          <w:p w14:paraId="1A61722F" w14:textId="77777777" w:rsidR="007B53FE" w:rsidRPr="004979D2" w:rsidRDefault="007B53FE" w:rsidP="00E069A6">
            <w:pPr>
              <w:pStyle w:val="ListParagraph"/>
              <w:ind w:left="0"/>
              <w:jc w:val="both"/>
              <w:rPr>
                <w:rFonts w:ascii="Times New Roman" w:hAnsi="Times New Roman" w:cs="Times New Roman"/>
                <w:sz w:val="24"/>
                <w:szCs w:val="24"/>
              </w:rPr>
            </w:pPr>
            <w:r w:rsidRPr="004979D2">
              <w:rPr>
                <w:rFonts w:ascii="Times New Roman" w:hAnsi="Times New Roman" w:cs="Times New Roman"/>
                <w:b/>
                <w:color w:val="00B050"/>
                <w:sz w:val="24"/>
                <w:szCs w:val="24"/>
              </w:rPr>
              <w:t>RREGULLAT NUK JANË MË TË NEVOJSHME</w:t>
            </w:r>
          </w:p>
        </w:tc>
      </w:tr>
      <w:tr w:rsidR="007B53FE" w:rsidRPr="004979D2" w14:paraId="1A4E7F77" w14:textId="77777777" w:rsidTr="00695808">
        <w:trPr>
          <w:jc w:val="center"/>
        </w:trPr>
        <w:tc>
          <w:tcPr>
            <w:tcW w:w="1638" w:type="dxa"/>
            <w:vMerge/>
            <w:tcBorders>
              <w:left w:val="single" w:sz="4" w:space="0" w:color="auto"/>
              <w:bottom w:val="single" w:sz="4" w:space="0" w:color="auto"/>
              <w:right w:val="single" w:sz="4" w:space="0" w:color="auto"/>
            </w:tcBorders>
          </w:tcPr>
          <w:p w14:paraId="19AC472B" w14:textId="77777777" w:rsidR="007B53FE" w:rsidRPr="004979D2" w:rsidRDefault="007B53FE" w:rsidP="00E069A6">
            <w:pPr>
              <w:jc w:val="center"/>
              <w:rPr>
                <w:rFonts w:ascii="Times New Roman" w:hAnsi="Times New Roman" w:cs="Times New Roman"/>
                <w:b/>
                <w:sz w:val="24"/>
                <w:szCs w:val="24"/>
              </w:rPr>
            </w:pPr>
          </w:p>
        </w:tc>
        <w:tc>
          <w:tcPr>
            <w:tcW w:w="7938" w:type="dxa"/>
            <w:tcBorders>
              <w:left w:val="single" w:sz="4" w:space="0" w:color="auto"/>
            </w:tcBorders>
            <w:shd w:val="clear" w:color="auto" w:fill="D9D9D9" w:themeFill="background1" w:themeFillShade="D9"/>
          </w:tcPr>
          <w:p w14:paraId="0132F0DA" w14:textId="77777777" w:rsidR="007B53FE" w:rsidRPr="004979D2" w:rsidRDefault="007B53FE" w:rsidP="00E069A6">
            <w:pPr>
              <w:pStyle w:val="ListParagraph"/>
              <w:numPr>
                <w:ilvl w:val="0"/>
                <w:numId w:val="19"/>
              </w:numPr>
              <w:jc w:val="both"/>
              <w:rPr>
                <w:rFonts w:ascii="Times New Roman" w:hAnsi="Times New Roman" w:cs="Times New Roman"/>
                <w:sz w:val="24"/>
                <w:szCs w:val="24"/>
              </w:rPr>
            </w:pPr>
            <w:r w:rsidRPr="004979D2">
              <w:rPr>
                <w:rFonts w:ascii="Times New Roman" w:hAnsi="Times New Roman" w:cs="Times New Roman"/>
                <w:color w:val="000000" w:themeColor="text1"/>
                <w:sz w:val="24"/>
                <w:szCs w:val="24"/>
              </w:rPr>
              <w:t>Krijohen paqartësi sa i përket kompetencave institucionale.</w:t>
            </w:r>
          </w:p>
        </w:tc>
      </w:tr>
      <w:tr w:rsidR="00375B0F" w:rsidRPr="004979D2" w14:paraId="452607E9" w14:textId="77777777" w:rsidTr="00695808">
        <w:trPr>
          <w:jc w:val="center"/>
        </w:trPr>
        <w:tc>
          <w:tcPr>
            <w:tcW w:w="1638" w:type="dxa"/>
            <w:tcBorders>
              <w:top w:val="single" w:sz="4" w:space="0" w:color="auto"/>
            </w:tcBorders>
          </w:tcPr>
          <w:p w14:paraId="507CA869" w14:textId="77777777" w:rsidR="00375B0F" w:rsidRPr="004979D2" w:rsidRDefault="00375B0F" w:rsidP="00E069A6">
            <w:pPr>
              <w:jc w:val="center"/>
              <w:rPr>
                <w:rFonts w:ascii="Times New Roman" w:hAnsi="Times New Roman" w:cs="Times New Roman"/>
                <w:b/>
                <w:sz w:val="24"/>
                <w:szCs w:val="24"/>
              </w:rPr>
            </w:pPr>
            <w:r w:rsidRPr="004979D2">
              <w:rPr>
                <w:rFonts w:ascii="Times New Roman" w:hAnsi="Times New Roman" w:cs="Times New Roman"/>
                <w:b/>
                <w:sz w:val="24"/>
                <w:szCs w:val="24"/>
              </w:rPr>
              <w:t>PROBLEMI KRYESOR</w:t>
            </w:r>
          </w:p>
        </w:tc>
        <w:tc>
          <w:tcPr>
            <w:tcW w:w="7938" w:type="dxa"/>
            <w:vAlign w:val="center"/>
          </w:tcPr>
          <w:p w14:paraId="5955A19E" w14:textId="77777777" w:rsidR="00375B0F" w:rsidRPr="004979D2" w:rsidRDefault="00375B0F" w:rsidP="00E069A6">
            <w:pPr>
              <w:jc w:val="center"/>
              <w:rPr>
                <w:rFonts w:ascii="Times New Roman" w:hAnsi="Times New Roman" w:cs="Times New Roman"/>
                <w:b/>
                <w:color w:val="767171" w:themeColor="background2" w:themeShade="80"/>
                <w:sz w:val="24"/>
                <w:szCs w:val="24"/>
              </w:rPr>
            </w:pPr>
            <w:r w:rsidRPr="004979D2">
              <w:rPr>
                <w:rFonts w:ascii="Times New Roman" w:hAnsi="Times New Roman" w:cs="Times New Roman"/>
                <w:b/>
                <w:i/>
                <w:sz w:val="24"/>
                <w:szCs w:val="24"/>
              </w:rPr>
              <w:t>Vështirësi në funksionimin e lirë të tregut dhe mbrojtjen e konkurrencës.</w:t>
            </w:r>
          </w:p>
        </w:tc>
      </w:tr>
      <w:tr w:rsidR="00375B0F" w:rsidRPr="004979D2" w14:paraId="5F1D52BA" w14:textId="77777777" w:rsidTr="00695808">
        <w:trPr>
          <w:trHeight w:val="332"/>
          <w:jc w:val="center"/>
        </w:trPr>
        <w:tc>
          <w:tcPr>
            <w:tcW w:w="1638" w:type="dxa"/>
            <w:vMerge w:val="restart"/>
            <w:vAlign w:val="center"/>
          </w:tcPr>
          <w:p w14:paraId="5F0A437E" w14:textId="77777777" w:rsidR="00375B0F" w:rsidRPr="004979D2" w:rsidRDefault="00AA1ECC" w:rsidP="00E069A6">
            <w:pPr>
              <w:jc w:val="center"/>
              <w:rPr>
                <w:rFonts w:ascii="Times New Roman" w:hAnsi="Times New Roman" w:cs="Times New Roman"/>
                <w:sz w:val="24"/>
                <w:szCs w:val="24"/>
              </w:rPr>
            </w:pPr>
            <w:r w:rsidRPr="004979D2">
              <w:rPr>
                <w:rFonts w:ascii="Times New Roman" w:hAnsi="Times New Roman" w:cs="Times New Roman"/>
                <w:b/>
                <w:sz w:val="24"/>
                <w:szCs w:val="24"/>
              </w:rPr>
              <w:t>SHKAQET</w:t>
            </w:r>
          </w:p>
        </w:tc>
        <w:tc>
          <w:tcPr>
            <w:tcW w:w="7938" w:type="dxa"/>
          </w:tcPr>
          <w:p w14:paraId="27CC2E6A" w14:textId="77777777" w:rsidR="00375B0F" w:rsidRPr="004979D2" w:rsidRDefault="00375B0F" w:rsidP="00E069A6">
            <w:pPr>
              <w:jc w:val="both"/>
              <w:rPr>
                <w:rFonts w:ascii="Times New Roman" w:hAnsi="Times New Roman" w:cs="Times New Roman"/>
                <w:b/>
                <w:color w:val="767171" w:themeColor="background2" w:themeShade="80"/>
                <w:sz w:val="24"/>
                <w:szCs w:val="24"/>
              </w:rPr>
            </w:pPr>
            <w:r w:rsidRPr="004979D2">
              <w:rPr>
                <w:rFonts w:ascii="Times New Roman" w:hAnsi="Times New Roman" w:cs="Times New Roman"/>
                <w:b/>
                <w:color w:val="8496B0" w:themeColor="text2" w:themeTint="99"/>
                <w:sz w:val="24"/>
                <w:szCs w:val="24"/>
              </w:rPr>
              <w:t xml:space="preserve">RREGULLAT JANË TË PA KOMPLETUARA </w:t>
            </w:r>
          </w:p>
        </w:tc>
      </w:tr>
      <w:tr w:rsidR="00375B0F" w:rsidRPr="004979D2" w14:paraId="2EA4C9C6" w14:textId="77777777" w:rsidTr="005D592D">
        <w:trPr>
          <w:jc w:val="center"/>
        </w:trPr>
        <w:tc>
          <w:tcPr>
            <w:tcW w:w="1638" w:type="dxa"/>
            <w:vMerge/>
          </w:tcPr>
          <w:p w14:paraId="02FB8895" w14:textId="77777777" w:rsidR="00375B0F" w:rsidRPr="004979D2" w:rsidRDefault="00375B0F" w:rsidP="00E069A6">
            <w:pPr>
              <w:rPr>
                <w:rFonts w:ascii="Times New Roman" w:hAnsi="Times New Roman" w:cs="Times New Roman"/>
                <w:sz w:val="24"/>
                <w:szCs w:val="24"/>
              </w:rPr>
            </w:pPr>
          </w:p>
        </w:tc>
        <w:tc>
          <w:tcPr>
            <w:tcW w:w="7938" w:type="dxa"/>
            <w:shd w:val="clear" w:color="auto" w:fill="D5DCE4" w:themeFill="text2" w:themeFillTint="33"/>
          </w:tcPr>
          <w:p w14:paraId="06B37BE6" w14:textId="788F38A4" w:rsidR="00375B0F" w:rsidRPr="004979D2" w:rsidRDefault="00375B0F" w:rsidP="00E069A6">
            <w:pPr>
              <w:pStyle w:val="ListParagraph"/>
              <w:numPr>
                <w:ilvl w:val="0"/>
                <w:numId w:val="24"/>
              </w:numPr>
              <w:jc w:val="both"/>
              <w:rPr>
                <w:rFonts w:ascii="Times New Roman" w:hAnsi="Times New Roman" w:cs="Times New Roman"/>
                <w:sz w:val="24"/>
                <w:szCs w:val="24"/>
              </w:rPr>
            </w:pPr>
            <w:r w:rsidRPr="004979D2">
              <w:rPr>
                <w:rFonts w:ascii="Times New Roman" w:hAnsi="Times New Roman" w:cs="Times New Roman"/>
                <w:sz w:val="24"/>
                <w:szCs w:val="24"/>
              </w:rPr>
              <w:t xml:space="preserve">Mungesë e </w:t>
            </w:r>
            <w:proofErr w:type="spellStart"/>
            <w:r w:rsidRPr="004979D2">
              <w:rPr>
                <w:rFonts w:ascii="Times New Roman" w:hAnsi="Times New Roman" w:cs="Times New Roman"/>
                <w:sz w:val="24"/>
                <w:szCs w:val="24"/>
              </w:rPr>
              <w:t>definimit</w:t>
            </w:r>
            <w:proofErr w:type="spellEnd"/>
            <w:r w:rsidRPr="004979D2">
              <w:rPr>
                <w:rFonts w:ascii="Times New Roman" w:hAnsi="Times New Roman" w:cs="Times New Roman"/>
                <w:sz w:val="24"/>
                <w:szCs w:val="24"/>
              </w:rPr>
              <w:t xml:space="preserve"> ose përcaktimit të kritereve për përjashtime grupore </w:t>
            </w:r>
          </w:p>
        </w:tc>
      </w:tr>
      <w:tr w:rsidR="00375B0F" w:rsidRPr="004979D2" w14:paraId="034C4CF2" w14:textId="77777777" w:rsidTr="005D592D">
        <w:trPr>
          <w:jc w:val="center"/>
        </w:trPr>
        <w:tc>
          <w:tcPr>
            <w:tcW w:w="1638" w:type="dxa"/>
            <w:vMerge/>
          </w:tcPr>
          <w:p w14:paraId="02DD89A4" w14:textId="77777777" w:rsidR="00375B0F" w:rsidRPr="004979D2" w:rsidRDefault="00375B0F" w:rsidP="00E069A6">
            <w:pPr>
              <w:rPr>
                <w:rFonts w:ascii="Times New Roman" w:hAnsi="Times New Roman" w:cs="Times New Roman"/>
                <w:sz w:val="24"/>
                <w:szCs w:val="24"/>
              </w:rPr>
            </w:pPr>
          </w:p>
        </w:tc>
        <w:tc>
          <w:tcPr>
            <w:tcW w:w="7938" w:type="dxa"/>
            <w:shd w:val="clear" w:color="auto" w:fill="D5DCE4" w:themeFill="text2" w:themeFillTint="33"/>
          </w:tcPr>
          <w:p w14:paraId="07F5FF35" w14:textId="77777777" w:rsidR="00375B0F" w:rsidRPr="004979D2" w:rsidRDefault="00375B0F" w:rsidP="00E069A6">
            <w:pPr>
              <w:pStyle w:val="ListParagraph"/>
              <w:numPr>
                <w:ilvl w:val="0"/>
                <w:numId w:val="24"/>
              </w:numPr>
              <w:jc w:val="both"/>
              <w:rPr>
                <w:rFonts w:ascii="Times New Roman" w:hAnsi="Times New Roman" w:cs="Times New Roman"/>
                <w:sz w:val="24"/>
                <w:szCs w:val="24"/>
              </w:rPr>
            </w:pPr>
            <w:r w:rsidRPr="004979D2">
              <w:rPr>
                <w:rFonts w:ascii="Times New Roman" w:hAnsi="Times New Roman" w:cs="Times New Roman"/>
                <w:sz w:val="24"/>
                <w:szCs w:val="24"/>
              </w:rPr>
              <w:t>Mospërputhja me fuqinë ekonomike të tregut dhe operatoreve në tregjet përkatëse (</w:t>
            </w:r>
            <w:proofErr w:type="spellStart"/>
            <w:r w:rsidRPr="004979D2">
              <w:rPr>
                <w:rFonts w:ascii="Times New Roman" w:hAnsi="Times New Roman" w:cs="Times New Roman"/>
                <w:sz w:val="24"/>
                <w:szCs w:val="24"/>
              </w:rPr>
              <w:t>definimi</w:t>
            </w:r>
            <w:proofErr w:type="spellEnd"/>
            <w:r w:rsidRPr="004979D2">
              <w:rPr>
                <w:rFonts w:ascii="Times New Roman" w:hAnsi="Times New Roman" w:cs="Times New Roman"/>
                <w:sz w:val="24"/>
                <w:szCs w:val="24"/>
              </w:rPr>
              <w:t xml:space="preserve"> i pozitës dominuese nga 25% në 40 %)</w:t>
            </w:r>
          </w:p>
        </w:tc>
      </w:tr>
      <w:tr w:rsidR="00375B0F" w:rsidRPr="004979D2" w14:paraId="37B5C68E" w14:textId="77777777" w:rsidTr="005D592D">
        <w:trPr>
          <w:jc w:val="center"/>
        </w:trPr>
        <w:tc>
          <w:tcPr>
            <w:tcW w:w="1638" w:type="dxa"/>
            <w:vMerge/>
          </w:tcPr>
          <w:p w14:paraId="2130809D" w14:textId="77777777" w:rsidR="00375B0F" w:rsidRPr="004979D2" w:rsidRDefault="00375B0F" w:rsidP="00E069A6">
            <w:pPr>
              <w:rPr>
                <w:rFonts w:ascii="Times New Roman" w:hAnsi="Times New Roman" w:cs="Times New Roman"/>
                <w:sz w:val="24"/>
                <w:szCs w:val="24"/>
              </w:rPr>
            </w:pPr>
          </w:p>
        </w:tc>
        <w:tc>
          <w:tcPr>
            <w:tcW w:w="7938" w:type="dxa"/>
            <w:shd w:val="clear" w:color="auto" w:fill="D5DCE4" w:themeFill="text2" w:themeFillTint="33"/>
          </w:tcPr>
          <w:p w14:paraId="5CC2C96A" w14:textId="77777777" w:rsidR="00375B0F" w:rsidRPr="004979D2" w:rsidRDefault="00375B0F" w:rsidP="00E069A6">
            <w:pPr>
              <w:pStyle w:val="ListParagraph"/>
              <w:numPr>
                <w:ilvl w:val="0"/>
                <w:numId w:val="24"/>
              </w:numPr>
              <w:jc w:val="both"/>
              <w:rPr>
                <w:rFonts w:ascii="Times New Roman" w:hAnsi="Times New Roman" w:cs="Times New Roman"/>
                <w:sz w:val="24"/>
                <w:szCs w:val="24"/>
              </w:rPr>
            </w:pPr>
            <w:r w:rsidRPr="004979D2">
              <w:rPr>
                <w:rFonts w:ascii="Times New Roman" w:hAnsi="Times New Roman" w:cs="Times New Roman"/>
                <w:sz w:val="24"/>
                <w:szCs w:val="24"/>
              </w:rPr>
              <w:t>Jo harmonizimi i ligjit për Mbrojtjen e Konkurrencës me Ligjet relevante në fuqi.</w:t>
            </w:r>
          </w:p>
        </w:tc>
      </w:tr>
      <w:tr w:rsidR="00375B0F" w:rsidRPr="004979D2" w14:paraId="507D8560" w14:textId="77777777" w:rsidTr="005D592D">
        <w:trPr>
          <w:jc w:val="center"/>
        </w:trPr>
        <w:tc>
          <w:tcPr>
            <w:tcW w:w="1638" w:type="dxa"/>
            <w:vMerge/>
          </w:tcPr>
          <w:p w14:paraId="538F0C0D" w14:textId="77777777" w:rsidR="00375B0F" w:rsidRPr="004979D2" w:rsidRDefault="00375B0F" w:rsidP="00E069A6">
            <w:pPr>
              <w:rPr>
                <w:rFonts w:ascii="Times New Roman" w:hAnsi="Times New Roman" w:cs="Times New Roman"/>
                <w:sz w:val="24"/>
                <w:szCs w:val="24"/>
              </w:rPr>
            </w:pPr>
          </w:p>
        </w:tc>
        <w:tc>
          <w:tcPr>
            <w:tcW w:w="7938" w:type="dxa"/>
            <w:shd w:val="clear" w:color="auto" w:fill="D5DCE4" w:themeFill="text2" w:themeFillTint="33"/>
          </w:tcPr>
          <w:p w14:paraId="31CE4017" w14:textId="77777777" w:rsidR="00375B0F" w:rsidRPr="004979D2" w:rsidRDefault="00375B0F" w:rsidP="00E069A6">
            <w:pPr>
              <w:pStyle w:val="ListParagraph"/>
              <w:numPr>
                <w:ilvl w:val="0"/>
                <w:numId w:val="24"/>
              </w:numPr>
              <w:jc w:val="both"/>
              <w:rPr>
                <w:rFonts w:ascii="Times New Roman" w:hAnsi="Times New Roman" w:cs="Times New Roman"/>
                <w:sz w:val="24"/>
                <w:szCs w:val="24"/>
              </w:rPr>
            </w:pPr>
            <w:r w:rsidRPr="004979D2">
              <w:rPr>
                <w:rFonts w:ascii="Times New Roman" w:hAnsi="Times New Roman" w:cs="Times New Roman"/>
                <w:sz w:val="24"/>
                <w:szCs w:val="24"/>
              </w:rPr>
              <w:t>Mungesa e qartësimit të dispozitave që rregullojnë mandatin e pozitave dhe funksionimin në tërësi të Autoritetit</w:t>
            </w:r>
          </w:p>
        </w:tc>
      </w:tr>
      <w:tr w:rsidR="00375B0F" w:rsidRPr="004979D2" w14:paraId="373D8647" w14:textId="77777777" w:rsidTr="005D592D">
        <w:trPr>
          <w:jc w:val="center"/>
        </w:trPr>
        <w:tc>
          <w:tcPr>
            <w:tcW w:w="1638" w:type="dxa"/>
            <w:vMerge/>
          </w:tcPr>
          <w:p w14:paraId="7A72979A" w14:textId="77777777" w:rsidR="00375B0F" w:rsidRPr="004979D2" w:rsidRDefault="00375B0F" w:rsidP="00E069A6">
            <w:pPr>
              <w:rPr>
                <w:rFonts w:ascii="Times New Roman" w:hAnsi="Times New Roman" w:cs="Times New Roman"/>
                <w:sz w:val="24"/>
                <w:szCs w:val="24"/>
              </w:rPr>
            </w:pPr>
          </w:p>
        </w:tc>
        <w:tc>
          <w:tcPr>
            <w:tcW w:w="7938" w:type="dxa"/>
            <w:shd w:val="clear" w:color="auto" w:fill="D5DCE4" w:themeFill="text2" w:themeFillTint="33"/>
          </w:tcPr>
          <w:p w14:paraId="192EE616" w14:textId="77777777" w:rsidR="00375B0F" w:rsidRPr="004979D2" w:rsidRDefault="00375B0F" w:rsidP="00E069A6">
            <w:pPr>
              <w:pStyle w:val="ListParagraph"/>
              <w:numPr>
                <w:ilvl w:val="0"/>
                <w:numId w:val="24"/>
              </w:numPr>
              <w:jc w:val="both"/>
              <w:rPr>
                <w:rFonts w:ascii="Times New Roman" w:hAnsi="Times New Roman" w:cs="Times New Roman"/>
                <w:sz w:val="24"/>
                <w:szCs w:val="24"/>
              </w:rPr>
            </w:pPr>
            <w:r w:rsidRPr="004979D2">
              <w:rPr>
                <w:rFonts w:ascii="Times New Roman" w:hAnsi="Times New Roman" w:cs="Times New Roman"/>
                <w:sz w:val="24"/>
                <w:szCs w:val="24"/>
              </w:rPr>
              <w:t>Vendimet e A</w:t>
            </w:r>
            <w:r w:rsidR="00F8376E" w:rsidRPr="004979D2">
              <w:rPr>
                <w:rFonts w:ascii="Times New Roman" w:hAnsi="Times New Roman" w:cs="Times New Roman"/>
                <w:sz w:val="24"/>
                <w:szCs w:val="24"/>
              </w:rPr>
              <w:t>KK</w:t>
            </w:r>
            <w:r w:rsidRPr="004979D2">
              <w:rPr>
                <w:rFonts w:ascii="Times New Roman" w:hAnsi="Times New Roman" w:cs="Times New Roman"/>
                <w:sz w:val="24"/>
                <w:szCs w:val="24"/>
              </w:rPr>
              <w:t xml:space="preserve"> nuk kan</w:t>
            </w:r>
            <w:r w:rsidR="003E43EE" w:rsidRPr="004979D2">
              <w:rPr>
                <w:rFonts w:ascii="Times New Roman" w:hAnsi="Times New Roman" w:cs="Times New Roman"/>
                <w:sz w:val="24"/>
                <w:szCs w:val="24"/>
              </w:rPr>
              <w:t>ë</w:t>
            </w:r>
            <w:r w:rsidRPr="004979D2">
              <w:rPr>
                <w:rFonts w:ascii="Times New Roman" w:hAnsi="Times New Roman" w:cs="Times New Roman"/>
                <w:sz w:val="24"/>
                <w:szCs w:val="24"/>
              </w:rPr>
              <w:t xml:space="preserve"> efekt ekzekutues në rast të inicimit konfliktit administrativ. </w:t>
            </w:r>
          </w:p>
        </w:tc>
      </w:tr>
      <w:tr w:rsidR="00375B0F" w:rsidRPr="004979D2" w14:paraId="7E30AB7A" w14:textId="77777777" w:rsidTr="005D592D">
        <w:trPr>
          <w:jc w:val="center"/>
        </w:trPr>
        <w:tc>
          <w:tcPr>
            <w:tcW w:w="1638" w:type="dxa"/>
            <w:vMerge/>
          </w:tcPr>
          <w:p w14:paraId="4E5512AE" w14:textId="77777777" w:rsidR="00375B0F" w:rsidRPr="004979D2" w:rsidRDefault="00375B0F" w:rsidP="00E069A6">
            <w:pPr>
              <w:rPr>
                <w:rFonts w:ascii="Times New Roman" w:hAnsi="Times New Roman" w:cs="Times New Roman"/>
                <w:sz w:val="24"/>
                <w:szCs w:val="24"/>
              </w:rPr>
            </w:pPr>
          </w:p>
        </w:tc>
        <w:tc>
          <w:tcPr>
            <w:tcW w:w="7938" w:type="dxa"/>
            <w:shd w:val="clear" w:color="auto" w:fill="D5DCE4" w:themeFill="text2" w:themeFillTint="33"/>
          </w:tcPr>
          <w:p w14:paraId="30BA8297" w14:textId="77777777" w:rsidR="00375B0F" w:rsidRPr="004979D2" w:rsidRDefault="00375B0F" w:rsidP="00E069A6">
            <w:pPr>
              <w:pStyle w:val="ListParagraph"/>
              <w:numPr>
                <w:ilvl w:val="0"/>
                <w:numId w:val="24"/>
              </w:numPr>
              <w:jc w:val="both"/>
              <w:rPr>
                <w:rFonts w:ascii="Times New Roman" w:hAnsi="Times New Roman" w:cs="Times New Roman"/>
                <w:sz w:val="24"/>
                <w:szCs w:val="24"/>
              </w:rPr>
            </w:pPr>
            <w:r w:rsidRPr="004979D2">
              <w:rPr>
                <w:rFonts w:ascii="Times New Roman" w:hAnsi="Times New Roman" w:cs="Times New Roman"/>
                <w:sz w:val="24"/>
                <w:szCs w:val="24"/>
              </w:rPr>
              <w:t>Procedurat hetimore janë të pa qarta</w:t>
            </w:r>
          </w:p>
        </w:tc>
      </w:tr>
      <w:tr w:rsidR="00375B0F" w:rsidRPr="004979D2" w14:paraId="0B5A2A03" w14:textId="77777777" w:rsidTr="005D592D">
        <w:trPr>
          <w:jc w:val="center"/>
        </w:trPr>
        <w:tc>
          <w:tcPr>
            <w:tcW w:w="1638" w:type="dxa"/>
            <w:vMerge/>
          </w:tcPr>
          <w:p w14:paraId="2C2F523F" w14:textId="77777777" w:rsidR="00375B0F" w:rsidRPr="004979D2" w:rsidRDefault="00375B0F" w:rsidP="00E069A6">
            <w:pPr>
              <w:rPr>
                <w:rFonts w:ascii="Times New Roman" w:hAnsi="Times New Roman" w:cs="Times New Roman"/>
                <w:sz w:val="24"/>
                <w:szCs w:val="24"/>
              </w:rPr>
            </w:pPr>
          </w:p>
        </w:tc>
        <w:tc>
          <w:tcPr>
            <w:tcW w:w="7938" w:type="dxa"/>
          </w:tcPr>
          <w:p w14:paraId="2E72F628" w14:textId="77777777" w:rsidR="00375B0F" w:rsidRPr="004979D2" w:rsidRDefault="00375B0F" w:rsidP="00E069A6">
            <w:pPr>
              <w:jc w:val="both"/>
              <w:rPr>
                <w:rFonts w:ascii="Times New Roman" w:hAnsi="Times New Roman" w:cs="Times New Roman"/>
                <w:b/>
                <w:sz w:val="24"/>
                <w:szCs w:val="24"/>
              </w:rPr>
            </w:pPr>
            <w:r w:rsidRPr="004979D2">
              <w:rPr>
                <w:rFonts w:ascii="Times New Roman" w:hAnsi="Times New Roman" w:cs="Times New Roman"/>
                <w:b/>
                <w:color w:val="00B050"/>
                <w:sz w:val="24"/>
                <w:szCs w:val="24"/>
              </w:rPr>
              <w:t>RREGULLAT NUK JANË MË TË NEVOJSHME</w:t>
            </w:r>
          </w:p>
        </w:tc>
      </w:tr>
      <w:tr w:rsidR="00375B0F" w:rsidRPr="004979D2" w14:paraId="2D87D200" w14:textId="77777777" w:rsidTr="005D592D">
        <w:trPr>
          <w:jc w:val="center"/>
        </w:trPr>
        <w:tc>
          <w:tcPr>
            <w:tcW w:w="1638" w:type="dxa"/>
            <w:vMerge/>
          </w:tcPr>
          <w:p w14:paraId="1D0A6186" w14:textId="77777777" w:rsidR="00375B0F" w:rsidRPr="004979D2" w:rsidRDefault="00375B0F" w:rsidP="00E069A6">
            <w:pPr>
              <w:rPr>
                <w:rFonts w:ascii="Times New Roman" w:hAnsi="Times New Roman" w:cs="Times New Roman"/>
                <w:sz w:val="24"/>
                <w:szCs w:val="24"/>
              </w:rPr>
            </w:pPr>
          </w:p>
        </w:tc>
        <w:tc>
          <w:tcPr>
            <w:tcW w:w="7938" w:type="dxa"/>
            <w:shd w:val="clear" w:color="auto" w:fill="C9C9C9" w:themeFill="accent3" w:themeFillTint="99"/>
          </w:tcPr>
          <w:p w14:paraId="324C2081" w14:textId="77777777" w:rsidR="00375B0F" w:rsidRPr="004979D2" w:rsidRDefault="00375B0F" w:rsidP="00E069A6">
            <w:pPr>
              <w:pStyle w:val="ListParagraph"/>
              <w:numPr>
                <w:ilvl w:val="0"/>
                <w:numId w:val="24"/>
              </w:numPr>
              <w:jc w:val="both"/>
              <w:rPr>
                <w:rFonts w:ascii="Times New Roman" w:hAnsi="Times New Roman" w:cs="Times New Roman"/>
                <w:sz w:val="24"/>
                <w:szCs w:val="24"/>
              </w:rPr>
            </w:pPr>
            <w:r w:rsidRPr="004979D2">
              <w:rPr>
                <w:rFonts w:ascii="Times New Roman" w:hAnsi="Times New Roman" w:cs="Times New Roman"/>
                <w:sz w:val="24"/>
                <w:szCs w:val="24"/>
              </w:rPr>
              <w:t>Ndihma Shtetërore tashmë është e rregulluar me një Ligj të Veçantë dhe nuk është më kompetenc</w:t>
            </w:r>
            <w:r w:rsidR="003E43EE" w:rsidRPr="004979D2">
              <w:rPr>
                <w:rFonts w:ascii="Times New Roman" w:hAnsi="Times New Roman" w:cs="Times New Roman"/>
                <w:sz w:val="24"/>
                <w:szCs w:val="24"/>
              </w:rPr>
              <w:t>ë</w:t>
            </w:r>
            <w:r w:rsidRPr="004979D2">
              <w:rPr>
                <w:rFonts w:ascii="Times New Roman" w:hAnsi="Times New Roman" w:cs="Times New Roman"/>
                <w:sz w:val="24"/>
                <w:szCs w:val="24"/>
              </w:rPr>
              <w:t xml:space="preserve"> e A</w:t>
            </w:r>
            <w:r w:rsidR="00F8376E" w:rsidRPr="004979D2">
              <w:rPr>
                <w:rFonts w:ascii="Times New Roman" w:hAnsi="Times New Roman" w:cs="Times New Roman"/>
                <w:sz w:val="24"/>
                <w:szCs w:val="24"/>
              </w:rPr>
              <w:t>KK</w:t>
            </w:r>
            <w:r w:rsidR="003E43EE" w:rsidRPr="004979D2">
              <w:rPr>
                <w:rFonts w:ascii="Times New Roman" w:hAnsi="Times New Roman" w:cs="Times New Roman"/>
                <w:sz w:val="24"/>
                <w:szCs w:val="24"/>
              </w:rPr>
              <w:t>-së</w:t>
            </w:r>
            <w:r w:rsidRPr="004979D2">
              <w:rPr>
                <w:rFonts w:ascii="Times New Roman" w:hAnsi="Times New Roman" w:cs="Times New Roman"/>
                <w:sz w:val="24"/>
                <w:szCs w:val="24"/>
              </w:rPr>
              <w:t>.</w:t>
            </w:r>
          </w:p>
        </w:tc>
      </w:tr>
    </w:tbl>
    <w:p w14:paraId="4E901B5F" w14:textId="77777777" w:rsidR="0012529C" w:rsidRPr="004979D2" w:rsidRDefault="0012529C" w:rsidP="002B1BC6">
      <w:pPr>
        <w:spacing w:line="360" w:lineRule="auto"/>
        <w:rPr>
          <w:rFonts w:ascii="Times New Roman" w:hAnsi="Times New Roman" w:cs="Times New Roman"/>
          <w:sz w:val="24"/>
          <w:szCs w:val="24"/>
        </w:rPr>
      </w:pPr>
    </w:p>
    <w:p w14:paraId="7073CC9A" w14:textId="77777777" w:rsidR="00E069A6" w:rsidRDefault="00E069A6" w:rsidP="002B1BC6">
      <w:pPr>
        <w:spacing w:line="360" w:lineRule="auto"/>
        <w:jc w:val="both"/>
        <w:rPr>
          <w:rFonts w:ascii="Times New Roman" w:hAnsi="Times New Roman" w:cs="Times New Roman"/>
          <w:sz w:val="24"/>
          <w:szCs w:val="24"/>
        </w:rPr>
      </w:pPr>
    </w:p>
    <w:p w14:paraId="257D3180" w14:textId="77777777" w:rsidR="00E069A6" w:rsidRDefault="00E069A6" w:rsidP="002B1BC6">
      <w:pPr>
        <w:spacing w:line="360" w:lineRule="auto"/>
        <w:jc w:val="both"/>
        <w:rPr>
          <w:rFonts w:ascii="Times New Roman" w:hAnsi="Times New Roman" w:cs="Times New Roman"/>
          <w:sz w:val="24"/>
          <w:szCs w:val="24"/>
        </w:rPr>
      </w:pPr>
    </w:p>
    <w:p w14:paraId="0976EF65" w14:textId="0E492003" w:rsidR="00F125BD" w:rsidRPr="004979D2" w:rsidRDefault="00B40A0A"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lastRenderedPageBreak/>
        <w:t>Më poshtë janë zhvilluar shtatëmbëdhjetë a</w:t>
      </w:r>
      <w:r w:rsidR="00053A6B" w:rsidRPr="004979D2">
        <w:rPr>
          <w:rFonts w:ascii="Times New Roman" w:hAnsi="Times New Roman" w:cs="Times New Roman"/>
          <w:sz w:val="24"/>
          <w:szCs w:val="24"/>
        </w:rPr>
        <w:t xml:space="preserve">naliza </w:t>
      </w:r>
      <w:r w:rsidRPr="004979D2">
        <w:rPr>
          <w:rFonts w:ascii="Times New Roman" w:hAnsi="Times New Roman" w:cs="Times New Roman"/>
          <w:sz w:val="24"/>
          <w:szCs w:val="24"/>
        </w:rPr>
        <w:t xml:space="preserve">të cilat i referohen </w:t>
      </w:r>
      <w:r w:rsidR="003077DE" w:rsidRPr="004979D2">
        <w:rPr>
          <w:rFonts w:ascii="Times New Roman" w:hAnsi="Times New Roman" w:cs="Times New Roman"/>
          <w:sz w:val="24"/>
          <w:szCs w:val="24"/>
        </w:rPr>
        <w:t xml:space="preserve">shkaqeve dhe </w:t>
      </w:r>
      <w:r w:rsidRPr="004979D2">
        <w:rPr>
          <w:rFonts w:ascii="Times New Roman" w:hAnsi="Times New Roman" w:cs="Times New Roman"/>
          <w:sz w:val="24"/>
          <w:szCs w:val="24"/>
        </w:rPr>
        <w:t xml:space="preserve">efekteve të </w:t>
      </w:r>
      <w:r w:rsidR="007A4C24" w:rsidRPr="004979D2">
        <w:rPr>
          <w:rFonts w:ascii="Times New Roman" w:hAnsi="Times New Roman" w:cs="Times New Roman"/>
          <w:sz w:val="24"/>
          <w:szCs w:val="24"/>
        </w:rPr>
        <w:t xml:space="preserve">paraqitura </w:t>
      </w:r>
      <w:r w:rsidRPr="004979D2">
        <w:rPr>
          <w:rFonts w:ascii="Times New Roman" w:hAnsi="Times New Roman" w:cs="Times New Roman"/>
          <w:sz w:val="24"/>
          <w:szCs w:val="24"/>
        </w:rPr>
        <w:t xml:space="preserve">në Figurën </w:t>
      </w:r>
      <w:r w:rsidR="003077DE" w:rsidRPr="004979D2">
        <w:rPr>
          <w:rFonts w:ascii="Times New Roman" w:hAnsi="Times New Roman" w:cs="Times New Roman"/>
          <w:sz w:val="24"/>
          <w:szCs w:val="24"/>
        </w:rPr>
        <w:t>6</w:t>
      </w:r>
      <w:r w:rsidRPr="004979D2">
        <w:rPr>
          <w:rFonts w:ascii="Times New Roman" w:hAnsi="Times New Roman" w:cs="Times New Roman"/>
          <w:sz w:val="24"/>
          <w:szCs w:val="24"/>
        </w:rPr>
        <w:t>. Secila analizë e më poshtme është adresuar nga grupi pun</w:t>
      </w:r>
      <w:r w:rsidR="001F4955" w:rsidRPr="004979D2">
        <w:rPr>
          <w:rFonts w:ascii="Times New Roman" w:hAnsi="Times New Roman" w:cs="Times New Roman"/>
          <w:sz w:val="24"/>
          <w:szCs w:val="24"/>
        </w:rPr>
        <w:t>ues</w:t>
      </w:r>
      <w:r w:rsidRPr="004979D2">
        <w:rPr>
          <w:rFonts w:ascii="Times New Roman" w:hAnsi="Times New Roman" w:cs="Times New Roman"/>
          <w:sz w:val="24"/>
          <w:szCs w:val="24"/>
        </w:rPr>
        <w:t xml:space="preserve"> me rekomandime të veçant</w:t>
      </w:r>
      <w:r w:rsidR="001F4955" w:rsidRPr="004979D2">
        <w:rPr>
          <w:rFonts w:ascii="Times New Roman" w:hAnsi="Times New Roman" w:cs="Times New Roman"/>
          <w:sz w:val="24"/>
          <w:szCs w:val="24"/>
        </w:rPr>
        <w:t>a</w:t>
      </w:r>
      <w:r w:rsidRPr="004979D2">
        <w:rPr>
          <w:rFonts w:ascii="Times New Roman" w:hAnsi="Times New Roman" w:cs="Times New Roman"/>
          <w:sz w:val="24"/>
          <w:szCs w:val="24"/>
        </w:rPr>
        <w:t xml:space="preserve"> në Kapitullin 3.</w:t>
      </w:r>
    </w:p>
    <w:p w14:paraId="32CAAE0A" w14:textId="265DD268" w:rsidR="00B9269F" w:rsidRPr="004979D2" w:rsidRDefault="00640DC6" w:rsidP="002B1BC6">
      <w:pPr>
        <w:spacing w:line="360" w:lineRule="auto"/>
        <w:jc w:val="both"/>
        <w:rPr>
          <w:rFonts w:ascii="Times New Roman" w:hAnsi="Times New Roman" w:cs="Times New Roman"/>
          <w:b/>
          <w:sz w:val="24"/>
          <w:szCs w:val="24"/>
        </w:rPr>
      </w:pPr>
      <w:r w:rsidRPr="004979D2">
        <w:rPr>
          <w:rFonts w:ascii="Times New Roman" w:hAnsi="Times New Roman" w:cs="Times New Roman"/>
          <w:b/>
          <w:sz w:val="24"/>
          <w:szCs w:val="24"/>
        </w:rPr>
        <w:t xml:space="preserve">Analiza 1 – </w:t>
      </w:r>
      <w:r w:rsidR="0006153E" w:rsidRPr="004979D2">
        <w:rPr>
          <w:rFonts w:ascii="Times New Roman" w:hAnsi="Times New Roman" w:cs="Times New Roman"/>
          <w:b/>
          <w:sz w:val="24"/>
          <w:szCs w:val="24"/>
        </w:rPr>
        <w:t xml:space="preserve">Mungesa e përcaktimit të kritereve për </w:t>
      </w:r>
      <w:r w:rsidR="00A065E8" w:rsidRPr="004979D2">
        <w:rPr>
          <w:rFonts w:ascii="Times New Roman" w:hAnsi="Times New Roman" w:cs="Times New Roman"/>
          <w:b/>
          <w:sz w:val="24"/>
          <w:szCs w:val="24"/>
        </w:rPr>
        <w:t>marrëveshje horizontale</w:t>
      </w:r>
      <w:r w:rsidR="0006153E" w:rsidRPr="004979D2">
        <w:rPr>
          <w:rFonts w:ascii="Times New Roman" w:hAnsi="Times New Roman" w:cs="Times New Roman"/>
          <w:b/>
          <w:sz w:val="24"/>
          <w:szCs w:val="24"/>
        </w:rPr>
        <w:t xml:space="preserve"> </w:t>
      </w:r>
      <w:r w:rsidR="00A152F3" w:rsidRPr="004979D2">
        <w:rPr>
          <w:rFonts w:ascii="Times New Roman" w:hAnsi="Times New Roman" w:cs="Times New Roman"/>
          <w:b/>
          <w:sz w:val="24"/>
          <w:szCs w:val="24"/>
        </w:rPr>
        <w:t xml:space="preserve">dhe </w:t>
      </w:r>
      <w:proofErr w:type="spellStart"/>
      <w:r w:rsidR="00A152F3" w:rsidRPr="004979D2">
        <w:rPr>
          <w:rFonts w:ascii="Times New Roman" w:hAnsi="Times New Roman" w:cs="Times New Roman"/>
          <w:b/>
          <w:sz w:val="24"/>
          <w:szCs w:val="24"/>
        </w:rPr>
        <w:t>vertiklae</w:t>
      </w:r>
      <w:proofErr w:type="spellEnd"/>
      <w:r w:rsidR="00A152F3" w:rsidRPr="004979D2">
        <w:rPr>
          <w:rFonts w:ascii="Times New Roman" w:hAnsi="Times New Roman" w:cs="Times New Roman"/>
          <w:b/>
          <w:sz w:val="24"/>
          <w:szCs w:val="24"/>
        </w:rPr>
        <w:t xml:space="preserve"> </w:t>
      </w:r>
      <w:r w:rsidR="005E0D6E" w:rsidRPr="004979D2">
        <w:rPr>
          <w:rFonts w:ascii="Times New Roman" w:hAnsi="Times New Roman" w:cs="Times New Roman"/>
          <w:b/>
          <w:sz w:val="24"/>
          <w:szCs w:val="24"/>
        </w:rPr>
        <w:t xml:space="preserve">krijon vakume ligjore dhe institucionale, e të cilat </w:t>
      </w:r>
      <w:r w:rsidR="0006153E" w:rsidRPr="004979D2">
        <w:rPr>
          <w:rFonts w:ascii="Times New Roman" w:hAnsi="Times New Roman" w:cs="Times New Roman"/>
          <w:b/>
          <w:sz w:val="24"/>
          <w:szCs w:val="24"/>
        </w:rPr>
        <w:t xml:space="preserve">ndikojnë në </w:t>
      </w:r>
      <w:r w:rsidR="00A152F3" w:rsidRPr="004979D2">
        <w:rPr>
          <w:rFonts w:ascii="Times New Roman" w:hAnsi="Times New Roman" w:cs="Times New Roman"/>
          <w:b/>
          <w:sz w:val="24"/>
          <w:szCs w:val="24"/>
        </w:rPr>
        <w:t>efektivitetin</w:t>
      </w:r>
      <w:r w:rsidR="0006153E" w:rsidRPr="004979D2">
        <w:rPr>
          <w:rFonts w:ascii="Times New Roman" w:hAnsi="Times New Roman" w:cs="Times New Roman"/>
          <w:b/>
          <w:sz w:val="24"/>
          <w:szCs w:val="24"/>
        </w:rPr>
        <w:t xml:space="preserve"> e punës së AKK-së</w:t>
      </w:r>
      <w:r w:rsidR="0006153E" w:rsidRPr="004979D2" w:rsidDel="0006153E">
        <w:rPr>
          <w:rFonts w:ascii="Times New Roman" w:hAnsi="Times New Roman" w:cs="Times New Roman"/>
          <w:b/>
          <w:sz w:val="24"/>
          <w:szCs w:val="24"/>
        </w:rPr>
        <w:t xml:space="preserve"> </w:t>
      </w:r>
    </w:p>
    <w:p w14:paraId="24837FE4" w14:textId="57BFE48B" w:rsidR="000D15B9" w:rsidRPr="004979D2" w:rsidRDefault="00A152F3"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 </w:t>
      </w:r>
      <w:r w:rsidR="000D15B9" w:rsidRPr="004979D2">
        <w:rPr>
          <w:rFonts w:ascii="Times New Roman" w:hAnsi="Times New Roman" w:cs="Times New Roman"/>
          <w:sz w:val="24"/>
          <w:szCs w:val="24"/>
        </w:rPr>
        <w:t xml:space="preserve">Neni 5, 6 dhe 7 janë nene </w:t>
      </w:r>
      <w:r w:rsidR="00640DC6" w:rsidRPr="004979D2">
        <w:rPr>
          <w:rFonts w:ascii="Times New Roman" w:hAnsi="Times New Roman" w:cs="Times New Roman"/>
          <w:sz w:val="24"/>
          <w:szCs w:val="24"/>
        </w:rPr>
        <w:t>të</w:t>
      </w:r>
      <w:r w:rsidR="001F4955" w:rsidRPr="004979D2">
        <w:rPr>
          <w:rFonts w:ascii="Times New Roman" w:hAnsi="Times New Roman" w:cs="Times New Roman"/>
          <w:sz w:val="24"/>
          <w:szCs w:val="24"/>
        </w:rPr>
        <w:t xml:space="preserve"> bartur</w:t>
      </w:r>
      <w:r w:rsidR="00640DC6" w:rsidRPr="004979D2">
        <w:rPr>
          <w:rFonts w:ascii="Times New Roman" w:hAnsi="Times New Roman" w:cs="Times New Roman"/>
          <w:sz w:val="24"/>
          <w:szCs w:val="24"/>
        </w:rPr>
        <w:t>a</w:t>
      </w:r>
      <w:r w:rsidR="001F4955" w:rsidRPr="004979D2">
        <w:rPr>
          <w:rFonts w:ascii="Times New Roman" w:hAnsi="Times New Roman" w:cs="Times New Roman"/>
          <w:sz w:val="24"/>
          <w:szCs w:val="24"/>
        </w:rPr>
        <w:t xml:space="preserve"> </w:t>
      </w:r>
      <w:r w:rsidR="000D15B9" w:rsidRPr="004979D2">
        <w:rPr>
          <w:rFonts w:ascii="Times New Roman" w:hAnsi="Times New Roman" w:cs="Times New Roman"/>
          <w:sz w:val="24"/>
          <w:szCs w:val="24"/>
        </w:rPr>
        <w:t>nga Ligji 2004/36</w:t>
      </w:r>
      <w:r w:rsidR="00640DC6" w:rsidRPr="004979D2">
        <w:rPr>
          <w:rFonts w:ascii="Times New Roman" w:hAnsi="Times New Roman" w:cs="Times New Roman"/>
          <w:sz w:val="24"/>
          <w:szCs w:val="24"/>
        </w:rPr>
        <w:t xml:space="preserve">, </w:t>
      </w:r>
      <w:r w:rsidR="000D15B9" w:rsidRPr="004979D2">
        <w:rPr>
          <w:rFonts w:ascii="Times New Roman" w:hAnsi="Times New Roman" w:cs="Times New Roman"/>
          <w:sz w:val="24"/>
          <w:szCs w:val="24"/>
        </w:rPr>
        <w:t xml:space="preserve"> mirëpo me avancimin e legjislacionit të BE-së si dhe praktikave në shtetet e rajonit, është konsideruar si e pa nevojshme për arsye se shumë prej këtyre marrëveshjeve që i plotësojnë kushtet mund të përjashtohen në grup pa ndonjë procedurë të stërzgjatur</w:t>
      </w:r>
      <w:r w:rsidR="00640DC6" w:rsidRPr="004979D2">
        <w:rPr>
          <w:rFonts w:ascii="Times New Roman" w:hAnsi="Times New Roman" w:cs="Times New Roman"/>
          <w:sz w:val="24"/>
          <w:szCs w:val="24"/>
        </w:rPr>
        <w:t>,</w:t>
      </w:r>
      <w:r w:rsidR="000D15B9" w:rsidRPr="004979D2">
        <w:rPr>
          <w:rFonts w:ascii="Times New Roman" w:hAnsi="Times New Roman" w:cs="Times New Roman"/>
          <w:sz w:val="24"/>
          <w:szCs w:val="24"/>
        </w:rPr>
        <w:t xml:space="preserve"> si nga </w:t>
      </w:r>
      <w:proofErr w:type="spellStart"/>
      <w:r w:rsidR="000D15B9" w:rsidRPr="004979D2">
        <w:rPr>
          <w:rFonts w:ascii="Times New Roman" w:hAnsi="Times New Roman" w:cs="Times New Roman"/>
          <w:sz w:val="24"/>
          <w:szCs w:val="24"/>
        </w:rPr>
        <w:t>aplikantët</w:t>
      </w:r>
      <w:proofErr w:type="spellEnd"/>
      <w:r w:rsidR="000D15B9" w:rsidRPr="004979D2">
        <w:rPr>
          <w:rFonts w:ascii="Times New Roman" w:hAnsi="Times New Roman" w:cs="Times New Roman"/>
          <w:sz w:val="24"/>
          <w:szCs w:val="24"/>
        </w:rPr>
        <w:t xml:space="preserve"> që aplikojnë ashtu edhe nga administrata e Konkurrencës.</w:t>
      </w:r>
    </w:p>
    <w:p w14:paraId="63CE0187" w14:textId="77AF8E3F" w:rsidR="00536194" w:rsidRPr="004979D2" w:rsidRDefault="00A152F3"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 </w:t>
      </w:r>
      <w:r w:rsidR="000D15B9" w:rsidRPr="004979D2">
        <w:rPr>
          <w:rFonts w:ascii="Times New Roman" w:hAnsi="Times New Roman" w:cs="Times New Roman"/>
          <w:sz w:val="24"/>
          <w:szCs w:val="24"/>
        </w:rPr>
        <w:t>Nenet 5 dhe 6 të Ligjit Nr. 03/L-229 për Mbrojtjen e Konkurrencës rregullojnë përjashtimin e marrëveshjeve horizontale dhe vertikale të cilat rregullohen më tej me legjislacion të veçantë sekondar (udhëzimet administrative). Këtu theksi vihet në efikasitetin ekonomik me disa objektiva specifike dhe kushtet e marrëveshjeve.</w:t>
      </w:r>
    </w:p>
    <w:p w14:paraId="711D7E9E" w14:textId="77777777" w:rsidR="000D15B9" w:rsidRPr="004979D2" w:rsidRDefault="000D15B9"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Duke pasur parasysh se kjo është </w:t>
      </w:r>
      <w:proofErr w:type="spellStart"/>
      <w:r w:rsidRPr="004979D2">
        <w:rPr>
          <w:rFonts w:ascii="Times New Roman" w:hAnsi="Times New Roman" w:cs="Times New Roman"/>
          <w:sz w:val="24"/>
          <w:szCs w:val="24"/>
        </w:rPr>
        <w:t>elaboruar</w:t>
      </w:r>
      <w:proofErr w:type="spellEnd"/>
      <w:r w:rsidRPr="004979D2">
        <w:rPr>
          <w:rFonts w:ascii="Times New Roman" w:hAnsi="Times New Roman" w:cs="Times New Roman"/>
          <w:sz w:val="24"/>
          <w:szCs w:val="24"/>
        </w:rPr>
        <w:t xml:space="preserve"> më tutje në legjislacionin sekondar, do të ishte mirë që së pari të shpjegohet në këto dispozita nëse këto janë të gjitha kushtet të cilat duhet të përmbushen për çdo lloj marrëveshjeje ose nëse është çështje që dallon nga rasti në rast.  </w:t>
      </w:r>
    </w:p>
    <w:p w14:paraId="138F66CB" w14:textId="24F0FA5A" w:rsidR="000D15B9" w:rsidRPr="004979D2" w:rsidRDefault="00A152F3" w:rsidP="002B1BC6">
      <w:pPr>
        <w:spacing w:line="360" w:lineRule="auto"/>
        <w:jc w:val="both"/>
        <w:rPr>
          <w:rFonts w:ascii="Times New Roman" w:hAnsi="Times New Roman" w:cs="Times New Roman"/>
          <w:sz w:val="24"/>
          <w:szCs w:val="24"/>
        </w:rPr>
      </w:pPr>
      <w:proofErr w:type="spellStart"/>
      <w:r w:rsidRPr="004979D2">
        <w:rPr>
          <w:rFonts w:ascii="Times New Roman" w:hAnsi="Times New Roman" w:cs="Times New Roman"/>
          <w:sz w:val="24"/>
          <w:szCs w:val="24"/>
        </w:rPr>
        <w:t>Poashtu</w:t>
      </w:r>
      <w:proofErr w:type="spellEnd"/>
      <w:r w:rsidRPr="004979D2">
        <w:rPr>
          <w:rFonts w:ascii="Times New Roman" w:hAnsi="Times New Roman" w:cs="Times New Roman"/>
          <w:sz w:val="24"/>
          <w:szCs w:val="24"/>
        </w:rPr>
        <w:t>, k</w:t>
      </w:r>
      <w:r w:rsidR="000D15B9" w:rsidRPr="004979D2">
        <w:rPr>
          <w:rFonts w:ascii="Times New Roman" w:hAnsi="Times New Roman" w:cs="Times New Roman"/>
          <w:sz w:val="24"/>
          <w:szCs w:val="24"/>
        </w:rPr>
        <w:t xml:space="preserve">ëto dispozita pjesërisht </w:t>
      </w:r>
      <w:proofErr w:type="spellStart"/>
      <w:r w:rsidR="000D15B9" w:rsidRPr="004979D2">
        <w:rPr>
          <w:rFonts w:ascii="Times New Roman" w:hAnsi="Times New Roman" w:cs="Times New Roman"/>
          <w:sz w:val="24"/>
          <w:szCs w:val="24"/>
        </w:rPr>
        <w:t>transpozojnë</w:t>
      </w:r>
      <w:proofErr w:type="spellEnd"/>
      <w:r w:rsidR="000D15B9" w:rsidRPr="004979D2">
        <w:rPr>
          <w:rFonts w:ascii="Times New Roman" w:hAnsi="Times New Roman" w:cs="Times New Roman"/>
          <w:sz w:val="24"/>
          <w:szCs w:val="24"/>
        </w:rPr>
        <w:t xml:space="preserve"> dispozitat e Rregullores së Komisionit 3301/2010 mbi aplikimin e nenit 101, paragrafi 3 të TFBE-së për kategoritë e marrëveshjeve vertikale dhe udhëzimet e Komisionit për aplikimin e nenit 101, paragrafi 3 të TFBE-së për kategoritë e marrëveshjeve horizontale. </w:t>
      </w:r>
    </w:p>
    <w:p w14:paraId="32AC477C" w14:textId="4BB8A764" w:rsidR="000D15B9" w:rsidRPr="004979D2" w:rsidRDefault="00A152F3" w:rsidP="002B1BC6">
      <w:pPr>
        <w:spacing w:line="360" w:lineRule="auto"/>
        <w:jc w:val="both"/>
        <w:rPr>
          <w:rFonts w:ascii="Times New Roman" w:hAnsi="Times New Roman" w:cs="Times New Roman"/>
          <w:sz w:val="24"/>
          <w:szCs w:val="24"/>
        </w:rPr>
      </w:pPr>
      <w:r w:rsidRPr="004979D2">
        <w:rPr>
          <w:rFonts w:ascii="Times New Roman" w:hAnsi="Times New Roman" w:cs="Times New Roman"/>
          <w:b/>
          <w:sz w:val="24"/>
          <w:szCs w:val="24"/>
        </w:rPr>
        <w:t xml:space="preserve">Analiza 2 – </w:t>
      </w:r>
      <w:r w:rsidR="00A065E8" w:rsidRPr="004979D2">
        <w:rPr>
          <w:rFonts w:ascii="Times New Roman" w:hAnsi="Times New Roman" w:cs="Times New Roman"/>
          <w:b/>
          <w:sz w:val="24"/>
          <w:szCs w:val="24"/>
        </w:rPr>
        <w:t>Munges</w:t>
      </w:r>
      <w:r w:rsidR="003077DE" w:rsidRPr="004979D2">
        <w:rPr>
          <w:rFonts w:ascii="Times New Roman" w:hAnsi="Times New Roman" w:cs="Times New Roman"/>
          <w:b/>
          <w:sz w:val="24"/>
          <w:szCs w:val="24"/>
        </w:rPr>
        <w:t>a</w:t>
      </w:r>
      <w:r w:rsidR="00A065E8" w:rsidRPr="004979D2">
        <w:rPr>
          <w:rFonts w:ascii="Times New Roman" w:hAnsi="Times New Roman" w:cs="Times New Roman"/>
          <w:b/>
          <w:sz w:val="24"/>
          <w:szCs w:val="24"/>
        </w:rPr>
        <w:t xml:space="preserve"> e </w:t>
      </w:r>
      <w:r w:rsidRPr="004979D2">
        <w:rPr>
          <w:rFonts w:ascii="Times New Roman" w:hAnsi="Times New Roman" w:cs="Times New Roman"/>
          <w:b/>
          <w:sz w:val="24"/>
          <w:szCs w:val="24"/>
        </w:rPr>
        <w:t xml:space="preserve">specifikimit të marrëveshjeve që përjashtohen në grup, krijon vakume ligjore dhe institucionale, e të cilat ndikojnë në efektivitetin e punës dhe </w:t>
      </w:r>
      <w:proofErr w:type="spellStart"/>
      <w:r w:rsidRPr="004979D2">
        <w:rPr>
          <w:rFonts w:ascii="Times New Roman" w:hAnsi="Times New Roman" w:cs="Times New Roman"/>
          <w:b/>
          <w:sz w:val="24"/>
          <w:szCs w:val="24"/>
        </w:rPr>
        <w:t>vendimarrjen</w:t>
      </w:r>
      <w:proofErr w:type="spellEnd"/>
      <w:r w:rsidRPr="004979D2">
        <w:rPr>
          <w:rFonts w:ascii="Times New Roman" w:hAnsi="Times New Roman" w:cs="Times New Roman"/>
          <w:b/>
          <w:sz w:val="24"/>
          <w:szCs w:val="24"/>
        </w:rPr>
        <w:t xml:space="preserve"> e AKK-së </w:t>
      </w:r>
      <w:r w:rsidR="00536194" w:rsidRPr="004979D2">
        <w:rPr>
          <w:rFonts w:ascii="Times New Roman" w:hAnsi="Times New Roman" w:cs="Times New Roman"/>
          <w:sz w:val="24"/>
          <w:szCs w:val="24"/>
        </w:rPr>
        <w:t xml:space="preserve">- </w:t>
      </w:r>
      <w:r w:rsidR="000D15B9" w:rsidRPr="004979D2">
        <w:rPr>
          <w:rFonts w:ascii="Times New Roman" w:hAnsi="Times New Roman" w:cs="Times New Roman"/>
          <w:sz w:val="24"/>
          <w:szCs w:val="24"/>
        </w:rPr>
        <w:t>Neni  7A i Ligjit Nr. 04/l-226  për ndryshimin dhe plotësimin e Ligjit Nr. 03/l-229 për Mbrojtjen e Konkurrencës i rregullon Përjashtimet Grupore. Dispozitat mbi përjashtimet grupore përcaktojnë kushtet të cilat duhet t’i përmbushin disa marrëveshje për të qenë të përjashtuara nga ndalesat e përgjithshme, sipas nenit 4, paragrafit 1 të ligjit bazik.</w:t>
      </w:r>
    </w:p>
    <w:p w14:paraId="163F3B16" w14:textId="77777777" w:rsidR="000D15B9" w:rsidRPr="004979D2" w:rsidRDefault="000D15B9"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lastRenderedPageBreak/>
        <w:t xml:space="preserve">Duke analizuar gjendjen aktuale të dispozitave  të  përcaktuara  në nenin 7A  të Ligjit Nr. 04/l-226 për ndryshimin dhe plotësimin e Ligjit Nr. 03/l-229 për Mbrojtjen e Konkurrencës, vihet re se ky nen duhet t’i specifikoj  se  cilat marrëveshje grupore duhen të përjashtohen. </w:t>
      </w:r>
    </w:p>
    <w:p w14:paraId="12CA8912" w14:textId="75D2A4F2" w:rsidR="000D15B9" w:rsidRPr="004979D2" w:rsidRDefault="000D15B9"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Ky vlerësim rrjedhë </w:t>
      </w:r>
      <w:r w:rsidR="00A152F3" w:rsidRPr="004979D2">
        <w:rPr>
          <w:rFonts w:ascii="Times New Roman" w:hAnsi="Times New Roman" w:cs="Times New Roman"/>
          <w:sz w:val="24"/>
          <w:szCs w:val="24"/>
        </w:rPr>
        <w:t>pas</w:t>
      </w:r>
      <w:r w:rsidRPr="004979D2">
        <w:rPr>
          <w:rFonts w:ascii="Times New Roman" w:hAnsi="Times New Roman" w:cs="Times New Roman"/>
          <w:sz w:val="24"/>
          <w:szCs w:val="24"/>
        </w:rPr>
        <w:t xml:space="preserve"> analizës së bërë të Ligjit Kroat  për mbrojtjen e konkurrencës  i cili  specifikon marrëveshjet konkrete për përjashtime grupore</w:t>
      </w:r>
      <w:r w:rsidR="00A152F3" w:rsidRPr="004979D2">
        <w:rPr>
          <w:rFonts w:ascii="Times New Roman" w:hAnsi="Times New Roman" w:cs="Times New Roman"/>
          <w:sz w:val="24"/>
          <w:szCs w:val="24"/>
        </w:rPr>
        <w:t>. Këto përjashtime rregullohen edhe me legjislacionin sekondar në Kosovë, përkatësisht:</w:t>
      </w:r>
    </w:p>
    <w:p w14:paraId="7EF9355A" w14:textId="2D0ED293" w:rsidR="000D15B9" w:rsidRPr="004979D2" w:rsidRDefault="000D15B9" w:rsidP="002B1BC6">
      <w:pPr>
        <w:pStyle w:val="ListParagraph"/>
        <w:numPr>
          <w:ilvl w:val="0"/>
          <w:numId w:val="43"/>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Udhëzim administrativ Nr.06/2017 për Përjashtimin Grupor të Marrëveshjes për </w:t>
      </w:r>
      <w:proofErr w:type="spellStart"/>
      <w:r w:rsidRPr="004979D2">
        <w:rPr>
          <w:rFonts w:ascii="Times New Roman" w:hAnsi="Times New Roman" w:cs="Times New Roman"/>
          <w:sz w:val="24"/>
          <w:szCs w:val="24"/>
        </w:rPr>
        <w:t>Distribuimin</w:t>
      </w:r>
      <w:proofErr w:type="spellEnd"/>
      <w:r w:rsidRPr="004979D2">
        <w:rPr>
          <w:rFonts w:ascii="Times New Roman" w:hAnsi="Times New Roman" w:cs="Times New Roman"/>
          <w:sz w:val="24"/>
          <w:szCs w:val="24"/>
        </w:rPr>
        <w:t xml:space="preserve"> dhe </w:t>
      </w:r>
      <w:proofErr w:type="spellStart"/>
      <w:r w:rsidRPr="004979D2">
        <w:rPr>
          <w:rFonts w:ascii="Times New Roman" w:hAnsi="Times New Roman" w:cs="Times New Roman"/>
          <w:sz w:val="24"/>
          <w:szCs w:val="24"/>
        </w:rPr>
        <w:t>Servisimin</w:t>
      </w:r>
      <w:proofErr w:type="spellEnd"/>
      <w:r w:rsidRPr="004979D2">
        <w:rPr>
          <w:rFonts w:ascii="Times New Roman" w:hAnsi="Times New Roman" w:cs="Times New Roman"/>
          <w:sz w:val="24"/>
          <w:szCs w:val="24"/>
        </w:rPr>
        <w:t xml:space="preserve"> e Automjeteve  Motorike;</w:t>
      </w:r>
    </w:p>
    <w:p w14:paraId="3980B847" w14:textId="2CB11238" w:rsidR="000D15B9" w:rsidRPr="004979D2" w:rsidRDefault="000D15B9" w:rsidP="002B1BC6">
      <w:pPr>
        <w:pStyle w:val="ListParagraph"/>
        <w:numPr>
          <w:ilvl w:val="0"/>
          <w:numId w:val="43"/>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Udhëzim administrativ Nr. 05/2017 për përjashtimet grupore të marrëveshjeve në sektorin e sigurimeve;</w:t>
      </w:r>
    </w:p>
    <w:p w14:paraId="1A2A5BEE" w14:textId="2014A664" w:rsidR="000D15B9" w:rsidRPr="004979D2" w:rsidRDefault="000D15B9" w:rsidP="002B1BC6">
      <w:pPr>
        <w:pStyle w:val="ListParagraph"/>
        <w:numPr>
          <w:ilvl w:val="0"/>
          <w:numId w:val="43"/>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Udhëzim administrativ Nr. 04/2017 për përjashtimet grupore të marrëveshjeve në sektorin e transportit;</w:t>
      </w:r>
    </w:p>
    <w:p w14:paraId="66156EA8" w14:textId="53401F12" w:rsidR="000D15B9" w:rsidRPr="004979D2" w:rsidRDefault="000D15B9" w:rsidP="002B1BC6">
      <w:pPr>
        <w:pStyle w:val="ListParagraph"/>
        <w:numPr>
          <w:ilvl w:val="0"/>
          <w:numId w:val="43"/>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Udhëzim administrativ Nr.03/2017 mbi përjashtimet grupore të marrëveshjeve vertikale të ndërmarrësve;</w:t>
      </w:r>
    </w:p>
    <w:p w14:paraId="5F4321E2" w14:textId="5DF4E016" w:rsidR="000D15B9" w:rsidRPr="004979D2" w:rsidRDefault="000D15B9" w:rsidP="002B1BC6">
      <w:pPr>
        <w:pStyle w:val="ListParagraph"/>
        <w:numPr>
          <w:ilvl w:val="0"/>
          <w:numId w:val="43"/>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Udhëzim administrativ Nr.02/2017 për përjashtimin grupor të marrëveshjeve horizontale ndërmjet ndërmarrësve;</w:t>
      </w:r>
    </w:p>
    <w:p w14:paraId="2D77C8CC" w14:textId="16459113" w:rsidR="000D15B9" w:rsidRPr="004979D2" w:rsidRDefault="000D15B9" w:rsidP="002B1BC6">
      <w:pPr>
        <w:pStyle w:val="ListParagraph"/>
        <w:numPr>
          <w:ilvl w:val="0"/>
          <w:numId w:val="43"/>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Udhëzim administrativ Nr. 05/2012 për kriteret dhe kushtet për caktimin e marrëveshjeve me vlerë të vogël;</w:t>
      </w:r>
    </w:p>
    <w:p w14:paraId="675F10F3" w14:textId="05DB3AA8" w:rsidR="000D15B9" w:rsidRPr="004979D2" w:rsidRDefault="000D15B9" w:rsidP="002B1BC6">
      <w:pPr>
        <w:pStyle w:val="ListParagraph"/>
        <w:numPr>
          <w:ilvl w:val="0"/>
          <w:numId w:val="43"/>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Marrëveshjet e transferimit të teknologjisë.</w:t>
      </w:r>
    </w:p>
    <w:p w14:paraId="451A281F" w14:textId="312B640F" w:rsidR="00DC4FA6" w:rsidRPr="004979D2" w:rsidRDefault="00DC4FA6" w:rsidP="002B1BC6">
      <w:pPr>
        <w:spacing w:line="360" w:lineRule="auto"/>
        <w:jc w:val="both"/>
        <w:rPr>
          <w:rFonts w:ascii="Times New Roman" w:hAnsi="Times New Roman" w:cs="Times New Roman"/>
          <w:b/>
          <w:sz w:val="24"/>
          <w:szCs w:val="24"/>
        </w:rPr>
      </w:pPr>
      <w:r w:rsidRPr="004979D2">
        <w:rPr>
          <w:rFonts w:ascii="Times New Roman" w:hAnsi="Times New Roman" w:cs="Times New Roman"/>
          <w:b/>
          <w:sz w:val="24"/>
          <w:szCs w:val="24"/>
        </w:rPr>
        <w:t xml:space="preserve">Analiza 3 </w:t>
      </w:r>
      <w:r w:rsidR="00536194" w:rsidRPr="004979D2">
        <w:rPr>
          <w:rFonts w:ascii="Times New Roman" w:hAnsi="Times New Roman" w:cs="Times New Roman"/>
          <w:b/>
          <w:sz w:val="24"/>
          <w:szCs w:val="24"/>
        </w:rPr>
        <w:t>–</w:t>
      </w:r>
      <w:r w:rsidRPr="004979D2">
        <w:rPr>
          <w:rFonts w:ascii="Times New Roman" w:hAnsi="Times New Roman" w:cs="Times New Roman"/>
          <w:b/>
          <w:sz w:val="24"/>
          <w:szCs w:val="24"/>
        </w:rPr>
        <w:t xml:space="preserve"> </w:t>
      </w:r>
      <w:proofErr w:type="spellStart"/>
      <w:r w:rsidR="00536194" w:rsidRPr="004979D2">
        <w:rPr>
          <w:rFonts w:ascii="Times New Roman" w:hAnsi="Times New Roman" w:cs="Times New Roman"/>
          <w:b/>
          <w:sz w:val="24"/>
          <w:szCs w:val="24"/>
        </w:rPr>
        <w:t>Definimi</w:t>
      </w:r>
      <w:proofErr w:type="spellEnd"/>
      <w:r w:rsidR="00536194" w:rsidRPr="004979D2">
        <w:rPr>
          <w:rFonts w:ascii="Times New Roman" w:hAnsi="Times New Roman" w:cs="Times New Roman"/>
          <w:b/>
          <w:sz w:val="24"/>
          <w:szCs w:val="24"/>
        </w:rPr>
        <w:t xml:space="preserve"> jo i saktë i pozitës dominuese dhe pragu i ultë, çrregullojnë tregun e </w:t>
      </w:r>
      <w:r w:rsidRPr="004979D2">
        <w:rPr>
          <w:rFonts w:ascii="Times New Roman" w:hAnsi="Times New Roman" w:cs="Times New Roman"/>
          <w:b/>
          <w:sz w:val="24"/>
          <w:szCs w:val="24"/>
        </w:rPr>
        <w:t>lirë duke dëmtuar konsumatorin dhe funksionin e ndërmarrjeve</w:t>
      </w:r>
    </w:p>
    <w:p w14:paraId="1782120B" w14:textId="68AA6D49" w:rsidR="00DC4FA6" w:rsidRPr="004979D2" w:rsidRDefault="00536194"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w:t>
      </w:r>
      <w:r w:rsidR="00DC4FA6" w:rsidRPr="004979D2">
        <w:rPr>
          <w:rFonts w:ascii="Times New Roman" w:hAnsi="Times New Roman" w:cs="Times New Roman"/>
          <w:sz w:val="24"/>
          <w:szCs w:val="24"/>
        </w:rPr>
        <w:t xml:space="preserve"> Neni 10 i Ligjit të Konkurrencës dhe Neni 6 i Ligjit për ndryshimin e Ligjit të Konkurrencës përcaktojnë kriteret për konstatimin e pozitës dominuese të një ndërmarrjeje. Si kriteret e para thuhet se ndërmarrja ka një pozitë dominuese nëse “nuk i nënshtrohet konkurrencës së lirë në treg.”  </w:t>
      </w:r>
    </w:p>
    <w:p w14:paraId="73FAEF3C" w14:textId="77777777" w:rsidR="00DC4FA6" w:rsidRPr="004979D2" w:rsidRDefault="00DC4FA6"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Duke ju referuar kësaj dispozite, një ndërmarrje është dominuese atëherë kur nuk i ekspozohet presionit konkurrues në treg. Duhet cekur se pozita dominuese nuk është e jashtëligjshme, mirëpo, abuzimi me pozitë dominuese. Formulimi aktual lë të nënkuptohet se çdo ndërmarrje që ka pozitë dominuese në treg nuk i nënshtrohet konkurrencës së lirë, duke përjashtuar të </w:t>
      </w:r>
      <w:r w:rsidRPr="004979D2">
        <w:rPr>
          <w:rFonts w:ascii="Times New Roman" w:hAnsi="Times New Roman" w:cs="Times New Roman"/>
          <w:sz w:val="24"/>
          <w:szCs w:val="24"/>
        </w:rPr>
        <w:lastRenderedPageBreak/>
        <w:t xml:space="preserve">gjitha ato ndërmarrje të cilat u janë nënshtruar konkurrencës së lirë dhe vazhdimisht janë të ekspozuara me presione konkurrencë mirëpo arrijnë të mbajnë pozitë dominuese në treg për shkak të shërbimeve apo produkteve cilësore që ofrojnë. </w:t>
      </w:r>
    </w:p>
    <w:p w14:paraId="7CB8B652" w14:textId="77777777" w:rsidR="00DC4FA6" w:rsidRPr="004979D2" w:rsidRDefault="00DC4FA6"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Praktika relevante e BE-së dhe legjislacioni i BE-së për konkurrencën përcaktojnë kriteret që një kompani dominuese i nënshtrohet konkurrencës, por mund të veprojë pak a shumë në mënyrë të pavarur nga konkurrentët e saj.</w:t>
      </w:r>
    </w:p>
    <w:p w14:paraId="55376CC9" w14:textId="77777777" w:rsidR="00DC4FA6" w:rsidRPr="004979D2" w:rsidRDefault="00DC4FA6"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Gjykata e BE-së në rastin e </w:t>
      </w:r>
      <w:proofErr w:type="spellStart"/>
      <w:r w:rsidRPr="004979D2">
        <w:rPr>
          <w:rFonts w:ascii="Times New Roman" w:hAnsi="Times New Roman" w:cs="Times New Roman"/>
          <w:sz w:val="24"/>
          <w:szCs w:val="24"/>
        </w:rPr>
        <w:t>United</w:t>
      </w:r>
      <w:proofErr w:type="spellEnd"/>
      <w:r w:rsidRPr="004979D2">
        <w:rPr>
          <w:rFonts w:ascii="Times New Roman" w:hAnsi="Times New Roman" w:cs="Times New Roman"/>
          <w:sz w:val="24"/>
          <w:szCs w:val="24"/>
        </w:rPr>
        <w:t xml:space="preserve"> </w:t>
      </w:r>
      <w:proofErr w:type="spellStart"/>
      <w:r w:rsidRPr="004979D2">
        <w:rPr>
          <w:rFonts w:ascii="Times New Roman" w:hAnsi="Times New Roman" w:cs="Times New Roman"/>
          <w:sz w:val="24"/>
          <w:szCs w:val="24"/>
        </w:rPr>
        <w:t>Brands</w:t>
      </w:r>
      <w:proofErr w:type="spellEnd"/>
      <w:r w:rsidRPr="004979D2">
        <w:rPr>
          <w:rFonts w:ascii="Times New Roman" w:hAnsi="Times New Roman" w:cs="Times New Roman"/>
          <w:sz w:val="24"/>
          <w:szCs w:val="24"/>
        </w:rPr>
        <w:t xml:space="preserve"> 27/76 (1978) dhe </w:t>
      </w:r>
      <w:proofErr w:type="spellStart"/>
      <w:r w:rsidRPr="004979D2">
        <w:rPr>
          <w:rFonts w:ascii="Times New Roman" w:hAnsi="Times New Roman" w:cs="Times New Roman"/>
          <w:sz w:val="24"/>
          <w:szCs w:val="24"/>
        </w:rPr>
        <w:t>Hoffmann</w:t>
      </w:r>
      <w:proofErr w:type="spellEnd"/>
      <w:r w:rsidRPr="004979D2">
        <w:rPr>
          <w:rFonts w:ascii="Times New Roman" w:hAnsi="Times New Roman" w:cs="Times New Roman"/>
          <w:sz w:val="24"/>
          <w:szCs w:val="24"/>
        </w:rPr>
        <w:t xml:space="preserve">-La </w:t>
      </w:r>
      <w:proofErr w:type="spellStart"/>
      <w:r w:rsidRPr="004979D2">
        <w:rPr>
          <w:rFonts w:ascii="Times New Roman" w:hAnsi="Times New Roman" w:cs="Times New Roman"/>
          <w:sz w:val="24"/>
          <w:szCs w:val="24"/>
        </w:rPr>
        <w:t>Roche</w:t>
      </w:r>
      <w:proofErr w:type="spellEnd"/>
      <w:r w:rsidRPr="004979D2">
        <w:rPr>
          <w:rFonts w:ascii="Times New Roman" w:hAnsi="Times New Roman" w:cs="Times New Roman"/>
          <w:sz w:val="24"/>
          <w:szCs w:val="24"/>
        </w:rPr>
        <w:t xml:space="preserve"> 85/76 (1979) konstaton që: “Pozita dominuese i referohet fuqisë ekonomike të cilën e gëzon një ndërmarrje dhe e cila e lejon atë ndërmarrje të parandalojë konkurrencën efektive në tregun relevant, duke i dhënë asaj fuqinë që në një masë të konsiderueshme të sillet e pavarur nga konkurrentët e saj, blerësit dhe konsumatorët.”</w:t>
      </w:r>
    </w:p>
    <w:p w14:paraId="4A5544BE" w14:textId="6D2F818D" w:rsidR="00DC4FA6" w:rsidRPr="004979D2" w:rsidRDefault="00536194"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w:t>
      </w:r>
      <w:r w:rsidR="00356942" w:rsidRPr="004979D2">
        <w:rPr>
          <w:rFonts w:ascii="Times New Roman" w:hAnsi="Times New Roman" w:cs="Times New Roman"/>
          <w:sz w:val="24"/>
          <w:szCs w:val="24"/>
        </w:rPr>
        <w:t xml:space="preserve"> </w:t>
      </w:r>
      <w:r w:rsidR="00DC4FA6" w:rsidRPr="004979D2">
        <w:rPr>
          <w:rFonts w:ascii="Times New Roman" w:hAnsi="Times New Roman" w:cs="Times New Roman"/>
          <w:sz w:val="24"/>
          <w:szCs w:val="24"/>
        </w:rPr>
        <w:t xml:space="preserve">Paragrafi i dytë i nenit 10 të Ligjit Nr. 03/L-229 ka përcaktuar  pragun e pjesëmarrjes së një ndërmarrjeje në treg prej 40% për t’u cilësuar se ajo ndërmarrje ka pozitë dominuese në tregun përkatës. Mirëpo, me nenin 6 të Ligjit Nr. 04/L-226, kjo përqindje është zvogëluar nga 40% në 25%. Lidhur me këtë, neni 102 i TFEB-së rregullon format e abuzimit me pozitë dominuese mirëpo nuk përcakton ndonjë pjesëmarrje në treg për të vlerësuar pozitën dominuese të një ndërmarrjeje. Mirëpo, bazuar në dokumentet e tjera të BE-së dhe praktikën gjyqësore, një ndërmarrje konsiderohet se ka pozitë dominuese në treg nëse ka 40% të pjesëmarrjes në tregun relevant. </w:t>
      </w:r>
    </w:p>
    <w:p w14:paraId="443B122D" w14:textId="5289FDF9" w:rsidR="00FF5F40" w:rsidRPr="004979D2" w:rsidRDefault="00536194"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w:t>
      </w:r>
      <w:r w:rsidR="00356942" w:rsidRPr="004979D2">
        <w:rPr>
          <w:rFonts w:ascii="Times New Roman" w:hAnsi="Times New Roman" w:cs="Times New Roman"/>
          <w:sz w:val="24"/>
          <w:szCs w:val="24"/>
        </w:rPr>
        <w:t xml:space="preserve"> </w:t>
      </w:r>
      <w:r w:rsidR="00DC4FA6" w:rsidRPr="004979D2">
        <w:rPr>
          <w:rFonts w:ascii="Times New Roman" w:hAnsi="Times New Roman" w:cs="Times New Roman"/>
          <w:sz w:val="24"/>
          <w:szCs w:val="24"/>
        </w:rPr>
        <w:t xml:space="preserve">Paragrafi i trete i nenit 10 (i plotësuar nga neni 6) rregullon pozitën dominuese të dy apo më shumë ndërmarrjeve të cilat veprojnë bashkërisht në tregun relevant dhe pjesëmarrja e përgjithshme është më e lartë se 40%. Pozita e përbashkët dominuese nuk do të thotë që ndërmarrjet </w:t>
      </w:r>
      <w:proofErr w:type="spellStart"/>
      <w:r w:rsidR="00DC4FA6" w:rsidRPr="004979D2">
        <w:rPr>
          <w:rFonts w:ascii="Times New Roman" w:hAnsi="Times New Roman" w:cs="Times New Roman"/>
          <w:sz w:val="24"/>
          <w:szCs w:val="24"/>
        </w:rPr>
        <w:t>kushtimisht</w:t>
      </w:r>
      <w:proofErr w:type="spellEnd"/>
      <w:r w:rsidR="00DC4FA6" w:rsidRPr="004979D2">
        <w:rPr>
          <w:rFonts w:ascii="Times New Roman" w:hAnsi="Times New Roman" w:cs="Times New Roman"/>
          <w:sz w:val="24"/>
          <w:szCs w:val="24"/>
        </w:rPr>
        <w:t xml:space="preserve"> operojnë bashkërisht në treg, por pozita e tyre ju lejon që të vendosin kushte në treg që mund të dëmtojnë konkurrentët e tjerë. Po ashtu në nivel të BE-së pjesëmarrja në treg është e vendosur rreth 80%. </w:t>
      </w:r>
    </w:p>
    <w:p w14:paraId="29352A6E" w14:textId="77777777" w:rsidR="00DC4FA6" w:rsidRPr="004979D2" w:rsidRDefault="00DC4FA6" w:rsidP="002B1BC6">
      <w:pPr>
        <w:spacing w:line="360" w:lineRule="auto"/>
        <w:jc w:val="both"/>
        <w:rPr>
          <w:rFonts w:ascii="Times New Roman" w:hAnsi="Times New Roman" w:cs="Times New Roman"/>
          <w:sz w:val="24"/>
          <w:szCs w:val="24"/>
        </w:rPr>
      </w:pPr>
      <w:r w:rsidRPr="004979D2">
        <w:rPr>
          <w:rFonts w:ascii="Times New Roman" w:eastAsia="MS Mincho" w:hAnsi="Times New Roman" w:cs="Times New Roman"/>
          <w:sz w:val="24"/>
          <w:szCs w:val="24"/>
        </w:rPr>
        <w:t>Mar</w:t>
      </w:r>
      <w:r w:rsidR="00F43657" w:rsidRPr="004979D2">
        <w:rPr>
          <w:rFonts w:ascii="Times New Roman" w:eastAsia="MS Mincho" w:hAnsi="Times New Roman" w:cs="Times New Roman"/>
          <w:sz w:val="24"/>
          <w:szCs w:val="24"/>
        </w:rPr>
        <w:t>r</w:t>
      </w:r>
      <w:r w:rsidRPr="004979D2">
        <w:rPr>
          <w:rFonts w:ascii="Times New Roman" w:eastAsia="MS Mincho" w:hAnsi="Times New Roman" w:cs="Times New Roman"/>
          <w:sz w:val="24"/>
          <w:szCs w:val="24"/>
        </w:rPr>
        <w:t xml:space="preserve"> p</w:t>
      </w:r>
      <w:r w:rsidR="00F43657" w:rsidRPr="004979D2">
        <w:rPr>
          <w:rFonts w:ascii="Times New Roman" w:eastAsia="MS Mincho" w:hAnsi="Times New Roman" w:cs="Times New Roman"/>
          <w:sz w:val="24"/>
          <w:szCs w:val="24"/>
        </w:rPr>
        <w:t>ë</w:t>
      </w:r>
      <w:r w:rsidRPr="004979D2">
        <w:rPr>
          <w:rFonts w:ascii="Times New Roman" w:eastAsia="MS Mincho" w:hAnsi="Times New Roman" w:cs="Times New Roman"/>
          <w:sz w:val="24"/>
          <w:szCs w:val="24"/>
        </w:rPr>
        <w:t>r baz</w:t>
      </w:r>
      <w:r w:rsidR="00F43657" w:rsidRPr="004979D2">
        <w:rPr>
          <w:rFonts w:ascii="Times New Roman" w:eastAsia="MS Mincho" w:hAnsi="Times New Roman" w:cs="Times New Roman"/>
          <w:sz w:val="24"/>
          <w:szCs w:val="24"/>
        </w:rPr>
        <w:t>ë</w:t>
      </w:r>
      <w:r w:rsidRPr="004979D2">
        <w:rPr>
          <w:rFonts w:ascii="Times New Roman" w:eastAsia="MS Mincho" w:hAnsi="Times New Roman" w:cs="Times New Roman"/>
          <w:sz w:val="24"/>
          <w:szCs w:val="24"/>
        </w:rPr>
        <w:t xml:space="preserve"> t</w:t>
      </w:r>
      <w:r w:rsidR="00F43657" w:rsidRPr="004979D2">
        <w:rPr>
          <w:rFonts w:ascii="Times New Roman" w:eastAsia="MS Mincho" w:hAnsi="Times New Roman" w:cs="Times New Roman"/>
          <w:sz w:val="24"/>
          <w:szCs w:val="24"/>
        </w:rPr>
        <w:t>ë</w:t>
      </w:r>
      <w:r w:rsidRPr="004979D2">
        <w:rPr>
          <w:rFonts w:ascii="Times New Roman" w:eastAsia="MS Mincho" w:hAnsi="Times New Roman" w:cs="Times New Roman"/>
          <w:sz w:val="24"/>
          <w:szCs w:val="24"/>
        </w:rPr>
        <w:t xml:space="preserve"> gjitha vendet e rajonit, përqindja e pozitës </w:t>
      </w:r>
      <w:proofErr w:type="spellStart"/>
      <w:r w:rsidRPr="004979D2">
        <w:rPr>
          <w:rFonts w:ascii="Times New Roman" w:eastAsia="MS Mincho" w:hAnsi="Times New Roman" w:cs="Times New Roman"/>
          <w:sz w:val="24"/>
          <w:szCs w:val="24"/>
        </w:rPr>
        <w:t>domuniues</w:t>
      </w:r>
      <w:proofErr w:type="spellEnd"/>
      <w:r w:rsidRPr="004979D2">
        <w:rPr>
          <w:rFonts w:ascii="Times New Roman" w:eastAsia="MS Mincho" w:hAnsi="Times New Roman" w:cs="Times New Roman"/>
          <w:sz w:val="24"/>
          <w:szCs w:val="24"/>
        </w:rPr>
        <w:t xml:space="preserve"> </w:t>
      </w:r>
      <w:r w:rsidR="00F43657" w:rsidRPr="004979D2">
        <w:rPr>
          <w:rFonts w:ascii="Times New Roman" w:eastAsia="MS Mincho" w:hAnsi="Times New Roman" w:cs="Times New Roman"/>
          <w:sz w:val="24"/>
          <w:szCs w:val="24"/>
        </w:rPr>
        <w:t>ë</w:t>
      </w:r>
      <w:r w:rsidRPr="004979D2">
        <w:rPr>
          <w:rFonts w:ascii="Times New Roman" w:eastAsia="MS Mincho" w:hAnsi="Times New Roman" w:cs="Times New Roman"/>
          <w:sz w:val="24"/>
          <w:szCs w:val="24"/>
        </w:rPr>
        <w:t>sht</w:t>
      </w:r>
      <w:r w:rsidR="00F43657" w:rsidRPr="004979D2">
        <w:rPr>
          <w:rFonts w:ascii="Times New Roman" w:eastAsia="MS Mincho" w:hAnsi="Times New Roman" w:cs="Times New Roman"/>
          <w:sz w:val="24"/>
          <w:szCs w:val="24"/>
        </w:rPr>
        <w:t>ë</w:t>
      </w:r>
      <w:r w:rsidRPr="004979D2">
        <w:rPr>
          <w:rFonts w:ascii="Times New Roman" w:eastAsia="MS Mincho" w:hAnsi="Times New Roman" w:cs="Times New Roman"/>
          <w:sz w:val="24"/>
          <w:szCs w:val="24"/>
        </w:rPr>
        <w:t xml:space="preserve"> 40%. </w:t>
      </w:r>
      <w:proofErr w:type="spellStart"/>
      <w:r w:rsidRPr="004979D2">
        <w:rPr>
          <w:rFonts w:ascii="Times New Roman" w:eastAsia="MS Mincho" w:hAnsi="Times New Roman" w:cs="Times New Roman"/>
          <w:sz w:val="24"/>
          <w:szCs w:val="24"/>
        </w:rPr>
        <w:t>Ndersa</w:t>
      </w:r>
      <w:proofErr w:type="spellEnd"/>
      <w:r w:rsidR="00A065E8" w:rsidRPr="004979D2">
        <w:rPr>
          <w:rFonts w:ascii="Times New Roman" w:eastAsia="MS Mincho" w:hAnsi="Times New Roman" w:cs="Times New Roman"/>
          <w:sz w:val="24"/>
          <w:szCs w:val="24"/>
        </w:rPr>
        <w:t xml:space="preserve"> </w:t>
      </w:r>
      <w:r w:rsidRPr="004979D2">
        <w:rPr>
          <w:rFonts w:ascii="Times New Roman" w:eastAsia="MS Mincho" w:hAnsi="Times New Roman" w:cs="Times New Roman"/>
          <w:sz w:val="24"/>
          <w:szCs w:val="24"/>
        </w:rPr>
        <w:t xml:space="preserve">me ligjin ne fuqi Kosova e ka përqindjen e pozitës </w:t>
      </w:r>
      <w:proofErr w:type="spellStart"/>
      <w:r w:rsidRPr="004979D2">
        <w:rPr>
          <w:rFonts w:ascii="Times New Roman" w:eastAsia="MS Mincho" w:hAnsi="Times New Roman" w:cs="Times New Roman"/>
          <w:sz w:val="24"/>
          <w:szCs w:val="24"/>
        </w:rPr>
        <w:t>domuniyues</w:t>
      </w:r>
      <w:proofErr w:type="spellEnd"/>
      <w:r w:rsidRPr="004979D2">
        <w:rPr>
          <w:rFonts w:ascii="Times New Roman" w:eastAsia="MS Mincho" w:hAnsi="Times New Roman" w:cs="Times New Roman"/>
          <w:sz w:val="24"/>
          <w:szCs w:val="24"/>
        </w:rPr>
        <w:t xml:space="preserve"> ne nivelin e 25%.</w:t>
      </w:r>
    </w:p>
    <w:p w14:paraId="04EFAC40" w14:textId="77777777" w:rsidR="001C0BEF" w:rsidRDefault="001C0BEF" w:rsidP="002B1BC6">
      <w:pPr>
        <w:spacing w:line="360" w:lineRule="auto"/>
        <w:jc w:val="both"/>
        <w:rPr>
          <w:rFonts w:ascii="Times New Roman" w:eastAsia="MS Mincho" w:hAnsi="Times New Roman" w:cs="Times New Roman"/>
          <w:b/>
          <w:sz w:val="24"/>
          <w:szCs w:val="24"/>
        </w:rPr>
      </w:pPr>
    </w:p>
    <w:p w14:paraId="77A98EE1" w14:textId="0D45D1D9" w:rsidR="00DC4FA6" w:rsidRPr="004979D2" w:rsidRDefault="00DC4FA6" w:rsidP="002B1BC6">
      <w:pPr>
        <w:spacing w:line="360" w:lineRule="auto"/>
        <w:jc w:val="both"/>
        <w:rPr>
          <w:rFonts w:ascii="Times New Roman" w:eastAsia="MS Mincho" w:hAnsi="Times New Roman" w:cs="Times New Roman"/>
          <w:b/>
          <w:sz w:val="24"/>
          <w:szCs w:val="24"/>
        </w:rPr>
      </w:pPr>
      <w:r w:rsidRPr="004979D2">
        <w:rPr>
          <w:rFonts w:ascii="Times New Roman" w:eastAsia="MS Mincho" w:hAnsi="Times New Roman" w:cs="Times New Roman"/>
          <w:b/>
          <w:sz w:val="24"/>
          <w:szCs w:val="24"/>
        </w:rPr>
        <w:lastRenderedPageBreak/>
        <w:t xml:space="preserve">Analiza 4 </w:t>
      </w:r>
      <w:r w:rsidR="00AF48D6" w:rsidRPr="004979D2">
        <w:rPr>
          <w:rFonts w:ascii="Times New Roman" w:eastAsia="MS Mincho" w:hAnsi="Times New Roman" w:cs="Times New Roman"/>
          <w:b/>
          <w:sz w:val="24"/>
          <w:szCs w:val="24"/>
        </w:rPr>
        <w:t>–</w:t>
      </w:r>
      <w:r w:rsidR="00687378" w:rsidRPr="004979D2">
        <w:rPr>
          <w:rFonts w:ascii="Times New Roman" w:eastAsia="MS Mincho" w:hAnsi="Times New Roman" w:cs="Times New Roman"/>
          <w:b/>
          <w:sz w:val="24"/>
          <w:szCs w:val="24"/>
        </w:rPr>
        <w:t xml:space="preserve"> </w:t>
      </w:r>
      <w:r w:rsidR="00AF48D6" w:rsidRPr="004979D2">
        <w:rPr>
          <w:rFonts w:ascii="Times New Roman" w:eastAsia="MS Mincho" w:hAnsi="Times New Roman" w:cs="Times New Roman"/>
          <w:b/>
          <w:sz w:val="24"/>
          <w:szCs w:val="24"/>
        </w:rPr>
        <w:t>D</w:t>
      </w:r>
      <w:r w:rsidR="003077DE" w:rsidRPr="004979D2">
        <w:rPr>
          <w:rFonts w:ascii="Times New Roman" w:eastAsia="MS Mincho" w:hAnsi="Times New Roman" w:cs="Times New Roman"/>
          <w:b/>
          <w:sz w:val="24"/>
          <w:szCs w:val="24"/>
        </w:rPr>
        <w:t>yfishimi</w:t>
      </w:r>
      <w:r w:rsidR="00AF48D6" w:rsidRPr="004979D2">
        <w:rPr>
          <w:rFonts w:ascii="Times New Roman" w:eastAsia="MS Mincho" w:hAnsi="Times New Roman" w:cs="Times New Roman"/>
          <w:b/>
          <w:sz w:val="24"/>
          <w:szCs w:val="24"/>
        </w:rPr>
        <w:t xml:space="preserve"> i dispozitave ligjore dhe mungesa e harmonizimit me ligjet e tjera, krijon </w:t>
      </w:r>
      <w:proofErr w:type="spellStart"/>
      <w:r w:rsidR="00687378" w:rsidRPr="004979D2">
        <w:rPr>
          <w:rFonts w:ascii="Times New Roman" w:eastAsia="MS Mincho" w:hAnsi="Times New Roman" w:cs="Times New Roman"/>
          <w:b/>
          <w:sz w:val="24"/>
          <w:szCs w:val="24"/>
        </w:rPr>
        <w:t>konfuzitet</w:t>
      </w:r>
      <w:proofErr w:type="spellEnd"/>
      <w:r w:rsidR="00687378" w:rsidRPr="004979D2">
        <w:rPr>
          <w:rFonts w:ascii="Times New Roman" w:eastAsia="MS Mincho" w:hAnsi="Times New Roman" w:cs="Times New Roman"/>
          <w:b/>
          <w:sz w:val="24"/>
          <w:szCs w:val="24"/>
        </w:rPr>
        <w:t xml:space="preserve">, pasiguri juridike dhe </w:t>
      </w:r>
      <w:proofErr w:type="spellStart"/>
      <w:r w:rsidR="00687378" w:rsidRPr="004979D2">
        <w:rPr>
          <w:rFonts w:ascii="Times New Roman" w:eastAsia="MS Mincho" w:hAnsi="Times New Roman" w:cs="Times New Roman"/>
          <w:b/>
          <w:sz w:val="24"/>
          <w:szCs w:val="24"/>
        </w:rPr>
        <w:t>dublifikim</w:t>
      </w:r>
      <w:proofErr w:type="spellEnd"/>
      <w:r w:rsidR="00687378" w:rsidRPr="004979D2">
        <w:rPr>
          <w:rFonts w:ascii="Times New Roman" w:eastAsia="MS Mincho" w:hAnsi="Times New Roman" w:cs="Times New Roman"/>
          <w:b/>
          <w:sz w:val="24"/>
          <w:szCs w:val="24"/>
        </w:rPr>
        <w:t xml:space="preserve"> </w:t>
      </w:r>
      <w:r w:rsidR="00AF48D6" w:rsidRPr="004979D2">
        <w:rPr>
          <w:rFonts w:ascii="Times New Roman" w:eastAsia="MS Mincho" w:hAnsi="Times New Roman" w:cs="Times New Roman"/>
          <w:b/>
          <w:sz w:val="24"/>
          <w:szCs w:val="24"/>
        </w:rPr>
        <w:t>të</w:t>
      </w:r>
      <w:r w:rsidR="00687378" w:rsidRPr="004979D2">
        <w:rPr>
          <w:rFonts w:ascii="Times New Roman" w:eastAsia="MS Mincho" w:hAnsi="Times New Roman" w:cs="Times New Roman"/>
          <w:b/>
          <w:sz w:val="24"/>
          <w:szCs w:val="24"/>
        </w:rPr>
        <w:t xml:space="preserve"> vendimeve</w:t>
      </w:r>
    </w:p>
    <w:p w14:paraId="3EDB5489" w14:textId="77777777" w:rsidR="00AF48D6" w:rsidRPr="004979D2" w:rsidRDefault="00AF48D6"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 </w:t>
      </w:r>
      <w:r w:rsidR="00687378" w:rsidRPr="004979D2">
        <w:rPr>
          <w:rFonts w:ascii="Times New Roman" w:hAnsi="Times New Roman" w:cs="Times New Roman"/>
          <w:sz w:val="24"/>
          <w:szCs w:val="24"/>
        </w:rPr>
        <w:t xml:space="preserve">Bazuar në nenin 301 dhe 309 të Kodit Penal, për t’i shmangë dyfishimet e kompetencave lidhur me shqiptimin e masave të sanksionit  dhe duke pasur parasysh se Kodi penal i Kosovës i rregullon disa çështje që përfshihen edhe në Plotësim Ndryshimin e Ligjit për Mbrojtjen e Konkurrencës neni 57a par.1. </w:t>
      </w:r>
    </w:p>
    <w:p w14:paraId="7F46DCEA" w14:textId="77777777" w:rsidR="00687378" w:rsidRPr="004979D2" w:rsidRDefault="00AF48D6"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 </w:t>
      </w:r>
      <w:r w:rsidR="00687378" w:rsidRPr="004979D2">
        <w:rPr>
          <w:rFonts w:ascii="Times New Roman" w:hAnsi="Times New Roman" w:cs="Times New Roman"/>
          <w:sz w:val="24"/>
          <w:szCs w:val="24"/>
        </w:rPr>
        <w:t xml:space="preserve">Gjithashtu dispozita të caktuara të Ligjit për Mbrojtjen e Konkurrencës dhe plotësim ndryshimit të tij nuk janë të harmonizuara me Ligjin Nr. 05/L-031 për Procedurën e Përgjithshme Administrative (LPPA). </w:t>
      </w:r>
    </w:p>
    <w:p w14:paraId="5C95F258" w14:textId="77777777" w:rsidR="00687378" w:rsidRPr="004979D2" w:rsidRDefault="00687378"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Dispozitat e tilla nga Ligji për Mbrojtjen e Konkurrencës janë si në vijim: neni 8(2), neni 9(9), neni 13(4), neni 21(1), neni 33(2), neni 42(4), neni 44(4) (8) dhe (9), neni 46(6), neni 59(8), neni 60(4), neni 62(3) dhe neni 66. Ndërsa, nga plotësim ndryshimi i Ligjit për Mbrojtjen e Konkurrencës vetëm neni 4 (neni 7A.2) është vlerësuar si i pa harmonizuar me LPPA.</w:t>
      </w:r>
    </w:p>
    <w:p w14:paraId="7F7F0530" w14:textId="77777777" w:rsidR="00687378" w:rsidRPr="004979D2" w:rsidRDefault="00687378"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Këto dispozita konsiderohen si të pa harmonizuara për arsyet si në vijim:</w:t>
      </w:r>
    </w:p>
    <w:p w14:paraId="46F6FFDE" w14:textId="4A9032DF" w:rsidR="00687378" w:rsidRPr="004979D2" w:rsidRDefault="00687378" w:rsidP="002B1BC6">
      <w:pPr>
        <w:pStyle w:val="ListParagraph"/>
        <w:numPr>
          <w:ilvl w:val="0"/>
          <w:numId w:val="2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Neni 8(2) përcakton në tërësi kriteret dhe kushtet për përcaktimin e marrëveshjes me vlerë të vogël me akt nënligjor, duke krijuar gjendje ku të drejtat apo interesat e palëve mund të cenohen. Si rrjedhojë ky nen është i pa harmonizuar me nenin 4 të LPPA – Parimin e ligjshmërisë.</w:t>
      </w:r>
    </w:p>
    <w:p w14:paraId="0CC2C430" w14:textId="77777777" w:rsidR="00536194" w:rsidRPr="004979D2" w:rsidRDefault="00687378" w:rsidP="002B1BC6">
      <w:pPr>
        <w:pStyle w:val="ListParagraph"/>
        <w:numPr>
          <w:ilvl w:val="0"/>
          <w:numId w:val="2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Në nenin 9(9), mundësia e anulimit të përjashtimeve të lejuara, për arsye së ato janë siguruar në bazë të informatave jo të plota ose të pasakta, nuk është në pajtim me dispozitat lidhur me anulimin dhe shfuqizimin e aktit administrativ të përcaktuara në LPPA (Nenet 54-57). Autoriteti i Konkurrencës  është i detyruar që në një procedurë administrative, sipas detyrës zyrtare, të shqyrtojë të gjitha faktet dhe të vlerësojë të gjitha rrethanat e nevojshme për zgjidhjen e çështjes administrative, siç përcaktohet me nenin 86(1) të LPPA. Në këtë drejtim, barra për të vërtetuar se informacioni është jo i plotë ose i pa saktë qëndron mbi Autoritetin, dhe akti i lejimit të përqendrimit nuk mund të anulohet mbi bazën se Autoriteti nuk ka arritur të zhvilloj shqyrtimin administrativ siç duhet.</w:t>
      </w:r>
      <w:r w:rsidR="00536194" w:rsidRPr="004979D2" w:rsidDel="00536194">
        <w:rPr>
          <w:rFonts w:ascii="Times New Roman" w:hAnsi="Times New Roman" w:cs="Times New Roman"/>
          <w:sz w:val="24"/>
          <w:szCs w:val="24"/>
        </w:rPr>
        <w:t xml:space="preserve"> </w:t>
      </w:r>
    </w:p>
    <w:p w14:paraId="26ED256E" w14:textId="77777777" w:rsidR="00687378" w:rsidRPr="004979D2" w:rsidRDefault="00687378" w:rsidP="002B1BC6">
      <w:pPr>
        <w:pStyle w:val="ListParagraph"/>
        <w:numPr>
          <w:ilvl w:val="0"/>
          <w:numId w:val="2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lastRenderedPageBreak/>
        <w:t>Neni 13(4) përcakton rregullimin në tërësi me akt nënligjor të mënyrës së paraqitjes së kërkesës dhe kritereve për konstatimin e përqendrimit, që nuk është në harmoni me Nenin 4 të LPPA.</w:t>
      </w:r>
    </w:p>
    <w:p w14:paraId="72C1A514" w14:textId="77777777" w:rsidR="00687378" w:rsidRPr="004979D2" w:rsidRDefault="00687378" w:rsidP="002B1BC6">
      <w:pPr>
        <w:pStyle w:val="ListParagraph"/>
        <w:numPr>
          <w:ilvl w:val="0"/>
          <w:numId w:val="2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Në nenin 21(1), ngjashëm me të gjeturat në nenin 9(9), pasaktësia e informatave, nuk mund të jetë bazë për shfuqizimin apo ndryshimin e vendimit për përqendrimin, ngase Autoriteti sipas nenit 86(1) ka për detyrë të shqyrtoj të gjitha faktet dhe të vlerësojë të gjitha rrethanat e nevojshme për zgjidhjen e çështjes administrative.</w:t>
      </w:r>
    </w:p>
    <w:p w14:paraId="09E6F258" w14:textId="77777777" w:rsidR="00687378" w:rsidRPr="004979D2" w:rsidRDefault="00687378" w:rsidP="002B1BC6">
      <w:pPr>
        <w:pStyle w:val="ListParagraph"/>
        <w:numPr>
          <w:ilvl w:val="0"/>
          <w:numId w:val="2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Neni 33(2) përjashton </w:t>
      </w:r>
      <w:proofErr w:type="spellStart"/>
      <w:r w:rsidRPr="004979D2">
        <w:rPr>
          <w:rFonts w:ascii="Times New Roman" w:hAnsi="Times New Roman" w:cs="Times New Roman"/>
          <w:sz w:val="24"/>
          <w:szCs w:val="24"/>
        </w:rPr>
        <w:t>kategorisht</w:t>
      </w:r>
      <w:proofErr w:type="spellEnd"/>
      <w:r w:rsidRPr="004979D2">
        <w:rPr>
          <w:rFonts w:ascii="Times New Roman" w:hAnsi="Times New Roman" w:cs="Times New Roman"/>
          <w:sz w:val="24"/>
          <w:szCs w:val="24"/>
        </w:rPr>
        <w:t xml:space="preserve"> paraqitësin e iniciativës nga mundësia për të qenë palë në procedurë. neni 14(2) i LPPA përcakton se palë konsiderohen gjithashtu personat të cilëve rezultati i procedurës mund t’i cenoj të drejtat apo interesat. Në praktikë mund të ketë raste kur të drejtat apo interesat e paraqitësit të iniciativës mund të lidhen me procedurën konkrete.</w:t>
      </w:r>
    </w:p>
    <w:p w14:paraId="7BEBDA07" w14:textId="77777777" w:rsidR="00687378" w:rsidRPr="004979D2" w:rsidRDefault="00687378" w:rsidP="002B1BC6">
      <w:pPr>
        <w:pStyle w:val="ListParagraph"/>
        <w:numPr>
          <w:ilvl w:val="0"/>
          <w:numId w:val="2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Neni 42(4) i referohet aplikimit të dispozitave të LPPA, sa i përket kontrollit të paparalajmëruar, por LPPA nuk parasheh fare dispozita për rregullimin e kësaj çështje.</w:t>
      </w:r>
    </w:p>
    <w:p w14:paraId="22184A5C" w14:textId="77777777" w:rsidR="00687378" w:rsidRPr="004979D2" w:rsidRDefault="00687378" w:rsidP="002B1BC6">
      <w:pPr>
        <w:pStyle w:val="ListParagraph"/>
        <w:numPr>
          <w:ilvl w:val="0"/>
          <w:numId w:val="2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Neni 44(4) përcakton afat 15 ditor për qasje në dosje, që është më i gjatë se afati i paraparë në LPPA (Neni 92) – 5 ditor. Gjithashtu, Neni 44(8) i kufizon qasjen në dosje palëve të treta në procedurë, që nuk është në pajtim me LPPA, gjegjësisht nenet 9 dhe 92. Për më shumë, neni 44(9) i mohon të drejtën e mjetit juridik palës së cilës i është refuzuar kërkesa për qasje në dosje, ndërsa LPPA (neni 125) përcakton se ky mjet juridik mund të ndalohet vetëm si mjet i veçantë, i ndarë nga ankesa kryesore, por jo të ndalohet në tërësi (i njëjti mund të ushtrohet në përfundim të procedurës administrative).</w:t>
      </w:r>
    </w:p>
    <w:p w14:paraId="18E9832A" w14:textId="77777777" w:rsidR="00687378" w:rsidRPr="004979D2" w:rsidRDefault="00687378" w:rsidP="002B1BC6">
      <w:pPr>
        <w:pStyle w:val="ListParagraph"/>
        <w:numPr>
          <w:ilvl w:val="0"/>
          <w:numId w:val="2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Në nenin 46(6), ngjashëm me të gjeturat në nenin 9(9) dhe nenin 21(1), pasaktësia e informatave, nuk mund të jetë bazë për anulimin apo shfuqizimin e vendimit paraprak, ngase Autoriteti sipas nenit 86(1) të LPPA ka për detyrë të shqyrtoj të gjitha faktet  dhe të vlerësojë të gjitha rrethanat e nevojshme për zgjidhjen e çështjes administrative.</w:t>
      </w:r>
    </w:p>
    <w:p w14:paraId="5159B0A2" w14:textId="77777777" w:rsidR="00687378" w:rsidRPr="004979D2" w:rsidRDefault="00687378" w:rsidP="002B1BC6">
      <w:pPr>
        <w:pStyle w:val="ListParagraph"/>
        <w:numPr>
          <w:ilvl w:val="0"/>
          <w:numId w:val="2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Neni 59(8) parasheh masë ndëshkuese për ndërmarrjet edhe në rastet kur nuk ka pasur efekte negative në treg. Kjo konsiderohet procedurë jo proporcionale sipas nenit 5 të LPPA.</w:t>
      </w:r>
    </w:p>
    <w:p w14:paraId="60B9683B" w14:textId="77777777" w:rsidR="00687378" w:rsidRPr="004979D2" w:rsidRDefault="00687378" w:rsidP="002B1BC6">
      <w:pPr>
        <w:pStyle w:val="ListParagraph"/>
        <w:numPr>
          <w:ilvl w:val="0"/>
          <w:numId w:val="2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lastRenderedPageBreak/>
        <w:t>Neni 60(4) përcakton se kriteret për lirimin nga masat ndëshkuese, gjegjësisht zvogëlimin e ndëshkimeve, rregullohen në tërësi me akt nënligjor, që konsiderohet jo në harmoni me nenin 4 të LPPA.</w:t>
      </w:r>
    </w:p>
    <w:p w14:paraId="43E08111" w14:textId="77777777" w:rsidR="00687378" w:rsidRPr="004979D2" w:rsidRDefault="00687378" w:rsidP="002B1BC6">
      <w:pPr>
        <w:pStyle w:val="ListParagraph"/>
        <w:numPr>
          <w:ilvl w:val="0"/>
          <w:numId w:val="2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Neni 66 përcakton zbatim direkt të Direktivave të Bashkimit Evropian. Kjo cenon të drejtat dhe interesat juridike të palëve, ngase Direktivat për tu zbatuar duhet të </w:t>
      </w:r>
      <w:proofErr w:type="spellStart"/>
      <w:r w:rsidRPr="004979D2">
        <w:rPr>
          <w:rFonts w:ascii="Times New Roman" w:hAnsi="Times New Roman" w:cs="Times New Roman"/>
          <w:sz w:val="24"/>
          <w:szCs w:val="24"/>
        </w:rPr>
        <w:t>transpozohen</w:t>
      </w:r>
      <w:proofErr w:type="spellEnd"/>
      <w:r w:rsidRPr="004979D2">
        <w:rPr>
          <w:rFonts w:ascii="Times New Roman" w:hAnsi="Times New Roman" w:cs="Times New Roman"/>
          <w:sz w:val="24"/>
          <w:szCs w:val="24"/>
        </w:rPr>
        <w:t xml:space="preserve"> në ligjet e Kosovës.</w:t>
      </w:r>
    </w:p>
    <w:p w14:paraId="16C436A8" w14:textId="77777777" w:rsidR="00687378" w:rsidRPr="004979D2" w:rsidRDefault="00687378" w:rsidP="002B1BC6">
      <w:pPr>
        <w:pStyle w:val="ListParagraph"/>
        <w:numPr>
          <w:ilvl w:val="0"/>
          <w:numId w:val="2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Neni 7A(2) i plotësim ndryshimit të Ligjit për Mbrojtjen e Konkurrencës përcakton rregullimin në tërësi të kushteve të përjashtimeve grupore me akt nënligjor, që nuk është në harmoni me nenin 4 të LPPA.</w:t>
      </w:r>
    </w:p>
    <w:p w14:paraId="1C00DF0F" w14:textId="2547091D" w:rsidR="000D15B9" w:rsidRPr="004979D2" w:rsidRDefault="007C0743" w:rsidP="002B1BC6">
      <w:pPr>
        <w:spacing w:line="360" w:lineRule="auto"/>
        <w:jc w:val="both"/>
        <w:rPr>
          <w:rFonts w:ascii="Times New Roman" w:hAnsi="Times New Roman" w:cs="Times New Roman"/>
          <w:b/>
          <w:sz w:val="24"/>
          <w:szCs w:val="24"/>
        </w:rPr>
      </w:pPr>
      <w:r w:rsidRPr="004979D2">
        <w:rPr>
          <w:rFonts w:ascii="Times New Roman" w:hAnsi="Times New Roman" w:cs="Times New Roman"/>
          <w:b/>
          <w:sz w:val="24"/>
          <w:szCs w:val="24"/>
        </w:rPr>
        <w:t xml:space="preserve">Analiza 5 </w:t>
      </w:r>
      <w:r w:rsidR="00DE25EA" w:rsidRPr="004979D2">
        <w:rPr>
          <w:rFonts w:ascii="Times New Roman" w:hAnsi="Times New Roman" w:cs="Times New Roman"/>
          <w:b/>
          <w:sz w:val="24"/>
          <w:szCs w:val="24"/>
        </w:rPr>
        <w:t>–</w:t>
      </w:r>
      <w:r w:rsidRPr="004979D2">
        <w:rPr>
          <w:rFonts w:ascii="Times New Roman" w:hAnsi="Times New Roman" w:cs="Times New Roman"/>
          <w:b/>
          <w:sz w:val="24"/>
          <w:szCs w:val="24"/>
        </w:rPr>
        <w:t xml:space="preserve"> </w:t>
      </w:r>
      <w:r w:rsidR="00DE25EA" w:rsidRPr="004979D2">
        <w:rPr>
          <w:rFonts w:ascii="Times New Roman" w:hAnsi="Times New Roman" w:cs="Times New Roman"/>
          <w:b/>
          <w:sz w:val="24"/>
          <w:szCs w:val="24"/>
        </w:rPr>
        <w:t xml:space="preserve">Dispozitat jo të plotë kanë krijuar </w:t>
      </w:r>
      <w:r w:rsidRPr="004979D2">
        <w:rPr>
          <w:rFonts w:ascii="Times New Roman" w:hAnsi="Times New Roman" w:cs="Times New Roman"/>
          <w:b/>
          <w:sz w:val="24"/>
          <w:szCs w:val="24"/>
        </w:rPr>
        <w:t>vakume institucionale në pozita</w:t>
      </w:r>
      <w:r w:rsidR="00DE25EA" w:rsidRPr="004979D2">
        <w:rPr>
          <w:rFonts w:ascii="Times New Roman" w:hAnsi="Times New Roman" w:cs="Times New Roman"/>
          <w:b/>
          <w:sz w:val="24"/>
          <w:szCs w:val="24"/>
        </w:rPr>
        <w:t xml:space="preserve"> kyçe</w:t>
      </w:r>
      <w:r w:rsidRPr="004979D2">
        <w:rPr>
          <w:rFonts w:ascii="Times New Roman" w:hAnsi="Times New Roman" w:cs="Times New Roman"/>
          <w:b/>
          <w:sz w:val="24"/>
          <w:szCs w:val="24"/>
        </w:rPr>
        <w:t xml:space="preserve"> të cilat ndikojnë në funksionimin e AKK-së</w:t>
      </w:r>
    </w:p>
    <w:p w14:paraId="6879F939" w14:textId="53DBE0F8" w:rsidR="004029A1" w:rsidRPr="004979D2" w:rsidRDefault="003938C8"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 </w:t>
      </w:r>
      <w:r w:rsidR="00903534" w:rsidRPr="004979D2">
        <w:rPr>
          <w:rFonts w:ascii="Times New Roman" w:hAnsi="Times New Roman" w:cs="Times New Roman"/>
          <w:sz w:val="24"/>
          <w:szCs w:val="24"/>
        </w:rPr>
        <w:t>Me Ligjin 04/L-226 neni</w:t>
      </w:r>
      <w:r w:rsidR="004029A1" w:rsidRPr="004979D2">
        <w:rPr>
          <w:rFonts w:ascii="Times New Roman" w:hAnsi="Times New Roman" w:cs="Times New Roman"/>
          <w:sz w:val="24"/>
          <w:szCs w:val="24"/>
        </w:rPr>
        <w:t xml:space="preserve"> 25 </w:t>
      </w:r>
      <w:r w:rsidR="00903534" w:rsidRPr="004979D2">
        <w:rPr>
          <w:rFonts w:ascii="Times New Roman" w:hAnsi="Times New Roman" w:cs="Times New Roman"/>
          <w:sz w:val="24"/>
          <w:szCs w:val="24"/>
        </w:rPr>
        <w:t>i</w:t>
      </w:r>
      <w:r w:rsidR="004029A1" w:rsidRPr="004979D2">
        <w:rPr>
          <w:rFonts w:ascii="Times New Roman" w:hAnsi="Times New Roman" w:cs="Times New Roman"/>
          <w:sz w:val="24"/>
          <w:szCs w:val="24"/>
        </w:rPr>
        <w:t xml:space="preserve"> ligjit bazik, paragrafi 4,</w:t>
      </w:r>
      <w:r w:rsidR="00903534" w:rsidRPr="004979D2">
        <w:rPr>
          <w:rFonts w:ascii="Times New Roman" w:hAnsi="Times New Roman" w:cs="Times New Roman"/>
          <w:sz w:val="24"/>
          <w:szCs w:val="24"/>
        </w:rPr>
        <w:t xml:space="preserve"> është</w:t>
      </w:r>
      <w:r w:rsidR="004029A1" w:rsidRPr="004979D2">
        <w:rPr>
          <w:rFonts w:ascii="Times New Roman" w:hAnsi="Times New Roman" w:cs="Times New Roman"/>
          <w:sz w:val="24"/>
          <w:szCs w:val="24"/>
        </w:rPr>
        <w:t xml:space="preserve"> </w:t>
      </w:r>
      <w:r w:rsidR="00903534" w:rsidRPr="004979D2">
        <w:rPr>
          <w:rFonts w:ascii="Times New Roman" w:hAnsi="Times New Roman" w:cs="Times New Roman"/>
          <w:sz w:val="24"/>
          <w:szCs w:val="24"/>
        </w:rPr>
        <w:t xml:space="preserve">riformuluar </w:t>
      </w:r>
      <w:r w:rsidR="004029A1" w:rsidRPr="004979D2">
        <w:rPr>
          <w:rFonts w:ascii="Times New Roman" w:hAnsi="Times New Roman" w:cs="Times New Roman"/>
          <w:sz w:val="24"/>
          <w:szCs w:val="24"/>
        </w:rPr>
        <w:t xml:space="preserve">me tekstin si në vijim: Kryetarin, zëvendëskryetarin dhe anëtarët e Komisionit Kosovar të Konkurrencës propozohen nga Qeveria dhe emërohen nga </w:t>
      </w:r>
      <w:proofErr w:type="spellStart"/>
      <w:r w:rsidR="004029A1" w:rsidRPr="004979D2">
        <w:rPr>
          <w:rFonts w:ascii="Times New Roman" w:hAnsi="Times New Roman" w:cs="Times New Roman"/>
          <w:sz w:val="24"/>
          <w:szCs w:val="24"/>
        </w:rPr>
        <w:t>Kuvendi.</w:t>
      </w:r>
      <w:r w:rsidR="00903534" w:rsidRPr="004979D2">
        <w:rPr>
          <w:rFonts w:ascii="Times New Roman" w:hAnsi="Times New Roman" w:cs="Times New Roman"/>
          <w:sz w:val="24"/>
          <w:szCs w:val="24"/>
        </w:rPr>
        <w:t>Pas</w:t>
      </w:r>
      <w:proofErr w:type="spellEnd"/>
      <w:r w:rsidR="004029A1" w:rsidRPr="004979D2">
        <w:rPr>
          <w:rFonts w:ascii="Times New Roman" w:hAnsi="Times New Roman" w:cs="Times New Roman"/>
          <w:sz w:val="24"/>
          <w:szCs w:val="24"/>
        </w:rPr>
        <w:t xml:space="preserve"> paragrafit 4 </w:t>
      </w:r>
      <w:r w:rsidR="00903534" w:rsidRPr="004979D2">
        <w:rPr>
          <w:rFonts w:ascii="Times New Roman" w:hAnsi="Times New Roman" w:cs="Times New Roman"/>
          <w:sz w:val="24"/>
          <w:szCs w:val="24"/>
        </w:rPr>
        <w:t xml:space="preserve">është shtuar </w:t>
      </w:r>
      <w:r w:rsidR="004029A1" w:rsidRPr="004979D2">
        <w:rPr>
          <w:rFonts w:ascii="Times New Roman" w:hAnsi="Times New Roman" w:cs="Times New Roman"/>
          <w:sz w:val="24"/>
          <w:szCs w:val="24"/>
        </w:rPr>
        <w:t>një paragraf i ri 5 me tekstin si në vijim: Qeveria, gjashtëdhjetë (60) ditë para përfundimit të mandatit të anëtarëve të Komisionit, ia propozon Kuvendit për emërim ose riemërim kandidatin për anëtarë të Komisionit.</w:t>
      </w:r>
      <w:r w:rsidR="00903534" w:rsidRPr="004979D2">
        <w:rPr>
          <w:rFonts w:ascii="Times New Roman" w:hAnsi="Times New Roman" w:cs="Times New Roman"/>
          <w:sz w:val="24"/>
          <w:szCs w:val="24"/>
        </w:rPr>
        <w:t xml:space="preserve"> </w:t>
      </w:r>
    </w:p>
    <w:p w14:paraId="2A5ADC95" w14:textId="77777777" w:rsidR="004029A1" w:rsidRPr="004979D2" w:rsidRDefault="00DE25EA"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Mirëpo, këto ndryshime nuk i kanë adresuar vakumet ligjore dhe institucionale. </w:t>
      </w:r>
      <w:r w:rsidR="004029A1" w:rsidRPr="004979D2">
        <w:rPr>
          <w:rFonts w:ascii="Times New Roman" w:hAnsi="Times New Roman" w:cs="Times New Roman"/>
          <w:sz w:val="24"/>
          <w:szCs w:val="24"/>
        </w:rPr>
        <w:t>Duke u bazuar në përvojën e kaluar të Komisionit të AKK-së të cilit i kishte skaduar mandati ligjor ishte krijuar vakum institucional sepse Qeveria dhe Kuvendi brenda afatit ligjor nuk ka emëruar Komisionin e ri sipas dispozitave ligjore të përcaktuara në Ligj. Mbi këtë bazë AKK dhe administrata ka ngecur në të gjitha procedurat e vendimmarrjes, dhe ka humbur shumë nga përfitimet të cilat janë ofruar nga donatorët e ndryshëm.</w:t>
      </w:r>
    </w:p>
    <w:p w14:paraId="7ACD0C41" w14:textId="33B6E62C" w:rsidR="007C0743" w:rsidRPr="004979D2" w:rsidRDefault="004029A1" w:rsidP="002B1BC6">
      <w:pPr>
        <w:spacing w:line="360" w:lineRule="auto"/>
        <w:jc w:val="both"/>
        <w:rPr>
          <w:rFonts w:ascii="Times New Roman" w:hAnsi="Times New Roman" w:cs="Times New Roman"/>
          <w:b/>
          <w:sz w:val="24"/>
          <w:szCs w:val="24"/>
        </w:rPr>
      </w:pPr>
      <w:r w:rsidRPr="004979D2">
        <w:rPr>
          <w:rFonts w:ascii="Times New Roman" w:hAnsi="Times New Roman" w:cs="Times New Roman"/>
          <w:b/>
          <w:sz w:val="24"/>
          <w:szCs w:val="24"/>
        </w:rPr>
        <w:t xml:space="preserve">Analiza 6 </w:t>
      </w:r>
      <w:r w:rsidR="00B8612B" w:rsidRPr="004979D2">
        <w:rPr>
          <w:rFonts w:ascii="Times New Roman" w:hAnsi="Times New Roman" w:cs="Times New Roman"/>
          <w:b/>
          <w:sz w:val="24"/>
          <w:szCs w:val="24"/>
        </w:rPr>
        <w:t>–</w:t>
      </w:r>
      <w:r w:rsidRPr="004979D2">
        <w:rPr>
          <w:rFonts w:ascii="Times New Roman" w:hAnsi="Times New Roman" w:cs="Times New Roman"/>
          <w:b/>
          <w:sz w:val="24"/>
          <w:szCs w:val="24"/>
        </w:rPr>
        <w:t xml:space="preserve"> </w:t>
      </w:r>
      <w:r w:rsidR="00B8612B" w:rsidRPr="004979D2">
        <w:rPr>
          <w:rFonts w:ascii="Times New Roman" w:hAnsi="Times New Roman" w:cs="Times New Roman"/>
          <w:b/>
          <w:sz w:val="24"/>
          <w:szCs w:val="24"/>
        </w:rPr>
        <w:t xml:space="preserve">Ndalimi i ekzekutimit të vendimeve të AKK-së me inicimin e procedurës administrative shkakton zvarritjen </w:t>
      </w:r>
      <w:r w:rsidRPr="004979D2">
        <w:rPr>
          <w:rFonts w:ascii="Times New Roman" w:hAnsi="Times New Roman" w:cs="Times New Roman"/>
          <w:b/>
          <w:sz w:val="24"/>
          <w:szCs w:val="24"/>
        </w:rPr>
        <w:t>e lëndëve nëpër gjykata, zvogëlon rolin ekzekutiv të autoritetit, cenon konkurrencën dhe tregun e lirë.</w:t>
      </w:r>
    </w:p>
    <w:p w14:paraId="275C086F" w14:textId="0AA8ED3F" w:rsidR="009F2A3F" w:rsidRPr="004979D2" w:rsidRDefault="009F2A3F"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Neni 62 rregullon mbrojtjen gjyqësore ku pala brenda afatit 30 ditor ka të drejtë të iniciojë konflikt administrativ në Gjykatën Kompetente të Kosovës kundër vendimit të Autoritetit të Konkurrencës. Ligji bazik ka paraparë që inicimi i konfliktit administrativ të mos e ndalojë </w:t>
      </w:r>
      <w:r w:rsidRPr="004979D2">
        <w:rPr>
          <w:rFonts w:ascii="Times New Roman" w:hAnsi="Times New Roman" w:cs="Times New Roman"/>
          <w:sz w:val="24"/>
          <w:szCs w:val="24"/>
        </w:rPr>
        <w:lastRenderedPageBreak/>
        <w:t>ekzekutimin e vendimit të Autoritetit. Mirëpo, kjo është ndryshuar me nenin 26, ku inicimi i konfliktit administrativ e ndalon ekzekutimin e vendimit. (Kjo është ndryshuar me</w:t>
      </w:r>
      <w:r w:rsidR="00B8612B" w:rsidRPr="004979D2">
        <w:rPr>
          <w:rFonts w:ascii="Times New Roman" w:hAnsi="Times New Roman" w:cs="Times New Roman"/>
          <w:sz w:val="24"/>
          <w:szCs w:val="24"/>
        </w:rPr>
        <w:t xml:space="preserve"> Ligjin -4/L-226 për</w:t>
      </w:r>
      <w:r w:rsidRPr="004979D2">
        <w:rPr>
          <w:rFonts w:ascii="Times New Roman" w:hAnsi="Times New Roman" w:cs="Times New Roman"/>
          <w:sz w:val="24"/>
          <w:szCs w:val="24"/>
        </w:rPr>
        <w:t xml:space="preserve"> plotësim ndryshimin e Ligjit </w:t>
      </w:r>
      <w:r w:rsidR="00B8612B" w:rsidRPr="004979D2">
        <w:rPr>
          <w:rFonts w:ascii="Times New Roman" w:hAnsi="Times New Roman" w:cs="Times New Roman"/>
          <w:sz w:val="24"/>
          <w:szCs w:val="24"/>
        </w:rPr>
        <w:t>03/L-229</w:t>
      </w:r>
      <w:r w:rsidRPr="004979D2">
        <w:rPr>
          <w:rFonts w:ascii="Times New Roman" w:hAnsi="Times New Roman" w:cs="Times New Roman"/>
          <w:sz w:val="24"/>
          <w:szCs w:val="24"/>
        </w:rPr>
        <w:t>)</w:t>
      </w:r>
    </w:p>
    <w:p w14:paraId="10BC56AE" w14:textId="77777777" w:rsidR="009F2A3F" w:rsidRPr="004979D2" w:rsidRDefault="009F2A3F"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Ndalimi i ekzekutimit të vendimit të autoritetit me inicimin e konfliktit administrativ, sjell rrezikun që dëmi që supozohet se është shkaktuar në treg të vazhdojë të krijojë efekte negative dhe të dëmshme për konkurrencën, rrjedhimisht duke minuar rolin ekzekutues të Autoritetit.</w:t>
      </w:r>
    </w:p>
    <w:p w14:paraId="24560836" w14:textId="77777777" w:rsidR="009F2A3F" w:rsidRPr="004979D2" w:rsidRDefault="009F2A3F"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Si rrjedhojë, kjo rrezikon zvarritjen e lëndëve në gjykata dhe praninë e efekteve negative në treg që cenojnë parimet e konkurrencës së lirë. </w:t>
      </w:r>
    </w:p>
    <w:p w14:paraId="77978C91" w14:textId="2908EE8D" w:rsidR="000D15B9" w:rsidRPr="004979D2" w:rsidRDefault="00606F67" w:rsidP="002B1BC6">
      <w:pPr>
        <w:spacing w:line="360" w:lineRule="auto"/>
        <w:rPr>
          <w:rFonts w:ascii="Times New Roman" w:hAnsi="Times New Roman" w:cs="Times New Roman"/>
          <w:b/>
          <w:color w:val="000000" w:themeColor="text1"/>
          <w:sz w:val="24"/>
          <w:szCs w:val="24"/>
        </w:rPr>
      </w:pPr>
      <w:r w:rsidRPr="004979D2">
        <w:rPr>
          <w:rFonts w:ascii="Times New Roman" w:hAnsi="Times New Roman" w:cs="Times New Roman"/>
          <w:b/>
          <w:sz w:val="24"/>
          <w:szCs w:val="24"/>
        </w:rPr>
        <w:t xml:space="preserve">Analiza 7 </w:t>
      </w:r>
      <w:r w:rsidR="00B8612B" w:rsidRPr="004979D2">
        <w:rPr>
          <w:rFonts w:ascii="Times New Roman" w:hAnsi="Times New Roman" w:cs="Times New Roman"/>
          <w:b/>
          <w:sz w:val="24"/>
          <w:szCs w:val="24"/>
        </w:rPr>
        <w:t>–</w:t>
      </w:r>
      <w:r w:rsidRPr="004979D2">
        <w:rPr>
          <w:rFonts w:ascii="Times New Roman" w:hAnsi="Times New Roman" w:cs="Times New Roman"/>
          <w:b/>
          <w:sz w:val="24"/>
          <w:szCs w:val="24"/>
        </w:rPr>
        <w:t xml:space="preserve"> </w:t>
      </w:r>
      <w:r w:rsidR="00B8612B" w:rsidRPr="004979D2">
        <w:rPr>
          <w:rFonts w:ascii="Times New Roman" w:hAnsi="Times New Roman" w:cs="Times New Roman"/>
          <w:b/>
          <w:sz w:val="24"/>
          <w:szCs w:val="24"/>
        </w:rPr>
        <w:t xml:space="preserve">Prezenca e dispozitave të panevojshme krijon </w:t>
      </w:r>
      <w:r w:rsidRPr="004979D2">
        <w:rPr>
          <w:rFonts w:ascii="Times New Roman" w:hAnsi="Times New Roman" w:cs="Times New Roman"/>
          <w:b/>
          <w:color w:val="000000" w:themeColor="text1"/>
          <w:sz w:val="24"/>
          <w:szCs w:val="24"/>
        </w:rPr>
        <w:t>paqartësi sa i përket kompetencave institucionale.</w:t>
      </w:r>
    </w:p>
    <w:p w14:paraId="0BF87CBB" w14:textId="77777777" w:rsidR="00606F67" w:rsidRPr="004979D2" w:rsidRDefault="0086088E"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Sa i përket kompetencave të ndihmës shtetërore, bazuar në ligj të veçantë tashmë kanë kaluar në kompetencat e Ministrisë së Financave. Andaj, për të shmangur paqartësi sa i përket kompetencave institucionale, çështja e ndihmës shtetërorë do të duhej të adresohej qoftë me ndryshime përkatëse në ligjin në fuqi ose në ligjin e ri të mbrojtjes së konkurrencës. </w:t>
      </w:r>
    </w:p>
    <w:p w14:paraId="56D5D4B2" w14:textId="675347DB" w:rsidR="00A07D91" w:rsidRPr="004979D2" w:rsidRDefault="00A07D91" w:rsidP="002B1BC6">
      <w:pPr>
        <w:spacing w:line="360" w:lineRule="auto"/>
        <w:jc w:val="both"/>
        <w:rPr>
          <w:rFonts w:ascii="Times New Roman" w:hAnsi="Times New Roman" w:cs="Times New Roman"/>
          <w:b/>
          <w:sz w:val="24"/>
          <w:szCs w:val="24"/>
        </w:rPr>
      </w:pPr>
      <w:r w:rsidRPr="004979D2">
        <w:rPr>
          <w:rFonts w:ascii="Times New Roman" w:hAnsi="Times New Roman" w:cs="Times New Roman"/>
          <w:b/>
          <w:sz w:val="24"/>
          <w:szCs w:val="24"/>
        </w:rPr>
        <w:t xml:space="preserve">Analiza 8 </w:t>
      </w:r>
      <w:r w:rsidR="00B8612B" w:rsidRPr="004979D2">
        <w:rPr>
          <w:rFonts w:ascii="Times New Roman" w:hAnsi="Times New Roman" w:cs="Times New Roman"/>
          <w:b/>
          <w:sz w:val="24"/>
          <w:szCs w:val="24"/>
        </w:rPr>
        <w:t>–</w:t>
      </w:r>
      <w:r w:rsidR="00425577" w:rsidRPr="004979D2">
        <w:rPr>
          <w:rFonts w:ascii="Times New Roman" w:hAnsi="Times New Roman" w:cs="Times New Roman"/>
          <w:b/>
          <w:sz w:val="24"/>
          <w:szCs w:val="24"/>
        </w:rPr>
        <w:t xml:space="preserve"> </w:t>
      </w:r>
      <w:r w:rsidR="00B8612B" w:rsidRPr="004979D2">
        <w:rPr>
          <w:rFonts w:ascii="Times New Roman" w:hAnsi="Times New Roman" w:cs="Times New Roman"/>
          <w:b/>
          <w:sz w:val="24"/>
          <w:szCs w:val="24"/>
        </w:rPr>
        <w:t xml:space="preserve">Terminologjia jo e saktë krijon </w:t>
      </w:r>
      <w:proofErr w:type="spellStart"/>
      <w:r w:rsidR="00425577" w:rsidRPr="004979D2">
        <w:rPr>
          <w:rFonts w:ascii="Times New Roman" w:hAnsi="Times New Roman" w:cs="Times New Roman"/>
          <w:b/>
          <w:sz w:val="24"/>
          <w:szCs w:val="24"/>
        </w:rPr>
        <w:t>konfuzitet</w:t>
      </w:r>
      <w:proofErr w:type="spellEnd"/>
      <w:r w:rsidR="00B8612B" w:rsidRPr="004979D2">
        <w:rPr>
          <w:rFonts w:ascii="Times New Roman" w:hAnsi="Times New Roman" w:cs="Times New Roman"/>
          <w:b/>
          <w:sz w:val="24"/>
          <w:szCs w:val="24"/>
        </w:rPr>
        <w:t xml:space="preserve"> dhe</w:t>
      </w:r>
      <w:r w:rsidR="00425577" w:rsidRPr="004979D2">
        <w:rPr>
          <w:rFonts w:ascii="Times New Roman" w:hAnsi="Times New Roman" w:cs="Times New Roman"/>
          <w:b/>
          <w:sz w:val="24"/>
          <w:szCs w:val="24"/>
        </w:rPr>
        <w:t xml:space="preserve"> pasiguri juridike</w:t>
      </w:r>
    </w:p>
    <w:p w14:paraId="644D846F" w14:textId="77777777" w:rsidR="00425577" w:rsidRPr="004979D2" w:rsidRDefault="00425577" w:rsidP="002B1BC6">
      <w:pPr>
        <w:spacing w:line="360" w:lineRule="auto"/>
        <w:jc w:val="both"/>
        <w:rPr>
          <w:rFonts w:ascii="Times New Roman" w:hAnsi="Times New Roman" w:cs="Times New Roman"/>
          <w:b/>
          <w:sz w:val="24"/>
          <w:szCs w:val="24"/>
        </w:rPr>
      </w:pPr>
      <w:r w:rsidRPr="004979D2">
        <w:rPr>
          <w:rFonts w:ascii="Times New Roman" w:hAnsi="Times New Roman" w:cs="Times New Roman"/>
          <w:sz w:val="24"/>
          <w:szCs w:val="24"/>
        </w:rPr>
        <w:t xml:space="preserve">Ligji në fuqi ka në përbërje nene të cilat kanë probleme me terminologji dhe si pasojë shkaktojnë konfuzion në interpretim. Për më tepër, përkthimi në anglisht nuk është </w:t>
      </w:r>
      <w:proofErr w:type="spellStart"/>
      <w:r w:rsidRPr="004979D2">
        <w:rPr>
          <w:rFonts w:ascii="Times New Roman" w:hAnsi="Times New Roman" w:cs="Times New Roman"/>
          <w:sz w:val="24"/>
          <w:szCs w:val="24"/>
        </w:rPr>
        <w:t>konsistent</w:t>
      </w:r>
      <w:proofErr w:type="spellEnd"/>
      <w:r w:rsidRPr="004979D2">
        <w:rPr>
          <w:rFonts w:ascii="Times New Roman" w:hAnsi="Times New Roman" w:cs="Times New Roman"/>
          <w:sz w:val="24"/>
          <w:szCs w:val="24"/>
        </w:rPr>
        <w:t xml:space="preserve"> dhe në përputhje me terminologjinë e miratuar të BE-së për konkurrencën. Nuk është e qartë se termat e përkthyer, cilave terma ligjor të konkurrencës në nivel të BE-së ju referohen.</w:t>
      </w:r>
    </w:p>
    <w:p w14:paraId="0CDE7304" w14:textId="7BCA3C5B" w:rsidR="000D15B9" w:rsidRPr="004979D2" w:rsidRDefault="00425577" w:rsidP="002B1BC6">
      <w:pPr>
        <w:spacing w:line="360" w:lineRule="auto"/>
        <w:jc w:val="both"/>
        <w:rPr>
          <w:rFonts w:ascii="Times New Roman" w:hAnsi="Times New Roman" w:cs="Times New Roman"/>
          <w:b/>
          <w:sz w:val="24"/>
          <w:szCs w:val="24"/>
        </w:rPr>
      </w:pPr>
      <w:r w:rsidRPr="004979D2">
        <w:rPr>
          <w:rFonts w:ascii="Times New Roman" w:hAnsi="Times New Roman" w:cs="Times New Roman"/>
          <w:b/>
          <w:sz w:val="24"/>
          <w:szCs w:val="24"/>
        </w:rPr>
        <w:t xml:space="preserve">Analiza 9 </w:t>
      </w:r>
      <w:r w:rsidR="00B8612B" w:rsidRPr="004979D2">
        <w:rPr>
          <w:rFonts w:ascii="Times New Roman" w:hAnsi="Times New Roman" w:cs="Times New Roman"/>
          <w:b/>
          <w:sz w:val="24"/>
          <w:szCs w:val="24"/>
        </w:rPr>
        <w:t>–</w:t>
      </w:r>
      <w:r w:rsidRPr="004979D2">
        <w:rPr>
          <w:rFonts w:ascii="Times New Roman" w:hAnsi="Times New Roman" w:cs="Times New Roman"/>
          <w:b/>
          <w:sz w:val="24"/>
          <w:szCs w:val="24"/>
        </w:rPr>
        <w:t xml:space="preserve"> </w:t>
      </w:r>
      <w:r w:rsidR="00B8612B" w:rsidRPr="004979D2">
        <w:rPr>
          <w:rFonts w:ascii="Times New Roman" w:hAnsi="Times New Roman" w:cs="Times New Roman"/>
          <w:b/>
          <w:sz w:val="24"/>
          <w:szCs w:val="24"/>
        </w:rPr>
        <w:t xml:space="preserve">Mungesa e definicioneve të termave kyç krijon </w:t>
      </w:r>
      <w:proofErr w:type="spellStart"/>
      <w:r w:rsidR="000F266E" w:rsidRPr="004979D2">
        <w:rPr>
          <w:rFonts w:ascii="Times New Roman" w:hAnsi="Times New Roman" w:cs="Times New Roman"/>
          <w:b/>
          <w:sz w:val="24"/>
          <w:szCs w:val="24"/>
        </w:rPr>
        <w:t>konfuzitet</w:t>
      </w:r>
      <w:proofErr w:type="spellEnd"/>
      <w:r w:rsidR="00D0017D" w:rsidRPr="004979D2">
        <w:rPr>
          <w:rFonts w:ascii="Times New Roman" w:hAnsi="Times New Roman" w:cs="Times New Roman"/>
          <w:b/>
          <w:sz w:val="24"/>
          <w:szCs w:val="24"/>
        </w:rPr>
        <w:t xml:space="preserve"> </w:t>
      </w:r>
      <w:proofErr w:type="spellStart"/>
      <w:r w:rsidR="00D0017D" w:rsidRPr="004979D2">
        <w:rPr>
          <w:rFonts w:ascii="Times New Roman" w:hAnsi="Times New Roman" w:cs="Times New Roman"/>
          <w:b/>
          <w:sz w:val="24"/>
          <w:szCs w:val="24"/>
        </w:rPr>
        <w:t>dhe</w:t>
      </w:r>
      <w:r w:rsidR="000F266E" w:rsidRPr="004979D2">
        <w:rPr>
          <w:rFonts w:ascii="Times New Roman" w:hAnsi="Times New Roman" w:cs="Times New Roman"/>
          <w:b/>
          <w:sz w:val="24"/>
          <w:szCs w:val="24"/>
        </w:rPr>
        <w:t>pasiguri</w:t>
      </w:r>
      <w:proofErr w:type="spellEnd"/>
      <w:r w:rsidR="000F266E" w:rsidRPr="004979D2">
        <w:rPr>
          <w:rFonts w:ascii="Times New Roman" w:hAnsi="Times New Roman" w:cs="Times New Roman"/>
          <w:b/>
          <w:sz w:val="24"/>
          <w:szCs w:val="24"/>
        </w:rPr>
        <w:t xml:space="preserve"> juridike </w:t>
      </w:r>
    </w:p>
    <w:p w14:paraId="4CEF0804" w14:textId="77777777" w:rsidR="000F266E" w:rsidRPr="004979D2" w:rsidRDefault="000F266E"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Neni 3 i Ligjit të Konkurrencës mbi Përkufizimet dhe neni  2 të ligjit të ndryshuar të Konkurrencës nuk përmbajnë përkufizimin e termit ndërmarrje siç përcaktohet me legjislacionin të BE-së për konkurrencën. </w:t>
      </w:r>
    </w:p>
    <w:p w14:paraId="091357B3" w14:textId="77777777" w:rsidR="000F266E" w:rsidRPr="004979D2" w:rsidRDefault="000F266E"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-Jurisprudenca e Gjykatës së Drejtësisë të BE-së ka definuar termin ndërmarrje. Për më tepër, neni 106, paragrafi 1 dhe paragrafi 2 i TFBE përcaktojnë ndërmarrjet publike dhe ndërmarrjet të cilat janë të ngarkuara me funksionimin e shërbimeve me interes të përgjithshëm ekonomik. Këto dy përkufizime mungojnë në nenin 3 të ligjit të konkurrencës.</w:t>
      </w:r>
    </w:p>
    <w:p w14:paraId="46182420" w14:textId="77777777" w:rsidR="000F266E" w:rsidRPr="004979D2" w:rsidRDefault="000F266E"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lastRenderedPageBreak/>
        <w:t xml:space="preserve">-Nuk ka përcaktim të ndërmarrjes të kontrolluar nga një ndërmarrje tjetër e cila është e rëndësishme si në kontekstin e kontrollit të bashkimit dhe në vlerësimin e marrëveshjeve. Ndërmarrja e kontrolluar nga një ndërmarrje tjetër zakonisht përkufizohet si një ndërmarrje në të cilën kjo e fundit drejtpërdrejt ose tërthorazi mban më shumë se gjysmën e kapitalit aksionar ose gjysmë aksionet ose mund të ushtrojë më shumë se gjysmën e të drejtave të votës ose ka të drejtë të emërojë më shumë se gjysmën e anëtarëve të bordit drejtues, komitetit mbikëqyrës ose organit të ngjashëm administrativ apo </w:t>
      </w:r>
      <w:proofErr w:type="spellStart"/>
      <w:r w:rsidRPr="004979D2">
        <w:rPr>
          <w:rFonts w:ascii="Times New Roman" w:hAnsi="Times New Roman" w:cs="Times New Roman"/>
          <w:sz w:val="24"/>
          <w:szCs w:val="24"/>
        </w:rPr>
        <w:t>menaxhues</w:t>
      </w:r>
      <w:proofErr w:type="spellEnd"/>
      <w:r w:rsidRPr="004979D2">
        <w:rPr>
          <w:rFonts w:ascii="Times New Roman" w:hAnsi="Times New Roman" w:cs="Times New Roman"/>
          <w:sz w:val="24"/>
          <w:szCs w:val="24"/>
        </w:rPr>
        <w:t xml:space="preserve"> ose në një mënyrë tjetër ushtron një ndikim vendimtar mbi të drejtën për të menaxhuar veprimtarinë ekonomike të ndërmarrjes.</w:t>
      </w:r>
    </w:p>
    <w:p w14:paraId="272EBF03" w14:textId="77777777" w:rsidR="000D15B9" w:rsidRPr="004979D2" w:rsidRDefault="000F266E"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-Gjithashtu, </w:t>
      </w:r>
      <w:proofErr w:type="spellStart"/>
      <w:r w:rsidRPr="004979D2">
        <w:rPr>
          <w:rFonts w:ascii="Times New Roman" w:hAnsi="Times New Roman" w:cs="Times New Roman"/>
          <w:sz w:val="24"/>
          <w:szCs w:val="24"/>
        </w:rPr>
        <w:t>definimi</w:t>
      </w:r>
      <w:proofErr w:type="spellEnd"/>
      <w:r w:rsidRPr="004979D2">
        <w:rPr>
          <w:rFonts w:ascii="Times New Roman" w:hAnsi="Times New Roman" w:cs="Times New Roman"/>
          <w:sz w:val="24"/>
          <w:szCs w:val="24"/>
        </w:rPr>
        <w:t xml:space="preserve"> i një tregu relevant, i cili është vendimtar në rastet e të drejtës së konkurrencës, duhet të jetë më i përafruar me legjislacionin përkatës të BE-së - Njoftimin e Komisionit mbi përcaktimin e tregut relevant për qëllimet e ligjit të konkurrencës së Komunitetit.</w:t>
      </w:r>
    </w:p>
    <w:p w14:paraId="47629255" w14:textId="68261D3B" w:rsidR="000D15B9" w:rsidRPr="004979D2" w:rsidRDefault="000F266E" w:rsidP="002B1BC6">
      <w:pPr>
        <w:spacing w:line="360" w:lineRule="auto"/>
        <w:jc w:val="both"/>
        <w:rPr>
          <w:rFonts w:ascii="Times New Roman" w:hAnsi="Times New Roman" w:cs="Times New Roman"/>
          <w:b/>
          <w:sz w:val="24"/>
          <w:szCs w:val="24"/>
        </w:rPr>
      </w:pPr>
      <w:r w:rsidRPr="004979D2">
        <w:rPr>
          <w:rFonts w:ascii="Times New Roman" w:hAnsi="Times New Roman" w:cs="Times New Roman"/>
          <w:b/>
          <w:sz w:val="24"/>
          <w:szCs w:val="24"/>
        </w:rPr>
        <w:t xml:space="preserve">Analiza 10 </w:t>
      </w:r>
      <w:r w:rsidR="00D0017D" w:rsidRPr="004979D2">
        <w:rPr>
          <w:rFonts w:ascii="Times New Roman" w:hAnsi="Times New Roman" w:cs="Times New Roman"/>
          <w:b/>
          <w:sz w:val="24"/>
          <w:szCs w:val="24"/>
        </w:rPr>
        <w:t>–</w:t>
      </w:r>
      <w:r w:rsidRPr="004979D2">
        <w:rPr>
          <w:rFonts w:ascii="Times New Roman" w:hAnsi="Times New Roman" w:cs="Times New Roman"/>
          <w:b/>
          <w:sz w:val="24"/>
          <w:szCs w:val="24"/>
        </w:rPr>
        <w:t xml:space="preserve"> </w:t>
      </w:r>
      <w:proofErr w:type="spellStart"/>
      <w:r w:rsidR="00D0017D" w:rsidRPr="004979D2">
        <w:rPr>
          <w:rFonts w:ascii="Times New Roman" w:hAnsi="Times New Roman" w:cs="Times New Roman"/>
          <w:b/>
          <w:sz w:val="24"/>
          <w:szCs w:val="24"/>
        </w:rPr>
        <w:t>Transpozimi</w:t>
      </w:r>
      <w:proofErr w:type="spellEnd"/>
      <w:r w:rsidR="00D0017D" w:rsidRPr="004979D2">
        <w:rPr>
          <w:rFonts w:ascii="Times New Roman" w:hAnsi="Times New Roman" w:cs="Times New Roman"/>
          <w:b/>
          <w:sz w:val="24"/>
          <w:szCs w:val="24"/>
        </w:rPr>
        <w:t xml:space="preserve"> jo i plotë i </w:t>
      </w:r>
      <w:proofErr w:type="spellStart"/>
      <w:r w:rsidR="00D0017D" w:rsidRPr="004979D2">
        <w:rPr>
          <w:rFonts w:ascii="Times New Roman" w:hAnsi="Times New Roman" w:cs="Times New Roman"/>
          <w:b/>
          <w:i/>
          <w:sz w:val="24"/>
          <w:szCs w:val="24"/>
        </w:rPr>
        <w:t>Acquis</w:t>
      </w:r>
      <w:proofErr w:type="spellEnd"/>
      <w:r w:rsidR="00D0017D" w:rsidRPr="004979D2">
        <w:rPr>
          <w:rFonts w:ascii="Times New Roman" w:hAnsi="Times New Roman" w:cs="Times New Roman"/>
          <w:b/>
          <w:i/>
          <w:sz w:val="24"/>
          <w:szCs w:val="24"/>
        </w:rPr>
        <w:t xml:space="preserve"> </w:t>
      </w:r>
      <w:r w:rsidR="00D0017D" w:rsidRPr="004979D2">
        <w:rPr>
          <w:rFonts w:ascii="Times New Roman" w:hAnsi="Times New Roman" w:cs="Times New Roman"/>
          <w:b/>
          <w:sz w:val="24"/>
          <w:szCs w:val="24"/>
        </w:rPr>
        <w:t xml:space="preserve">të BE-së krijon </w:t>
      </w:r>
      <w:r w:rsidRPr="004979D2">
        <w:rPr>
          <w:rFonts w:ascii="Times New Roman" w:hAnsi="Times New Roman" w:cs="Times New Roman"/>
          <w:b/>
          <w:sz w:val="24"/>
          <w:szCs w:val="24"/>
        </w:rPr>
        <w:t xml:space="preserve">vakume ligjore dhe institucionale të cilat ndikojnë </w:t>
      </w:r>
      <w:r w:rsidR="00D0017D" w:rsidRPr="004979D2">
        <w:rPr>
          <w:rFonts w:ascii="Times New Roman" w:hAnsi="Times New Roman" w:cs="Times New Roman"/>
          <w:b/>
          <w:sz w:val="24"/>
          <w:szCs w:val="24"/>
        </w:rPr>
        <w:t xml:space="preserve">negativisht </w:t>
      </w:r>
      <w:r w:rsidRPr="004979D2">
        <w:rPr>
          <w:rFonts w:ascii="Times New Roman" w:hAnsi="Times New Roman" w:cs="Times New Roman"/>
          <w:b/>
          <w:sz w:val="24"/>
          <w:szCs w:val="24"/>
        </w:rPr>
        <w:t>në</w:t>
      </w:r>
      <w:r w:rsidR="00D0017D" w:rsidRPr="004979D2">
        <w:rPr>
          <w:rFonts w:ascii="Times New Roman" w:hAnsi="Times New Roman" w:cs="Times New Roman"/>
          <w:b/>
          <w:sz w:val="24"/>
          <w:szCs w:val="24"/>
        </w:rPr>
        <w:t xml:space="preserve"> punën dhe</w:t>
      </w:r>
      <w:r w:rsidRPr="004979D2">
        <w:rPr>
          <w:rFonts w:ascii="Times New Roman" w:hAnsi="Times New Roman" w:cs="Times New Roman"/>
          <w:b/>
          <w:sz w:val="24"/>
          <w:szCs w:val="24"/>
        </w:rPr>
        <w:t xml:space="preserve"> vendimmarrje</w:t>
      </w:r>
      <w:r w:rsidR="00D0017D" w:rsidRPr="004979D2">
        <w:rPr>
          <w:rFonts w:ascii="Times New Roman" w:hAnsi="Times New Roman" w:cs="Times New Roman"/>
          <w:b/>
          <w:sz w:val="24"/>
          <w:szCs w:val="24"/>
        </w:rPr>
        <w:t xml:space="preserve"> e</w:t>
      </w:r>
      <w:r w:rsidRPr="004979D2">
        <w:rPr>
          <w:rFonts w:ascii="Times New Roman" w:hAnsi="Times New Roman" w:cs="Times New Roman"/>
          <w:b/>
          <w:sz w:val="24"/>
          <w:szCs w:val="24"/>
        </w:rPr>
        <w:t xml:space="preserve"> AKK-së</w:t>
      </w:r>
    </w:p>
    <w:p w14:paraId="2B94A238" w14:textId="77777777" w:rsidR="000F266E" w:rsidRPr="004979D2" w:rsidRDefault="000F266E"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Neni 4 i Ligjit të Konkurrencës korrespondon me nenin 101, paragrafi 1 të TFEU. Megjithatë, këtu mungon referenca e saktë nga neni 101, paragrafi 3) TFEU. </w:t>
      </w:r>
    </w:p>
    <w:p w14:paraId="002001EF" w14:textId="193C4D9B" w:rsidR="000D15B9" w:rsidRPr="004979D2" w:rsidRDefault="000F266E"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Neni 101, paragrafi 3) TFEU përcakton katër kushte kryesore që duhet të përmbushen në mënyrë që marrëveshja të shmang zbatimin e paragrafit 1 mbi marrëveshjet e ndaluara. Këto kushte përfshijnë: marrëveshja në fjalë kontribuon në përmirësimin e prodhimit ose shpërndarjes së mallrave ose në promovimin e progresit teknik ose ekonomik, duke i lejuar konsumatorët një pjesë të drejtë të përfitimit që rezulton dhe marrëveshja nuk i imponon ndërmarrjeve të përfshira kufizime të cilat nuk janë të domosdoshme për arritjen e këtyre objektivave,  dhe nuk i lejojnë ndërmarrjeve të tilla mundësinë e eliminimit konkurrencë në lidhje me një pjesë të konsiderueshme të produkteve në fjalë.</w:t>
      </w:r>
    </w:p>
    <w:p w14:paraId="66F6DB27" w14:textId="1854B3A1" w:rsidR="000D15B9" w:rsidRPr="004979D2" w:rsidRDefault="000F266E" w:rsidP="002B1BC6">
      <w:pPr>
        <w:spacing w:line="360" w:lineRule="auto"/>
        <w:jc w:val="both"/>
        <w:rPr>
          <w:rFonts w:ascii="Times New Roman" w:hAnsi="Times New Roman" w:cs="Times New Roman"/>
          <w:b/>
          <w:sz w:val="24"/>
          <w:szCs w:val="24"/>
        </w:rPr>
      </w:pPr>
      <w:r w:rsidRPr="004979D2">
        <w:rPr>
          <w:rFonts w:ascii="Times New Roman" w:hAnsi="Times New Roman" w:cs="Times New Roman"/>
          <w:b/>
          <w:sz w:val="24"/>
          <w:szCs w:val="24"/>
        </w:rPr>
        <w:t xml:space="preserve">Analiza 11 </w:t>
      </w:r>
      <w:r w:rsidR="00F6067F" w:rsidRPr="004979D2">
        <w:rPr>
          <w:rFonts w:ascii="Times New Roman" w:hAnsi="Times New Roman" w:cs="Times New Roman"/>
          <w:b/>
          <w:sz w:val="24"/>
          <w:szCs w:val="24"/>
        </w:rPr>
        <w:t>–</w:t>
      </w:r>
      <w:r w:rsidRPr="004979D2">
        <w:rPr>
          <w:rFonts w:ascii="Times New Roman" w:hAnsi="Times New Roman" w:cs="Times New Roman"/>
          <w:b/>
          <w:sz w:val="24"/>
          <w:szCs w:val="24"/>
        </w:rPr>
        <w:t xml:space="preserve"> </w:t>
      </w:r>
      <w:r w:rsidR="00F6067F" w:rsidRPr="004979D2">
        <w:rPr>
          <w:rFonts w:ascii="Times New Roman" w:hAnsi="Times New Roman" w:cs="Times New Roman"/>
          <w:b/>
          <w:sz w:val="24"/>
          <w:szCs w:val="24"/>
        </w:rPr>
        <w:t xml:space="preserve">Mungesa e kritereve krijon vakume ligjore </w:t>
      </w:r>
    </w:p>
    <w:p w14:paraId="27426341" w14:textId="77777777" w:rsidR="000D15B9" w:rsidRPr="004979D2" w:rsidRDefault="004B5F29"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Neni 8 i Ligjit me Nr. 03/L-229 për Mbrojtjen e Konkurrencës  rregullon marrëveshjet me vlerë të vogël (marrëveshje me rëndësi të vogël). Megjithëse definon marrëveshjet me vlerë të vogël, ekziston një hendek i identifikuar dhe kjo ka të bëjë me mungesën e dispozitave që theksojnë se këto marrëveshje nuk duhet të përmbajnë kufizime thelbësore të konkurrencës që, </w:t>
      </w:r>
      <w:r w:rsidRPr="004979D2">
        <w:rPr>
          <w:rFonts w:ascii="Times New Roman" w:hAnsi="Times New Roman" w:cs="Times New Roman"/>
          <w:sz w:val="24"/>
          <w:szCs w:val="24"/>
        </w:rPr>
        <w:lastRenderedPageBreak/>
        <w:t>pavarësisht nga pjesa e parëndësishme e tregut të palëve në marrëveshje mund të rezultojë në kufizimin e konkurrencës.</w:t>
      </w:r>
    </w:p>
    <w:p w14:paraId="38E66EAF" w14:textId="4D8CBDAC" w:rsidR="000D15B9" w:rsidRPr="004979D2" w:rsidRDefault="004B5F29" w:rsidP="002B1BC6">
      <w:pPr>
        <w:spacing w:line="360" w:lineRule="auto"/>
        <w:jc w:val="both"/>
        <w:rPr>
          <w:rFonts w:ascii="Times New Roman" w:hAnsi="Times New Roman" w:cs="Times New Roman"/>
          <w:b/>
          <w:sz w:val="24"/>
          <w:szCs w:val="24"/>
        </w:rPr>
      </w:pPr>
      <w:r w:rsidRPr="004979D2">
        <w:rPr>
          <w:rFonts w:ascii="Times New Roman" w:hAnsi="Times New Roman" w:cs="Times New Roman"/>
          <w:b/>
          <w:sz w:val="24"/>
          <w:szCs w:val="24"/>
        </w:rPr>
        <w:t xml:space="preserve">Analiza 12 </w:t>
      </w:r>
      <w:r w:rsidR="00F6067F" w:rsidRPr="004979D2">
        <w:rPr>
          <w:rFonts w:ascii="Times New Roman" w:hAnsi="Times New Roman" w:cs="Times New Roman"/>
          <w:b/>
          <w:sz w:val="24"/>
          <w:szCs w:val="24"/>
        </w:rPr>
        <w:t>–</w:t>
      </w:r>
      <w:r w:rsidRPr="004979D2">
        <w:rPr>
          <w:rFonts w:ascii="Times New Roman" w:hAnsi="Times New Roman" w:cs="Times New Roman"/>
          <w:b/>
          <w:sz w:val="24"/>
          <w:szCs w:val="24"/>
        </w:rPr>
        <w:t xml:space="preserve"> </w:t>
      </w:r>
      <w:r w:rsidR="00F6067F" w:rsidRPr="004979D2">
        <w:rPr>
          <w:rFonts w:ascii="Times New Roman" w:hAnsi="Times New Roman" w:cs="Times New Roman"/>
          <w:b/>
          <w:sz w:val="24"/>
          <w:szCs w:val="24"/>
        </w:rPr>
        <w:t xml:space="preserve">Kompetencat e limituara </w:t>
      </w:r>
      <w:proofErr w:type="spellStart"/>
      <w:r w:rsidR="00F6067F" w:rsidRPr="004979D2">
        <w:rPr>
          <w:rFonts w:ascii="Times New Roman" w:hAnsi="Times New Roman" w:cs="Times New Roman"/>
          <w:b/>
          <w:sz w:val="24"/>
          <w:szCs w:val="24"/>
        </w:rPr>
        <w:t>zvoglojnë</w:t>
      </w:r>
      <w:proofErr w:type="spellEnd"/>
      <w:r w:rsidR="00F6067F" w:rsidRPr="004979D2">
        <w:rPr>
          <w:rFonts w:ascii="Times New Roman" w:hAnsi="Times New Roman" w:cs="Times New Roman"/>
          <w:b/>
          <w:sz w:val="24"/>
          <w:szCs w:val="24"/>
        </w:rPr>
        <w:t xml:space="preserve"> rolin e AKK-së</w:t>
      </w:r>
    </w:p>
    <w:p w14:paraId="7B3100A5" w14:textId="77777777" w:rsidR="000D15B9" w:rsidRPr="004979D2" w:rsidRDefault="004B5F29"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Neni 23 i Ligjit të Konkurrencës përcakton kompetencën e AKK-së për dhënien e mendimeve profesionale për përputhshmërinë e legjislacionit me rregullat e konkurrencës. Andaj, me qëllim të forcimit të mëtejshëm të kësaj detyre të rëndësishme të </w:t>
      </w:r>
      <w:proofErr w:type="spellStart"/>
      <w:r w:rsidRPr="004979D2">
        <w:rPr>
          <w:rFonts w:ascii="Times New Roman" w:hAnsi="Times New Roman" w:cs="Times New Roman"/>
          <w:sz w:val="24"/>
          <w:szCs w:val="24"/>
        </w:rPr>
        <w:t>avokimit</w:t>
      </w:r>
      <w:proofErr w:type="spellEnd"/>
      <w:r w:rsidRPr="004979D2">
        <w:rPr>
          <w:rFonts w:ascii="Times New Roman" w:hAnsi="Times New Roman" w:cs="Times New Roman"/>
          <w:sz w:val="24"/>
          <w:szCs w:val="24"/>
        </w:rPr>
        <w:t xml:space="preserve"> të konkurrencës, do të ishte e dobishme të rishikohet ligji në mënyrë që AKK me vet iniciative ose me kërkesë mund të japë mendime edhe për projektligjet ose propozimet e ligjeve dhe rregulloreve të tjera.</w:t>
      </w:r>
    </w:p>
    <w:p w14:paraId="21F2A850" w14:textId="680C1249" w:rsidR="000D15B9" w:rsidRPr="004979D2" w:rsidRDefault="00E12772" w:rsidP="002B1BC6">
      <w:pPr>
        <w:spacing w:line="360" w:lineRule="auto"/>
        <w:jc w:val="both"/>
        <w:rPr>
          <w:rFonts w:ascii="Times New Roman" w:hAnsi="Times New Roman" w:cs="Times New Roman"/>
          <w:b/>
          <w:sz w:val="24"/>
          <w:szCs w:val="24"/>
        </w:rPr>
      </w:pPr>
      <w:r w:rsidRPr="004979D2">
        <w:rPr>
          <w:rFonts w:ascii="Times New Roman" w:hAnsi="Times New Roman" w:cs="Times New Roman"/>
          <w:b/>
          <w:sz w:val="24"/>
          <w:szCs w:val="24"/>
        </w:rPr>
        <w:t xml:space="preserve">Analiza 13 </w:t>
      </w:r>
      <w:r w:rsidR="00F6067F" w:rsidRPr="004979D2">
        <w:rPr>
          <w:rFonts w:ascii="Times New Roman" w:hAnsi="Times New Roman" w:cs="Times New Roman"/>
          <w:b/>
          <w:sz w:val="24"/>
          <w:szCs w:val="24"/>
        </w:rPr>
        <w:t xml:space="preserve">– Dispozitat jo të plota krijojnë hendek ligjor dhe </w:t>
      </w:r>
      <w:r w:rsidRPr="004979D2">
        <w:rPr>
          <w:rFonts w:ascii="Times New Roman" w:hAnsi="Times New Roman" w:cs="Times New Roman"/>
          <w:b/>
          <w:sz w:val="24"/>
          <w:szCs w:val="24"/>
        </w:rPr>
        <w:t>pasiguri juridike</w:t>
      </w:r>
    </w:p>
    <w:p w14:paraId="752FCDF7" w14:textId="77777777" w:rsidR="00E12772" w:rsidRPr="004979D2" w:rsidRDefault="00E12772"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Neni 54 i Ligjit të Konkurrencës përcakton vendimet e miratuara nga AKK. Megjithatë, nuk ka vendim për vendosjen e marrëveshjeve të ndaluara dhe vendosjen e gjobës për shkeljen e nenit 4 të Ligjit të Konkurrencës. Kjo situate krijon hendek në ligj, sepse marrëveshjet e ndaluara, veçanërisht marrëveshjet e ndaluara horizontale ndërmjet konkurrentëve që rregullojnë çmimet ose tregjet e aksioneve (kartelet) përfaqësojnë kufizime thelbësore të konkurrencës për të cilat mund të vendosen gjobat më të larta. </w:t>
      </w:r>
    </w:p>
    <w:p w14:paraId="45FD72D1" w14:textId="5B8E5189" w:rsidR="000D15B9" w:rsidRPr="004979D2" w:rsidRDefault="00E12772" w:rsidP="002B1BC6">
      <w:pPr>
        <w:spacing w:line="360" w:lineRule="auto"/>
        <w:jc w:val="both"/>
        <w:rPr>
          <w:rFonts w:ascii="Times New Roman" w:hAnsi="Times New Roman" w:cs="Times New Roman"/>
          <w:b/>
          <w:sz w:val="24"/>
          <w:szCs w:val="24"/>
        </w:rPr>
      </w:pPr>
      <w:r w:rsidRPr="004979D2">
        <w:rPr>
          <w:rFonts w:ascii="Times New Roman" w:hAnsi="Times New Roman" w:cs="Times New Roman"/>
          <w:b/>
          <w:sz w:val="24"/>
          <w:szCs w:val="24"/>
        </w:rPr>
        <w:t xml:space="preserve">Analiza 14 </w:t>
      </w:r>
      <w:r w:rsidR="00F6067F" w:rsidRPr="004979D2">
        <w:rPr>
          <w:rFonts w:ascii="Times New Roman" w:hAnsi="Times New Roman" w:cs="Times New Roman"/>
          <w:b/>
          <w:sz w:val="24"/>
          <w:szCs w:val="24"/>
        </w:rPr>
        <w:t>–</w:t>
      </w:r>
      <w:r w:rsidRPr="004979D2">
        <w:rPr>
          <w:rFonts w:ascii="Times New Roman" w:hAnsi="Times New Roman" w:cs="Times New Roman"/>
          <w:b/>
          <w:sz w:val="24"/>
          <w:szCs w:val="24"/>
        </w:rPr>
        <w:t xml:space="preserve"> </w:t>
      </w:r>
      <w:r w:rsidR="00F6067F" w:rsidRPr="004979D2">
        <w:rPr>
          <w:rFonts w:ascii="Times New Roman" w:hAnsi="Times New Roman" w:cs="Times New Roman"/>
          <w:b/>
          <w:sz w:val="24"/>
          <w:szCs w:val="24"/>
        </w:rPr>
        <w:t xml:space="preserve">Përqindja e lartë e gjobave për shkelje të lehta, vështirëson punën e ndërmarrjeve, krijon paqartësi dhe është në kundërshtim me </w:t>
      </w:r>
      <w:proofErr w:type="spellStart"/>
      <w:r w:rsidR="00F6067F" w:rsidRPr="004979D2">
        <w:rPr>
          <w:rFonts w:ascii="Times New Roman" w:hAnsi="Times New Roman" w:cs="Times New Roman"/>
          <w:b/>
          <w:i/>
          <w:sz w:val="24"/>
          <w:szCs w:val="24"/>
        </w:rPr>
        <w:t>Acquis</w:t>
      </w:r>
      <w:proofErr w:type="spellEnd"/>
      <w:r w:rsidR="00F6067F" w:rsidRPr="004979D2">
        <w:rPr>
          <w:rFonts w:ascii="Times New Roman" w:hAnsi="Times New Roman" w:cs="Times New Roman"/>
          <w:b/>
          <w:i/>
          <w:sz w:val="24"/>
          <w:szCs w:val="24"/>
        </w:rPr>
        <w:t xml:space="preserve"> </w:t>
      </w:r>
      <w:r w:rsidR="00F6067F" w:rsidRPr="004979D2">
        <w:rPr>
          <w:rFonts w:ascii="Times New Roman" w:hAnsi="Times New Roman" w:cs="Times New Roman"/>
          <w:b/>
          <w:sz w:val="24"/>
          <w:szCs w:val="24"/>
        </w:rPr>
        <w:t>të BE-së</w:t>
      </w:r>
    </w:p>
    <w:p w14:paraId="272A9FF5" w14:textId="77777777" w:rsidR="000D15B9" w:rsidRPr="004979D2" w:rsidRDefault="008C26E2"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Neni 57 i Ligjit të Konkurrencës përcakton gjobat për shkelje të lehta të Ligjit të Konkurrencës në shumën deri në 2% të qarkullimit total të ndërmarrjes. </w:t>
      </w:r>
      <w:proofErr w:type="spellStart"/>
      <w:r w:rsidRPr="004979D2">
        <w:rPr>
          <w:rFonts w:ascii="Times New Roman" w:hAnsi="Times New Roman" w:cs="Times New Roman"/>
          <w:sz w:val="24"/>
          <w:szCs w:val="24"/>
        </w:rPr>
        <w:t>Megjithate</w:t>
      </w:r>
      <w:proofErr w:type="spellEnd"/>
      <w:r w:rsidRPr="004979D2">
        <w:rPr>
          <w:rFonts w:ascii="Times New Roman" w:hAnsi="Times New Roman" w:cs="Times New Roman"/>
          <w:sz w:val="24"/>
          <w:szCs w:val="24"/>
        </w:rPr>
        <w:t>, 2% po konsiderohet të jetë një shumë e lartë duke pasur parasysh se zakonisht shumica e BE-së vendosin gjobën për shkeljet e vogla deri në 1% të totalit të xhiros së ndërmarrjes.</w:t>
      </w:r>
    </w:p>
    <w:p w14:paraId="2947404A" w14:textId="4FD015D9" w:rsidR="000D15B9" w:rsidRPr="004979D2" w:rsidRDefault="000070C8"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 xml:space="preserve">Analiza 15 </w:t>
      </w:r>
      <w:r w:rsidR="00F6067F" w:rsidRPr="004979D2">
        <w:rPr>
          <w:rFonts w:ascii="Times New Roman" w:hAnsi="Times New Roman" w:cs="Times New Roman"/>
          <w:b/>
          <w:sz w:val="24"/>
          <w:szCs w:val="24"/>
        </w:rPr>
        <w:t>–</w:t>
      </w:r>
      <w:r w:rsidRPr="004979D2">
        <w:rPr>
          <w:rFonts w:ascii="Times New Roman" w:hAnsi="Times New Roman" w:cs="Times New Roman"/>
          <w:b/>
          <w:sz w:val="24"/>
          <w:szCs w:val="24"/>
        </w:rPr>
        <w:t xml:space="preserve"> </w:t>
      </w:r>
      <w:r w:rsidR="00F6067F" w:rsidRPr="004979D2">
        <w:rPr>
          <w:rFonts w:ascii="Times New Roman" w:hAnsi="Times New Roman" w:cs="Times New Roman"/>
          <w:b/>
          <w:sz w:val="24"/>
          <w:szCs w:val="24"/>
        </w:rPr>
        <w:t xml:space="preserve">Dispozitat jo të qarta krijojnë </w:t>
      </w:r>
      <w:r w:rsidRPr="004979D2">
        <w:rPr>
          <w:rFonts w:ascii="Times New Roman" w:hAnsi="Times New Roman" w:cs="Times New Roman"/>
          <w:b/>
          <w:sz w:val="24"/>
          <w:szCs w:val="24"/>
        </w:rPr>
        <w:t>paqartësi sa i përket kompetencave institucionale.</w:t>
      </w:r>
    </w:p>
    <w:p w14:paraId="2D7A18E5" w14:textId="77777777" w:rsidR="000070C8" w:rsidRPr="004979D2" w:rsidRDefault="000070C8" w:rsidP="002B1BC6">
      <w:pPr>
        <w:spacing w:line="360" w:lineRule="auto"/>
        <w:jc w:val="both"/>
        <w:rPr>
          <w:rFonts w:ascii="Times New Roman" w:hAnsi="Times New Roman" w:cs="Times New Roman"/>
          <w:b/>
          <w:sz w:val="24"/>
          <w:szCs w:val="24"/>
        </w:rPr>
      </w:pPr>
      <w:r w:rsidRPr="004979D2">
        <w:rPr>
          <w:rFonts w:ascii="Times New Roman" w:hAnsi="Times New Roman" w:cs="Times New Roman"/>
          <w:sz w:val="24"/>
          <w:szCs w:val="24"/>
        </w:rPr>
        <w:t>Neni 57a i Ligjit që plotëson dhe ndryshon ligjin e Konkurrencës parasheh gjobat për personat përgjegjës të ndërmarrjeve që është praktikë e zakonshme në disa shtete të BE-së, por paragrafi 2 gjithashtu parasheh që të gjobitet personi përgjegjës i organit shtetëror. Kjo dispozitë nuk është e qartë, sepse mund të nënkuptojë çdo organ shtetëror të tillë si ministritë apo edhe universitetet.</w:t>
      </w:r>
    </w:p>
    <w:p w14:paraId="4019E401" w14:textId="0F1B7B41" w:rsidR="000D15B9" w:rsidRPr="004979D2" w:rsidRDefault="00FB2E82" w:rsidP="002B1BC6">
      <w:pPr>
        <w:spacing w:line="360" w:lineRule="auto"/>
        <w:jc w:val="both"/>
        <w:rPr>
          <w:rFonts w:ascii="Times New Roman" w:hAnsi="Times New Roman" w:cs="Times New Roman"/>
          <w:b/>
          <w:sz w:val="24"/>
          <w:szCs w:val="24"/>
        </w:rPr>
      </w:pPr>
      <w:r w:rsidRPr="004979D2">
        <w:rPr>
          <w:rFonts w:ascii="Times New Roman" w:hAnsi="Times New Roman" w:cs="Times New Roman"/>
          <w:b/>
          <w:sz w:val="24"/>
          <w:szCs w:val="24"/>
        </w:rPr>
        <w:lastRenderedPageBreak/>
        <w:t xml:space="preserve">Analiza 16 </w:t>
      </w:r>
      <w:r w:rsidR="00F6067F" w:rsidRPr="004979D2">
        <w:rPr>
          <w:rFonts w:ascii="Times New Roman" w:hAnsi="Times New Roman" w:cs="Times New Roman"/>
          <w:b/>
          <w:sz w:val="24"/>
          <w:szCs w:val="24"/>
        </w:rPr>
        <w:t>–</w:t>
      </w:r>
      <w:r w:rsidRPr="004979D2">
        <w:rPr>
          <w:rFonts w:ascii="Times New Roman" w:hAnsi="Times New Roman" w:cs="Times New Roman"/>
          <w:b/>
          <w:sz w:val="24"/>
          <w:szCs w:val="24"/>
        </w:rPr>
        <w:t xml:space="preserve"> </w:t>
      </w:r>
      <w:r w:rsidR="00F6067F" w:rsidRPr="004979D2">
        <w:rPr>
          <w:rFonts w:ascii="Times New Roman" w:hAnsi="Times New Roman" w:cs="Times New Roman"/>
          <w:b/>
          <w:sz w:val="24"/>
          <w:szCs w:val="24"/>
        </w:rPr>
        <w:t xml:space="preserve">Si pasojë e </w:t>
      </w:r>
      <w:proofErr w:type="spellStart"/>
      <w:r w:rsidR="00F6067F" w:rsidRPr="004979D2">
        <w:rPr>
          <w:rFonts w:ascii="Times New Roman" w:hAnsi="Times New Roman" w:cs="Times New Roman"/>
          <w:b/>
          <w:sz w:val="24"/>
          <w:szCs w:val="24"/>
        </w:rPr>
        <w:t>transpozimit</w:t>
      </w:r>
      <w:proofErr w:type="spellEnd"/>
      <w:r w:rsidR="00F6067F" w:rsidRPr="004979D2">
        <w:rPr>
          <w:rFonts w:ascii="Times New Roman" w:hAnsi="Times New Roman" w:cs="Times New Roman"/>
          <w:b/>
          <w:sz w:val="24"/>
          <w:szCs w:val="24"/>
        </w:rPr>
        <w:t xml:space="preserve"> të </w:t>
      </w:r>
      <w:proofErr w:type="spellStart"/>
      <w:r w:rsidR="00F6067F" w:rsidRPr="004979D2">
        <w:rPr>
          <w:rFonts w:ascii="Times New Roman" w:hAnsi="Times New Roman" w:cs="Times New Roman"/>
          <w:b/>
          <w:sz w:val="24"/>
          <w:szCs w:val="24"/>
        </w:rPr>
        <w:t>pjesërishëm</w:t>
      </w:r>
      <w:proofErr w:type="spellEnd"/>
      <w:r w:rsidR="00F6067F" w:rsidRPr="004979D2">
        <w:rPr>
          <w:rFonts w:ascii="Times New Roman" w:hAnsi="Times New Roman" w:cs="Times New Roman"/>
          <w:b/>
          <w:sz w:val="24"/>
          <w:szCs w:val="24"/>
        </w:rPr>
        <w:t xml:space="preserve"> </w:t>
      </w:r>
      <w:r w:rsidR="003077DE" w:rsidRPr="004979D2">
        <w:rPr>
          <w:rFonts w:ascii="Times New Roman" w:hAnsi="Times New Roman" w:cs="Times New Roman"/>
          <w:b/>
          <w:sz w:val="24"/>
          <w:szCs w:val="24"/>
        </w:rPr>
        <w:t>të</w:t>
      </w:r>
      <w:r w:rsidR="00F6067F" w:rsidRPr="004979D2">
        <w:rPr>
          <w:rFonts w:ascii="Times New Roman" w:hAnsi="Times New Roman" w:cs="Times New Roman"/>
          <w:b/>
          <w:sz w:val="24"/>
          <w:szCs w:val="24"/>
        </w:rPr>
        <w:t xml:space="preserve"> </w:t>
      </w:r>
      <w:proofErr w:type="spellStart"/>
      <w:r w:rsidR="00F6067F" w:rsidRPr="004979D2">
        <w:rPr>
          <w:rFonts w:ascii="Times New Roman" w:hAnsi="Times New Roman" w:cs="Times New Roman"/>
          <w:b/>
          <w:i/>
          <w:sz w:val="24"/>
          <w:szCs w:val="24"/>
        </w:rPr>
        <w:t>Acquis</w:t>
      </w:r>
      <w:proofErr w:type="spellEnd"/>
      <w:r w:rsidR="00F6067F" w:rsidRPr="004979D2">
        <w:rPr>
          <w:rFonts w:ascii="Times New Roman" w:hAnsi="Times New Roman" w:cs="Times New Roman"/>
          <w:b/>
          <w:i/>
          <w:sz w:val="24"/>
          <w:szCs w:val="24"/>
        </w:rPr>
        <w:t xml:space="preserve"> </w:t>
      </w:r>
      <w:r w:rsidR="00F6067F" w:rsidRPr="004979D2">
        <w:rPr>
          <w:rFonts w:ascii="Times New Roman" w:hAnsi="Times New Roman" w:cs="Times New Roman"/>
          <w:b/>
          <w:sz w:val="24"/>
          <w:szCs w:val="24"/>
        </w:rPr>
        <w:t xml:space="preserve"> korniza ligjore mbetet e mangët </w:t>
      </w:r>
    </w:p>
    <w:p w14:paraId="3C4CD9E6" w14:textId="77777777" w:rsidR="00FB2E82" w:rsidRPr="004979D2" w:rsidRDefault="00FB2E82"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Neni 66 i Ligjit të Konkurrencës parashikon që zbatimi i ligjit duhet të jetë në përputhje me Direktivat e BE-së për konkurrencën. Megjithatë, Ky nen duhet ta rishikoj përfshirjen e legjislacionit të BE-së në kuptim më të gjerë, i cili do të duhet te përfshijë jo vetëm direktivat, por edhe rregulloret, njoftimet e komisionit dhe udhëzimet. Për më tepër, bazuar në MSA, do të ishte e dobishme të konsiderohen edhe referencat për zbatimin e kritereve të legjislacionit të BE-së për konkurrencën në zbatimin e ligjit nga ana e AKK-së sidomos në rastin e zbrazëtirave ligjore ose pasigurive.</w:t>
      </w:r>
    </w:p>
    <w:p w14:paraId="6B5016BB" w14:textId="32CD1F1D" w:rsidR="000D15B9" w:rsidRPr="004979D2" w:rsidRDefault="00971BFC" w:rsidP="002B1BC6">
      <w:pPr>
        <w:spacing w:line="360" w:lineRule="auto"/>
        <w:jc w:val="both"/>
        <w:rPr>
          <w:rFonts w:ascii="Times New Roman" w:hAnsi="Times New Roman" w:cs="Times New Roman"/>
          <w:b/>
          <w:sz w:val="24"/>
          <w:szCs w:val="24"/>
        </w:rPr>
      </w:pPr>
      <w:r w:rsidRPr="004979D2">
        <w:rPr>
          <w:rFonts w:ascii="Times New Roman" w:hAnsi="Times New Roman" w:cs="Times New Roman"/>
          <w:b/>
          <w:sz w:val="24"/>
          <w:szCs w:val="24"/>
        </w:rPr>
        <w:t xml:space="preserve">Analiza 17 </w:t>
      </w:r>
      <w:r w:rsidR="00F6067F" w:rsidRPr="004979D2">
        <w:rPr>
          <w:rFonts w:ascii="Times New Roman" w:hAnsi="Times New Roman" w:cs="Times New Roman"/>
          <w:b/>
          <w:sz w:val="24"/>
          <w:szCs w:val="24"/>
        </w:rPr>
        <w:t>–</w:t>
      </w:r>
      <w:r w:rsidRPr="004979D2">
        <w:rPr>
          <w:rFonts w:ascii="Times New Roman" w:hAnsi="Times New Roman" w:cs="Times New Roman"/>
          <w:b/>
          <w:sz w:val="24"/>
          <w:szCs w:val="24"/>
        </w:rPr>
        <w:t xml:space="preserve"> </w:t>
      </w:r>
      <w:r w:rsidR="00F6067F" w:rsidRPr="004979D2">
        <w:rPr>
          <w:rFonts w:ascii="Times New Roman" w:hAnsi="Times New Roman" w:cs="Times New Roman"/>
          <w:b/>
          <w:sz w:val="24"/>
          <w:szCs w:val="24"/>
        </w:rPr>
        <w:t>Ligjet që janë në kundërshtim me kornizën ligjore për fushën e konkurrencës ndikojnë në çrregullimin e tregut</w:t>
      </w:r>
    </w:p>
    <w:p w14:paraId="7A84FD64" w14:textId="77777777" w:rsidR="00971BFC" w:rsidRPr="004979D2" w:rsidRDefault="00971BFC" w:rsidP="002B1BC6">
      <w:pPr>
        <w:pStyle w:val="CommentText"/>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Bazuar në eksperiencat e kaluara kemi pasur raste kur institucione të ndryshme të Republikës së Kosovës nuk parashtrojnë kërkesat e tyre pran</w:t>
      </w:r>
      <w:r w:rsidR="003A178A" w:rsidRPr="004979D2">
        <w:rPr>
          <w:rFonts w:ascii="Times New Roman" w:hAnsi="Times New Roman" w:cs="Times New Roman"/>
          <w:sz w:val="24"/>
          <w:szCs w:val="24"/>
        </w:rPr>
        <w:t>ë</w:t>
      </w:r>
      <w:r w:rsidRPr="004979D2">
        <w:rPr>
          <w:rFonts w:ascii="Times New Roman" w:hAnsi="Times New Roman" w:cs="Times New Roman"/>
          <w:sz w:val="24"/>
          <w:szCs w:val="24"/>
        </w:rPr>
        <w:t xml:space="preserve"> autoritetit  lidhur me çështjet e vlerësimit të ligjeve, rregulloreve dhe akteve tjera nënligjore, që munde të ndikojnë ndjeshëm në Konkurrencën e tregut. Si pasojë e tërë kësaj në sistemin Juridik të Kosovës mund të paraqiten kolizione ndërmjet Ligjeve ku parashihen çështjet e konkurrencës. Autoriteti, për arsye të interesit të përgjithshëm, vlerëson, në veçanti, pengesat të cilat mund të ndikojnë në çrregullimin e konkurrencës në treg. </w:t>
      </w:r>
    </w:p>
    <w:p w14:paraId="5AF9D01A" w14:textId="77777777" w:rsidR="00F8655F" w:rsidRPr="004979D2" w:rsidRDefault="00F8655F" w:rsidP="002B1BC6">
      <w:pPr>
        <w:pStyle w:val="Heading2"/>
        <w:numPr>
          <w:ilvl w:val="1"/>
          <w:numId w:val="50"/>
        </w:numPr>
        <w:spacing w:line="360" w:lineRule="auto"/>
        <w:rPr>
          <w:rFonts w:cs="Times New Roman"/>
          <w:szCs w:val="24"/>
        </w:rPr>
      </w:pPr>
      <w:bookmarkStart w:id="39" w:name="_Toc1114323"/>
      <w:r w:rsidRPr="004979D2">
        <w:rPr>
          <w:rFonts w:cs="Times New Roman"/>
          <w:szCs w:val="24"/>
        </w:rPr>
        <w:t>Palët e Interesuara</w:t>
      </w:r>
      <w:bookmarkEnd w:id="39"/>
    </w:p>
    <w:p w14:paraId="784FBFCB" w14:textId="77777777" w:rsidR="00F8655F" w:rsidRDefault="00F8655F" w:rsidP="002B1BC6">
      <w:pPr>
        <w:pStyle w:val="CommentText"/>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Më poshtë janë identifikuar palët e interesuara lidhur me fushën e konkurrencës dhe është analizuar ndërlidhja ndërmjet palëve të interesit, </w:t>
      </w:r>
      <w:proofErr w:type="spellStart"/>
      <w:r w:rsidRPr="004979D2">
        <w:rPr>
          <w:rFonts w:ascii="Times New Roman" w:hAnsi="Times New Roman" w:cs="Times New Roman"/>
          <w:sz w:val="24"/>
          <w:szCs w:val="24"/>
        </w:rPr>
        <w:t>shakaqeve</w:t>
      </w:r>
      <w:proofErr w:type="spellEnd"/>
      <w:r w:rsidRPr="004979D2">
        <w:rPr>
          <w:rFonts w:ascii="Times New Roman" w:hAnsi="Times New Roman" w:cs="Times New Roman"/>
          <w:sz w:val="24"/>
          <w:szCs w:val="24"/>
        </w:rPr>
        <w:t xml:space="preserve"> dhe efekteve që burojnë nga problemi kryesor. </w:t>
      </w:r>
    </w:p>
    <w:p w14:paraId="79AFB63D" w14:textId="77777777" w:rsidR="001C0BEF" w:rsidRDefault="001C0BEF" w:rsidP="002B1BC6">
      <w:pPr>
        <w:pStyle w:val="CommentText"/>
        <w:spacing w:line="360" w:lineRule="auto"/>
        <w:jc w:val="both"/>
        <w:rPr>
          <w:rFonts w:ascii="Times New Roman" w:hAnsi="Times New Roman" w:cs="Times New Roman"/>
          <w:sz w:val="24"/>
          <w:szCs w:val="24"/>
        </w:rPr>
      </w:pPr>
    </w:p>
    <w:p w14:paraId="64EF3BB1" w14:textId="77777777" w:rsidR="001C0BEF" w:rsidRDefault="001C0BEF" w:rsidP="002B1BC6">
      <w:pPr>
        <w:pStyle w:val="CommentText"/>
        <w:spacing w:line="360" w:lineRule="auto"/>
        <w:jc w:val="both"/>
        <w:rPr>
          <w:rFonts w:ascii="Times New Roman" w:hAnsi="Times New Roman" w:cs="Times New Roman"/>
          <w:sz w:val="24"/>
          <w:szCs w:val="24"/>
        </w:rPr>
      </w:pPr>
    </w:p>
    <w:p w14:paraId="48D1E6F7" w14:textId="77777777" w:rsidR="001C0BEF" w:rsidRDefault="001C0BEF" w:rsidP="002B1BC6">
      <w:pPr>
        <w:pStyle w:val="CommentText"/>
        <w:spacing w:line="360" w:lineRule="auto"/>
        <w:jc w:val="both"/>
        <w:rPr>
          <w:rFonts w:ascii="Times New Roman" w:hAnsi="Times New Roman" w:cs="Times New Roman"/>
          <w:sz w:val="24"/>
          <w:szCs w:val="24"/>
        </w:rPr>
      </w:pPr>
    </w:p>
    <w:p w14:paraId="379680A0" w14:textId="77777777" w:rsidR="001C0BEF" w:rsidRDefault="001C0BEF" w:rsidP="002B1BC6">
      <w:pPr>
        <w:pStyle w:val="CommentText"/>
        <w:spacing w:line="360" w:lineRule="auto"/>
        <w:jc w:val="both"/>
        <w:rPr>
          <w:rFonts w:ascii="Times New Roman" w:hAnsi="Times New Roman" w:cs="Times New Roman"/>
          <w:sz w:val="24"/>
          <w:szCs w:val="24"/>
        </w:rPr>
      </w:pPr>
    </w:p>
    <w:p w14:paraId="23D14D5F" w14:textId="77777777" w:rsidR="001C0BEF" w:rsidRPr="004979D2" w:rsidRDefault="001C0BEF" w:rsidP="002B1BC6">
      <w:pPr>
        <w:pStyle w:val="CommentText"/>
        <w:spacing w:line="360" w:lineRule="auto"/>
        <w:jc w:val="both"/>
        <w:rPr>
          <w:rFonts w:ascii="Times New Roman" w:hAnsi="Times New Roman" w:cs="Times New Roman"/>
          <w:sz w:val="24"/>
          <w:szCs w:val="24"/>
        </w:rPr>
      </w:pPr>
    </w:p>
    <w:p w14:paraId="267DC728" w14:textId="77777777" w:rsidR="000A4228" w:rsidRPr="004979D2" w:rsidRDefault="000A4228" w:rsidP="002B1BC6">
      <w:pPr>
        <w:pStyle w:val="Caption"/>
        <w:spacing w:line="360" w:lineRule="auto"/>
        <w:rPr>
          <w:rFonts w:ascii="Times New Roman" w:hAnsi="Times New Roman" w:cs="Times New Roman"/>
          <w:sz w:val="24"/>
          <w:szCs w:val="24"/>
        </w:rPr>
      </w:pPr>
      <w:r w:rsidRPr="004979D2">
        <w:rPr>
          <w:rFonts w:ascii="Times New Roman" w:hAnsi="Times New Roman" w:cs="Times New Roman"/>
          <w:sz w:val="24"/>
          <w:szCs w:val="24"/>
        </w:rPr>
        <w:lastRenderedPageBreak/>
        <w:t>Figur</w:t>
      </w:r>
      <w:r w:rsidR="00A33A00" w:rsidRPr="004979D2">
        <w:rPr>
          <w:rFonts w:ascii="Times New Roman" w:hAnsi="Times New Roman" w:cs="Times New Roman"/>
          <w:sz w:val="24"/>
          <w:szCs w:val="24"/>
        </w:rPr>
        <w:t>a</w:t>
      </w:r>
      <w:r w:rsidR="00FF5F40" w:rsidRPr="004979D2">
        <w:rPr>
          <w:rFonts w:ascii="Times New Roman" w:hAnsi="Times New Roman" w:cs="Times New Roman"/>
          <w:sz w:val="24"/>
          <w:szCs w:val="24"/>
        </w:rPr>
        <w:t xml:space="preserve"> </w:t>
      </w:r>
      <w:r w:rsidR="001118E7" w:rsidRPr="004979D2">
        <w:rPr>
          <w:rFonts w:ascii="Times New Roman" w:hAnsi="Times New Roman" w:cs="Times New Roman"/>
          <w:sz w:val="24"/>
          <w:szCs w:val="24"/>
        </w:rPr>
        <w:t>7</w:t>
      </w:r>
      <w:r w:rsidRPr="004979D2">
        <w:rPr>
          <w:rFonts w:ascii="Times New Roman" w:hAnsi="Times New Roman" w:cs="Times New Roman"/>
          <w:sz w:val="24"/>
          <w:szCs w:val="24"/>
        </w:rPr>
        <w:t xml:space="preserve">: </w:t>
      </w:r>
      <w:r w:rsidR="00A33A00" w:rsidRPr="004979D2">
        <w:rPr>
          <w:rFonts w:ascii="Times New Roman" w:hAnsi="Times New Roman" w:cs="Times New Roman"/>
          <w:sz w:val="24"/>
          <w:szCs w:val="24"/>
        </w:rPr>
        <w:t>Pasqyrë e palëve të interesuara bazuar në përkufizimin e problemit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2109"/>
        <w:gridCol w:w="2007"/>
        <w:gridCol w:w="2445"/>
      </w:tblGrid>
      <w:tr w:rsidR="000A4228" w:rsidRPr="004979D2" w14:paraId="5D0EA911" w14:textId="77777777" w:rsidTr="00A54508">
        <w:tc>
          <w:tcPr>
            <w:tcW w:w="3015" w:type="dxa"/>
          </w:tcPr>
          <w:p w14:paraId="424E1F79" w14:textId="77777777" w:rsidR="000A4228" w:rsidRPr="004979D2" w:rsidRDefault="001E3DB1" w:rsidP="002B1BC6">
            <w:pPr>
              <w:spacing w:after="0" w:line="360" w:lineRule="auto"/>
              <w:rPr>
                <w:rFonts w:ascii="Times New Roman" w:hAnsi="Times New Roman" w:cs="Times New Roman"/>
                <w:b/>
                <w:sz w:val="24"/>
                <w:szCs w:val="24"/>
              </w:rPr>
            </w:pPr>
            <w:r w:rsidRPr="004979D2">
              <w:rPr>
                <w:rFonts w:ascii="Times New Roman" w:hAnsi="Times New Roman" w:cs="Times New Roman"/>
                <w:b/>
                <w:sz w:val="24"/>
                <w:szCs w:val="24"/>
              </w:rPr>
              <w:t>Emri i palë</w:t>
            </w:r>
            <w:r w:rsidR="00EC61A2" w:rsidRPr="004979D2">
              <w:rPr>
                <w:rFonts w:ascii="Times New Roman" w:hAnsi="Times New Roman" w:cs="Times New Roman"/>
                <w:b/>
                <w:sz w:val="24"/>
                <w:szCs w:val="24"/>
              </w:rPr>
              <w:t>s së interesuar</w:t>
            </w:r>
          </w:p>
        </w:tc>
        <w:tc>
          <w:tcPr>
            <w:tcW w:w="2109" w:type="dxa"/>
          </w:tcPr>
          <w:p w14:paraId="4A1A4BE9" w14:textId="77777777" w:rsidR="000A4228" w:rsidRPr="004979D2" w:rsidRDefault="00EC61A2" w:rsidP="002B1BC6">
            <w:pPr>
              <w:spacing w:after="0" w:line="360" w:lineRule="auto"/>
              <w:rPr>
                <w:rFonts w:ascii="Times New Roman" w:hAnsi="Times New Roman" w:cs="Times New Roman"/>
                <w:b/>
                <w:sz w:val="24"/>
                <w:szCs w:val="24"/>
              </w:rPr>
            </w:pPr>
            <w:r w:rsidRPr="004979D2">
              <w:rPr>
                <w:rFonts w:ascii="Times New Roman" w:hAnsi="Times New Roman" w:cs="Times New Roman"/>
                <w:b/>
                <w:sz w:val="24"/>
                <w:szCs w:val="24"/>
              </w:rPr>
              <w:t>Shkaku-qet me të cilat është e lidhur pala</w:t>
            </w:r>
          </w:p>
        </w:tc>
        <w:tc>
          <w:tcPr>
            <w:tcW w:w="2007" w:type="dxa"/>
          </w:tcPr>
          <w:p w14:paraId="6DDEF326" w14:textId="77777777" w:rsidR="000A4228" w:rsidRPr="004979D2" w:rsidRDefault="00EC61A2" w:rsidP="002B1BC6">
            <w:pPr>
              <w:spacing w:after="0" w:line="360" w:lineRule="auto"/>
              <w:rPr>
                <w:rFonts w:ascii="Times New Roman" w:hAnsi="Times New Roman" w:cs="Times New Roman"/>
                <w:b/>
                <w:sz w:val="24"/>
                <w:szCs w:val="24"/>
              </w:rPr>
            </w:pPr>
            <w:r w:rsidRPr="004979D2">
              <w:rPr>
                <w:rFonts w:ascii="Times New Roman" w:hAnsi="Times New Roman" w:cs="Times New Roman"/>
                <w:b/>
                <w:sz w:val="24"/>
                <w:szCs w:val="24"/>
              </w:rPr>
              <w:t>Efekti-et me të cilat është e lidhur pala</w:t>
            </w:r>
          </w:p>
        </w:tc>
        <w:tc>
          <w:tcPr>
            <w:tcW w:w="2445" w:type="dxa"/>
          </w:tcPr>
          <w:p w14:paraId="1D22D9EA" w14:textId="77777777" w:rsidR="000A4228" w:rsidRPr="004979D2" w:rsidRDefault="001E3DB1" w:rsidP="002B1BC6">
            <w:pPr>
              <w:spacing w:after="0" w:line="360" w:lineRule="auto"/>
              <w:rPr>
                <w:rFonts w:ascii="Times New Roman" w:hAnsi="Times New Roman" w:cs="Times New Roman"/>
                <w:b/>
                <w:sz w:val="24"/>
                <w:szCs w:val="24"/>
              </w:rPr>
            </w:pPr>
            <w:r w:rsidRPr="004979D2">
              <w:rPr>
                <w:rFonts w:ascii="Times New Roman" w:hAnsi="Times New Roman" w:cs="Times New Roman"/>
                <w:b/>
                <w:sz w:val="24"/>
                <w:szCs w:val="24"/>
              </w:rPr>
              <w:t>Mënyra me të cilën pala është e lidhur me këtë shkak (shkaqe) apo efektin (efektet)</w:t>
            </w:r>
          </w:p>
        </w:tc>
      </w:tr>
      <w:tr w:rsidR="000A4228" w:rsidRPr="004979D2" w14:paraId="5DF57957" w14:textId="77777777" w:rsidTr="00A54508">
        <w:tc>
          <w:tcPr>
            <w:tcW w:w="3015" w:type="dxa"/>
          </w:tcPr>
          <w:p w14:paraId="1678E0D2" w14:textId="77777777" w:rsidR="000A4228" w:rsidRPr="004979D2" w:rsidRDefault="00FD359E" w:rsidP="002B1BC6">
            <w:pPr>
              <w:spacing w:after="0" w:line="360" w:lineRule="auto"/>
              <w:rPr>
                <w:rFonts w:ascii="Times New Roman" w:hAnsi="Times New Roman" w:cs="Times New Roman"/>
                <w:color w:val="000000" w:themeColor="text1"/>
                <w:sz w:val="24"/>
                <w:szCs w:val="24"/>
              </w:rPr>
            </w:pPr>
            <w:r w:rsidRPr="004979D2">
              <w:rPr>
                <w:rFonts w:ascii="Times New Roman" w:hAnsi="Times New Roman" w:cs="Times New Roman"/>
                <w:color w:val="000000" w:themeColor="text1"/>
                <w:sz w:val="24"/>
                <w:szCs w:val="24"/>
              </w:rPr>
              <w:t>Ndërmarrësit</w:t>
            </w:r>
          </w:p>
        </w:tc>
        <w:tc>
          <w:tcPr>
            <w:tcW w:w="2109" w:type="dxa"/>
          </w:tcPr>
          <w:p w14:paraId="3655A47E" w14:textId="77777777" w:rsidR="000A4228" w:rsidRPr="004979D2" w:rsidRDefault="00FD359E" w:rsidP="002B1BC6">
            <w:pPr>
              <w:spacing w:after="0" w:line="360" w:lineRule="auto"/>
              <w:rPr>
                <w:rFonts w:ascii="Times New Roman" w:hAnsi="Times New Roman" w:cs="Times New Roman"/>
                <w:color w:val="000000" w:themeColor="text1"/>
                <w:sz w:val="24"/>
                <w:szCs w:val="24"/>
              </w:rPr>
            </w:pPr>
            <w:r w:rsidRPr="004979D2">
              <w:rPr>
                <w:rFonts w:ascii="Times New Roman" w:hAnsi="Times New Roman" w:cs="Times New Roman"/>
                <w:color w:val="000000" w:themeColor="text1"/>
                <w:sz w:val="24"/>
                <w:szCs w:val="24"/>
              </w:rPr>
              <w:t>Me shkakun 1,2,3,4,</w:t>
            </w:r>
            <w:r w:rsidR="00C14D08" w:rsidRPr="004979D2">
              <w:rPr>
                <w:rFonts w:ascii="Times New Roman" w:hAnsi="Times New Roman" w:cs="Times New Roman"/>
                <w:color w:val="000000" w:themeColor="text1"/>
                <w:sz w:val="24"/>
                <w:szCs w:val="24"/>
              </w:rPr>
              <w:t>5,</w:t>
            </w:r>
            <w:r w:rsidRPr="004979D2">
              <w:rPr>
                <w:rFonts w:ascii="Times New Roman" w:hAnsi="Times New Roman" w:cs="Times New Roman"/>
                <w:color w:val="000000" w:themeColor="text1"/>
                <w:sz w:val="24"/>
                <w:szCs w:val="24"/>
              </w:rPr>
              <w:t>6</w:t>
            </w:r>
            <w:r w:rsidR="00C14D08" w:rsidRPr="004979D2">
              <w:rPr>
                <w:rFonts w:ascii="Times New Roman" w:hAnsi="Times New Roman" w:cs="Times New Roman"/>
                <w:color w:val="000000" w:themeColor="text1"/>
                <w:sz w:val="24"/>
                <w:szCs w:val="24"/>
              </w:rPr>
              <w:t>,7</w:t>
            </w:r>
            <w:r w:rsidRPr="004979D2">
              <w:rPr>
                <w:rFonts w:ascii="Times New Roman" w:hAnsi="Times New Roman" w:cs="Times New Roman"/>
                <w:color w:val="000000" w:themeColor="text1"/>
                <w:sz w:val="24"/>
                <w:szCs w:val="24"/>
              </w:rPr>
              <w:t xml:space="preserve"> dhe </w:t>
            </w:r>
            <w:r w:rsidR="00C14D08" w:rsidRPr="004979D2">
              <w:rPr>
                <w:rFonts w:ascii="Times New Roman" w:hAnsi="Times New Roman" w:cs="Times New Roman"/>
                <w:color w:val="000000" w:themeColor="text1"/>
                <w:sz w:val="24"/>
                <w:szCs w:val="24"/>
              </w:rPr>
              <w:t>8</w:t>
            </w:r>
          </w:p>
        </w:tc>
        <w:tc>
          <w:tcPr>
            <w:tcW w:w="2007" w:type="dxa"/>
          </w:tcPr>
          <w:p w14:paraId="0E944533" w14:textId="77777777" w:rsidR="000A4228" w:rsidRPr="004979D2" w:rsidRDefault="00FD359E" w:rsidP="002B1BC6">
            <w:pPr>
              <w:spacing w:after="0" w:line="360" w:lineRule="auto"/>
              <w:rPr>
                <w:rFonts w:ascii="Times New Roman" w:hAnsi="Times New Roman" w:cs="Times New Roman"/>
                <w:color w:val="000000" w:themeColor="text1"/>
                <w:sz w:val="24"/>
                <w:szCs w:val="24"/>
              </w:rPr>
            </w:pPr>
            <w:r w:rsidRPr="004979D2">
              <w:rPr>
                <w:rFonts w:ascii="Times New Roman" w:hAnsi="Times New Roman" w:cs="Times New Roman"/>
                <w:color w:val="000000" w:themeColor="text1"/>
                <w:sz w:val="24"/>
                <w:szCs w:val="24"/>
              </w:rPr>
              <w:t>Me efektin 1,2,3,4,</w:t>
            </w:r>
            <w:r w:rsidR="00C14D08" w:rsidRPr="004979D2">
              <w:rPr>
                <w:rFonts w:ascii="Times New Roman" w:hAnsi="Times New Roman" w:cs="Times New Roman"/>
                <w:color w:val="000000" w:themeColor="text1"/>
                <w:sz w:val="24"/>
                <w:szCs w:val="24"/>
              </w:rPr>
              <w:t>5,</w:t>
            </w:r>
            <w:r w:rsidRPr="004979D2">
              <w:rPr>
                <w:rFonts w:ascii="Times New Roman" w:hAnsi="Times New Roman" w:cs="Times New Roman"/>
                <w:color w:val="000000" w:themeColor="text1"/>
                <w:sz w:val="24"/>
                <w:szCs w:val="24"/>
              </w:rPr>
              <w:t>6</w:t>
            </w:r>
            <w:r w:rsidR="00C14D08" w:rsidRPr="004979D2">
              <w:rPr>
                <w:rFonts w:ascii="Times New Roman" w:hAnsi="Times New Roman" w:cs="Times New Roman"/>
                <w:color w:val="000000" w:themeColor="text1"/>
                <w:sz w:val="24"/>
                <w:szCs w:val="24"/>
              </w:rPr>
              <w:t>,7</w:t>
            </w:r>
            <w:r w:rsidRPr="004979D2">
              <w:rPr>
                <w:rFonts w:ascii="Times New Roman" w:hAnsi="Times New Roman" w:cs="Times New Roman"/>
                <w:color w:val="000000" w:themeColor="text1"/>
                <w:sz w:val="24"/>
                <w:szCs w:val="24"/>
              </w:rPr>
              <w:t xml:space="preserve"> dhe </w:t>
            </w:r>
            <w:r w:rsidR="00C14D08" w:rsidRPr="004979D2">
              <w:rPr>
                <w:rFonts w:ascii="Times New Roman" w:hAnsi="Times New Roman" w:cs="Times New Roman"/>
                <w:color w:val="000000" w:themeColor="text1"/>
                <w:sz w:val="24"/>
                <w:szCs w:val="24"/>
              </w:rPr>
              <w:t>8</w:t>
            </w:r>
            <w:r w:rsidR="00DA1EA1" w:rsidRPr="004979D2">
              <w:rPr>
                <w:rFonts w:ascii="Times New Roman" w:hAnsi="Times New Roman" w:cs="Times New Roman"/>
                <w:color w:val="000000" w:themeColor="text1"/>
                <w:sz w:val="24"/>
                <w:szCs w:val="24"/>
              </w:rPr>
              <w:t xml:space="preserve">  </w:t>
            </w:r>
            <w:r w:rsidR="002A6AC0" w:rsidRPr="004979D2">
              <w:rPr>
                <w:rFonts w:ascii="Times New Roman" w:hAnsi="Times New Roman" w:cs="Times New Roman"/>
                <w:color w:val="000000" w:themeColor="text1"/>
                <w:sz w:val="24"/>
                <w:szCs w:val="24"/>
              </w:rPr>
              <w:t xml:space="preserve">    </w:t>
            </w:r>
          </w:p>
        </w:tc>
        <w:tc>
          <w:tcPr>
            <w:tcW w:w="2445" w:type="dxa"/>
          </w:tcPr>
          <w:p w14:paraId="692F7DAE" w14:textId="77777777" w:rsidR="000A4228" w:rsidRPr="004979D2" w:rsidRDefault="00FD359E" w:rsidP="002B1BC6">
            <w:pPr>
              <w:spacing w:after="0" w:line="360" w:lineRule="auto"/>
              <w:rPr>
                <w:rFonts w:ascii="Times New Roman" w:hAnsi="Times New Roman" w:cs="Times New Roman"/>
                <w:color w:val="000000" w:themeColor="text1"/>
                <w:sz w:val="24"/>
                <w:szCs w:val="24"/>
              </w:rPr>
            </w:pPr>
            <w:r w:rsidRPr="004979D2">
              <w:rPr>
                <w:rFonts w:ascii="Times New Roman" w:hAnsi="Times New Roman" w:cs="Times New Roman"/>
                <w:color w:val="000000" w:themeColor="text1"/>
                <w:sz w:val="24"/>
                <w:szCs w:val="24"/>
              </w:rPr>
              <w:t>Në mënyre të drejtpërdrejtë</w:t>
            </w:r>
          </w:p>
        </w:tc>
      </w:tr>
      <w:tr w:rsidR="00A54508" w:rsidRPr="004979D2" w14:paraId="02A94421" w14:textId="77777777" w:rsidTr="00A54508">
        <w:tc>
          <w:tcPr>
            <w:tcW w:w="3015" w:type="dxa"/>
          </w:tcPr>
          <w:p w14:paraId="2D3CE57C" w14:textId="022F71C8" w:rsidR="00A54508" w:rsidRPr="004979D2" w:rsidRDefault="00A54508" w:rsidP="002B1BC6">
            <w:pPr>
              <w:spacing w:after="0" w:line="360" w:lineRule="auto"/>
              <w:rPr>
                <w:rFonts w:ascii="Times New Roman" w:hAnsi="Times New Roman" w:cs="Times New Roman"/>
                <w:color w:val="000000" w:themeColor="text1"/>
                <w:sz w:val="24"/>
                <w:szCs w:val="24"/>
              </w:rPr>
            </w:pPr>
            <w:r w:rsidRPr="004979D2">
              <w:rPr>
                <w:rFonts w:ascii="Times New Roman" w:hAnsi="Times New Roman" w:cs="Times New Roman"/>
                <w:color w:val="000000" w:themeColor="text1"/>
                <w:sz w:val="24"/>
                <w:szCs w:val="24"/>
              </w:rPr>
              <w:t>Avokat</w:t>
            </w:r>
            <w:r w:rsidR="007329BF" w:rsidRPr="004979D2">
              <w:rPr>
                <w:rFonts w:ascii="Times New Roman" w:hAnsi="Times New Roman" w:cs="Times New Roman"/>
                <w:color w:val="000000" w:themeColor="text1"/>
                <w:sz w:val="24"/>
                <w:szCs w:val="24"/>
              </w:rPr>
              <w:t>ë</w:t>
            </w:r>
            <w:r w:rsidRPr="004979D2">
              <w:rPr>
                <w:rFonts w:ascii="Times New Roman" w:hAnsi="Times New Roman" w:cs="Times New Roman"/>
                <w:color w:val="000000" w:themeColor="text1"/>
                <w:sz w:val="24"/>
                <w:szCs w:val="24"/>
              </w:rPr>
              <w:t>t</w:t>
            </w:r>
          </w:p>
        </w:tc>
        <w:tc>
          <w:tcPr>
            <w:tcW w:w="2109" w:type="dxa"/>
          </w:tcPr>
          <w:p w14:paraId="143C8896" w14:textId="77777777" w:rsidR="00A54508" w:rsidRPr="004979D2" w:rsidRDefault="00C14D08" w:rsidP="002B1BC6">
            <w:pPr>
              <w:spacing w:after="0" w:line="360" w:lineRule="auto"/>
              <w:rPr>
                <w:rFonts w:ascii="Times New Roman" w:hAnsi="Times New Roman" w:cs="Times New Roman"/>
                <w:color w:val="000000" w:themeColor="text1"/>
                <w:sz w:val="24"/>
                <w:szCs w:val="24"/>
              </w:rPr>
            </w:pPr>
            <w:r w:rsidRPr="004979D2">
              <w:rPr>
                <w:rFonts w:ascii="Times New Roman" w:hAnsi="Times New Roman" w:cs="Times New Roman"/>
                <w:color w:val="000000" w:themeColor="text1"/>
                <w:sz w:val="24"/>
                <w:szCs w:val="24"/>
              </w:rPr>
              <w:t>Me shkakun 1,2,3,4,5,6,7 dhe 8</w:t>
            </w:r>
          </w:p>
        </w:tc>
        <w:tc>
          <w:tcPr>
            <w:tcW w:w="2007" w:type="dxa"/>
          </w:tcPr>
          <w:p w14:paraId="7150A15B" w14:textId="77777777" w:rsidR="00A54508" w:rsidRPr="004979D2" w:rsidRDefault="00C14D08" w:rsidP="002B1BC6">
            <w:pPr>
              <w:spacing w:after="0" w:line="360" w:lineRule="auto"/>
              <w:rPr>
                <w:rFonts w:ascii="Times New Roman" w:hAnsi="Times New Roman" w:cs="Times New Roman"/>
                <w:color w:val="000000" w:themeColor="text1"/>
                <w:sz w:val="24"/>
                <w:szCs w:val="24"/>
              </w:rPr>
            </w:pPr>
            <w:r w:rsidRPr="004979D2">
              <w:rPr>
                <w:rFonts w:ascii="Times New Roman" w:hAnsi="Times New Roman" w:cs="Times New Roman"/>
                <w:color w:val="000000" w:themeColor="text1"/>
                <w:sz w:val="24"/>
                <w:szCs w:val="24"/>
              </w:rPr>
              <w:t xml:space="preserve">Me efektin 1,2,3,4,5,6,7 dhe 8      </w:t>
            </w:r>
          </w:p>
        </w:tc>
        <w:tc>
          <w:tcPr>
            <w:tcW w:w="2445" w:type="dxa"/>
          </w:tcPr>
          <w:p w14:paraId="3D4B091C" w14:textId="77777777" w:rsidR="00A54508" w:rsidRPr="004979D2" w:rsidRDefault="00A54508" w:rsidP="002B1BC6">
            <w:pPr>
              <w:spacing w:after="0" w:line="360" w:lineRule="auto"/>
              <w:rPr>
                <w:rFonts w:ascii="Times New Roman" w:hAnsi="Times New Roman" w:cs="Times New Roman"/>
                <w:color w:val="000000" w:themeColor="text1"/>
                <w:sz w:val="24"/>
                <w:szCs w:val="24"/>
              </w:rPr>
            </w:pPr>
            <w:r w:rsidRPr="004979D2">
              <w:rPr>
                <w:rFonts w:ascii="Times New Roman" w:hAnsi="Times New Roman" w:cs="Times New Roman"/>
                <w:color w:val="000000" w:themeColor="text1"/>
                <w:sz w:val="24"/>
                <w:szCs w:val="24"/>
              </w:rPr>
              <w:t>Në mënyre të drejtpërdrejtë</w:t>
            </w:r>
          </w:p>
        </w:tc>
      </w:tr>
      <w:tr w:rsidR="00A54508" w:rsidRPr="004979D2" w14:paraId="1860314F" w14:textId="77777777" w:rsidTr="00A54508">
        <w:tc>
          <w:tcPr>
            <w:tcW w:w="3015" w:type="dxa"/>
          </w:tcPr>
          <w:p w14:paraId="32A74802" w14:textId="77777777" w:rsidR="00A54508" w:rsidRPr="004979D2" w:rsidRDefault="00A54508" w:rsidP="002B1BC6">
            <w:pPr>
              <w:spacing w:after="0" w:line="360" w:lineRule="auto"/>
              <w:rPr>
                <w:rFonts w:ascii="Times New Roman" w:hAnsi="Times New Roman" w:cs="Times New Roman"/>
                <w:color w:val="000000" w:themeColor="text1"/>
                <w:sz w:val="24"/>
                <w:szCs w:val="24"/>
              </w:rPr>
            </w:pPr>
            <w:r w:rsidRPr="004979D2">
              <w:rPr>
                <w:rFonts w:ascii="Times New Roman" w:hAnsi="Times New Roman" w:cs="Times New Roman"/>
                <w:color w:val="000000" w:themeColor="text1"/>
                <w:sz w:val="24"/>
                <w:szCs w:val="24"/>
              </w:rPr>
              <w:t>Shoqatat e ndërmarrjeve</w:t>
            </w:r>
          </w:p>
        </w:tc>
        <w:tc>
          <w:tcPr>
            <w:tcW w:w="2109" w:type="dxa"/>
          </w:tcPr>
          <w:p w14:paraId="56823A09" w14:textId="77777777" w:rsidR="00A54508" w:rsidRPr="004979D2" w:rsidRDefault="00C14D08" w:rsidP="002B1BC6">
            <w:pPr>
              <w:spacing w:after="0" w:line="360" w:lineRule="auto"/>
              <w:rPr>
                <w:rFonts w:ascii="Times New Roman" w:hAnsi="Times New Roman" w:cs="Times New Roman"/>
                <w:color w:val="000000" w:themeColor="text1"/>
                <w:sz w:val="24"/>
                <w:szCs w:val="24"/>
              </w:rPr>
            </w:pPr>
            <w:r w:rsidRPr="004979D2">
              <w:rPr>
                <w:rFonts w:ascii="Times New Roman" w:hAnsi="Times New Roman" w:cs="Times New Roman"/>
                <w:color w:val="000000" w:themeColor="text1"/>
                <w:sz w:val="24"/>
                <w:szCs w:val="24"/>
              </w:rPr>
              <w:t>Me shkakun 1,2,3,4,5,6,7 dhe 8</w:t>
            </w:r>
          </w:p>
        </w:tc>
        <w:tc>
          <w:tcPr>
            <w:tcW w:w="2007" w:type="dxa"/>
          </w:tcPr>
          <w:p w14:paraId="5CF95CC9" w14:textId="77777777" w:rsidR="00A54508" w:rsidRPr="004979D2" w:rsidRDefault="00C14D08" w:rsidP="002B1BC6">
            <w:pPr>
              <w:spacing w:after="0" w:line="360" w:lineRule="auto"/>
              <w:rPr>
                <w:rFonts w:ascii="Times New Roman" w:hAnsi="Times New Roman" w:cs="Times New Roman"/>
                <w:color w:val="000000" w:themeColor="text1"/>
                <w:sz w:val="24"/>
                <w:szCs w:val="24"/>
              </w:rPr>
            </w:pPr>
            <w:r w:rsidRPr="004979D2">
              <w:rPr>
                <w:rFonts w:ascii="Times New Roman" w:hAnsi="Times New Roman" w:cs="Times New Roman"/>
                <w:color w:val="000000" w:themeColor="text1"/>
                <w:sz w:val="24"/>
                <w:szCs w:val="24"/>
              </w:rPr>
              <w:t xml:space="preserve">Me efektin 1,2,3,4,5,6,7 dhe 8      </w:t>
            </w:r>
          </w:p>
        </w:tc>
        <w:tc>
          <w:tcPr>
            <w:tcW w:w="2445" w:type="dxa"/>
          </w:tcPr>
          <w:p w14:paraId="65696BFA" w14:textId="77777777" w:rsidR="00A54508" w:rsidRPr="004979D2" w:rsidRDefault="00A54508" w:rsidP="002B1BC6">
            <w:pPr>
              <w:spacing w:after="0" w:line="360" w:lineRule="auto"/>
              <w:rPr>
                <w:rFonts w:ascii="Times New Roman" w:hAnsi="Times New Roman" w:cs="Times New Roman"/>
                <w:color w:val="000000" w:themeColor="text1"/>
                <w:sz w:val="24"/>
                <w:szCs w:val="24"/>
              </w:rPr>
            </w:pPr>
            <w:r w:rsidRPr="004979D2">
              <w:rPr>
                <w:rFonts w:ascii="Times New Roman" w:hAnsi="Times New Roman" w:cs="Times New Roman"/>
                <w:color w:val="000000" w:themeColor="text1"/>
                <w:sz w:val="24"/>
                <w:szCs w:val="24"/>
              </w:rPr>
              <w:t>Në mënyre të drejtpërdrejtë</w:t>
            </w:r>
          </w:p>
        </w:tc>
      </w:tr>
      <w:tr w:rsidR="00A54508" w:rsidRPr="004979D2" w14:paraId="180FF07B" w14:textId="77777777" w:rsidTr="00A54508">
        <w:tc>
          <w:tcPr>
            <w:tcW w:w="3015" w:type="dxa"/>
          </w:tcPr>
          <w:p w14:paraId="3D507539" w14:textId="77777777" w:rsidR="00A54508" w:rsidRPr="004979D2" w:rsidRDefault="00A54508" w:rsidP="002B1BC6">
            <w:pPr>
              <w:spacing w:after="0" w:line="360" w:lineRule="auto"/>
              <w:rPr>
                <w:rFonts w:ascii="Times New Roman" w:hAnsi="Times New Roman" w:cs="Times New Roman"/>
                <w:color w:val="000000" w:themeColor="text1"/>
                <w:sz w:val="24"/>
                <w:szCs w:val="24"/>
              </w:rPr>
            </w:pPr>
            <w:r w:rsidRPr="004979D2">
              <w:rPr>
                <w:rFonts w:ascii="Times New Roman" w:hAnsi="Times New Roman" w:cs="Times New Roman"/>
                <w:color w:val="000000" w:themeColor="text1"/>
                <w:sz w:val="24"/>
                <w:szCs w:val="24"/>
              </w:rPr>
              <w:t>Shoqata e konsumatorëve</w:t>
            </w:r>
          </w:p>
        </w:tc>
        <w:tc>
          <w:tcPr>
            <w:tcW w:w="2109" w:type="dxa"/>
          </w:tcPr>
          <w:p w14:paraId="52ADD729" w14:textId="77777777" w:rsidR="00A54508" w:rsidRPr="004979D2" w:rsidRDefault="00C14D08" w:rsidP="002B1BC6">
            <w:pPr>
              <w:spacing w:after="0" w:line="360" w:lineRule="auto"/>
              <w:rPr>
                <w:rFonts w:ascii="Times New Roman" w:hAnsi="Times New Roman" w:cs="Times New Roman"/>
                <w:color w:val="000000" w:themeColor="text1"/>
                <w:sz w:val="24"/>
                <w:szCs w:val="24"/>
              </w:rPr>
            </w:pPr>
            <w:r w:rsidRPr="004979D2">
              <w:rPr>
                <w:rFonts w:ascii="Times New Roman" w:hAnsi="Times New Roman" w:cs="Times New Roman"/>
                <w:color w:val="000000" w:themeColor="text1"/>
                <w:sz w:val="24"/>
                <w:szCs w:val="24"/>
              </w:rPr>
              <w:t>Me shkakun 1,2,3,4,5,6,7 dhe 8</w:t>
            </w:r>
          </w:p>
        </w:tc>
        <w:tc>
          <w:tcPr>
            <w:tcW w:w="2007" w:type="dxa"/>
          </w:tcPr>
          <w:p w14:paraId="7224165C" w14:textId="77777777" w:rsidR="00A54508" w:rsidRPr="004979D2" w:rsidRDefault="00C14D08" w:rsidP="002B1BC6">
            <w:pPr>
              <w:spacing w:after="0" w:line="360" w:lineRule="auto"/>
              <w:rPr>
                <w:rFonts w:ascii="Times New Roman" w:hAnsi="Times New Roman" w:cs="Times New Roman"/>
                <w:color w:val="000000" w:themeColor="text1"/>
                <w:sz w:val="24"/>
                <w:szCs w:val="24"/>
              </w:rPr>
            </w:pPr>
            <w:r w:rsidRPr="004979D2">
              <w:rPr>
                <w:rFonts w:ascii="Times New Roman" w:hAnsi="Times New Roman" w:cs="Times New Roman"/>
                <w:color w:val="000000" w:themeColor="text1"/>
                <w:sz w:val="24"/>
                <w:szCs w:val="24"/>
              </w:rPr>
              <w:t xml:space="preserve">Me efektin 1,2,3,4,5,6,7 dhe 8      </w:t>
            </w:r>
          </w:p>
        </w:tc>
        <w:tc>
          <w:tcPr>
            <w:tcW w:w="2445" w:type="dxa"/>
          </w:tcPr>
          <w:p w14:paraId="6D7AB8C9" w14:textId="77777777" w:rsidR="00A54508" w:rsidRPr="004979D2" w:rsidRDefault="00A54508" w:rsidP="002B1BC6">
            <w:pPr>
              <w:spacing w:after="0" w:line="360" w:lineRule="auto"/>
              <w:rPr>
                <w:rFonts w:ascii="Times New Roman" w:hAnsi="Times New Roman" w:cs="Times New Roman"/>
                <w:color w:val="000000" w:themeColor="text1"/>
                <w:sz w:val="24"/>
                <w:szCs w:val="24"/>
              </w:rPr>
            </w:pPr>
            <w:r w:rsidRPr="004979D2">
              <w:rPr>
                <w:rFonts w:ascii="Times New Roman" w:hAnsi="Times New Roman" w:cs="Times New Roman"/>
                <w:color w:val="000000" w:themeColor="text1"/>
                <w:sz w:val="24"/>
                <w:szCs w:val="24"/>
              </w:rPr>
              <w:t>Në mënyre të drejtpërdrejtë</w:t>
            </w:r>
          </w:p>
        </w:tc>
      </w:tr>
      <w:tr w:rsidR="00A54508" w:rsidRPr="004979D2" w14:paraId="721D02B6" w14:textId="77777777" w:rsidTr="00A54508">
        <w:tc>
          <w:tcPr>
            <w:tcW w:w="3015" w:type="dxa"/>
          </w:tcPr>
          <w:p w14:paraId="36896318" w14:textId="77777777" w:rsidR="00A54508" w:rsidRPr="004979D2" w:rsidRDefault="00A54508" w:rsidP="002B1BC6">
            <w:pPr>
              <w:spacing w:after="0" w:line="360" w:lineRule="auto"/>
              <w:rPr>
                <w:rFonts w:ascii="Times New Roman" w:hAnsi="Times New Roman" w:cs="Times New Roman"/>
                <w:color w:val="000000" w:themeColor="text1"/>
                <w:sz w:val="24"/>
                <w:szCs w:val="24"/>
              </w:rPr>
            </w:pPr>
            <w:r w:rsidRPr="004979D2">
              <w:rPr>
                <w:rFonts w:ascii="Times New Roman" w:hAnsi="Times New Roman" w:cs="Times New Roman"/>
                <w:color w:val="000000" w:themeColor="text1"/>
                <w:sz w:val="24"/>
                <w:szCs w:val="24"/>
              </w:rPr>
              <w:t>Odat ekonomike</w:t>
            </w:r>
          </w:p>
        </w:tc>
        <w:tc>
          <w:tcPr>
            <w:tcW w:w="2109" w:type="dxa"/>
          </w:tcPr>
          <w:p w14:paraId="4FAB6357" w14:textId="77777777" w:rsidR="00A54508" w:rsidRPr="004979D2" w:rsidRDefault="00C14D08" w:rsidP="002B1BC6">
            <w:pPr>
              <w:spacing w:after="0" w:line="360" w:lineRule="auto"/>
              <w:rPr>
                <w:rFonts w:ascii="Times New Roman" w:hAnsi="Times New Roman" w:cs="Times New Roman"/>
                <w:color w:val="000000" w:themeColor="text1"/>
                <w:sz w:val="24"/>
                <w:szCs w:val="24"/>
              </w:rPr>
            </w:pPr>
            <w:r w:rsidRPr="004979D2">
              <w:rPr>
                <w:rFonts w:ascii="Times New Roman" w:hAnsi="Times New Roman" w:cs="Times New Roman"/>
                <w:color w:val="000000" w:themeColor="text1"/>
                <w:sz w:val="24"/>
                <w:szCs w:val="24"/>
              </w:rPr>
              <w:t>Me shkakun 1,2,3,4,5,6,7 dhe 8</w:t>
            </w:r>
          </w:p>
        </w:tc>
        <w:tc>
          <w:tcPr>
            <w:tcW w:w="2007" w:type="dxa"/>
          </w:tcPr>
          <w:p w14:paraId="7D0ECF5A" w14:textId="77777777" w:rsidR="00A54508" w:rsidRPr="004979D2" w:rsidRDefault="00C14D08" w:rsidP="002B1BC6">
            <w:pPr>
              <w:spacing w:after="0" w:line="360" w:lineRule="auto"/>
              <w:rPr>
                <w:rFonts w:ascii="Times New Roman" w:hAnsi="Times New Roman" w:cs="Times New Roman"/>
                <w:color w:val="000000" w:themeColor="text1"/>
                <w:sz w:val="24"/>
                <w:szCs w:val="24"/>
              </w:rPr>
            </w:pPr>
            <w:r w:rsidRPr="004979D2">
              <w:rPr>
                <w:rFonts w:ascii="Times New Roman" w:hAnsi="Times New Roman" w:cs="Times New Roman"/>
                <w:color w:val="000000" w:themeColor="text1"/>
                <w:sz w:val="24"/>
                <w:szCs w:val="24"/>
              </w:rPr>
              <w:t xml:space="preserve">Me efektin 1,2,3,4,5,6,7 dhe 8      </w:t>
            </w:r>
          </w:p>
        </w:tc>
        <w:tc>
          <w:tcPr>
            <w:tcW w:w="2445" w:type="dxa"/>
          </w:tcPr>
          <w:p w14:paraId="3C35AC3A" w14:textId="77777777" w:rsidR="00A54508" w:rsidRPr="004979D2" w:rsidRDefault="00A54508" w:rsidP="002B1BC6">
            <w:pPr>
              <w:spacing w:after="0" w:line="360" w:lineRule="auto"/>
              <w:rPr>
                <w:rFonts w:ascii="Times New Roman" w:hAnsi="Times New Roman" w:cs="Times New Roman"/>
                <w:color w:val="000000" w:themeColor="text1"/>
                <w:sz w:val="24"/>
                <w:szCs w:val="24"/>
              </w:rPr>
            </w:pPr>
            <w:r w:rsidRPr="004979D2">
              <w:rPr>
                <w:rFonts w:ascii="Times New Roman" w:hAnsi="Times New Roman" w:cs="Times New Roman"/>
                <w:color w:val="000000" w:themeColor="text1"/>
                <w:sz w:val="24"/>
                <w:szCs w:val="24"/>
              </w:rPr>
              <w:t>Në mënyre të drejtpërdrejtë</w:t>
            </w:r>
          </w:p>
        </w:tc>
      </w:tr>
    </w:tbl>
    <w:p w14:paraId="5DFDF18F" w14:textId="77777777" w:rsidR="000A4228" w:rsidRPr="004979D2" w:rsidRDefault="000A4228" w:rsidP="002B1BC6">
      <w:pPr>
        <w:spacing w:line="360" w:lineRule="auto"/>
        <w:rPr>
          <w:rFonts w:ascii="Times New Roman" w:hAnsi="Times New Roman" w:cs="Times New Roman"/>
          <w:sz w:val="24"/>
          <w:szCs w:val="24"/>
        </w:rPr>
      </w:pPr>
    </w:p>
    <w:p w14:paraId="7228D516" w14:textId="393294FB" w:rsidR="00DF6F68" w:rsidRPr="004979D2" w:rsidRDefault="00FA1386"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Një nga funksionet kryesore të </w:t>
      </w:r>
      <w:r w:rsidR="00DF6F68" w:rsidRPr="004979D2">
        <w:rPr>
          <w:rFonts w:ascii="Times New Roman" w:hAnsi="Times New Roman" w:cs="Times New Roman"/>
          <w:sz w:val="24"/>
          <w:szCs w:val="24"/>
        </w:rPr>
        <w:t>Autoriteti</w:t>
      </w:r>
      <w:r w:rsidRPr="004979D2">
        <w:rPr>
          <w:rFonts w:ascii="Times New Roman" w:hAnsi="Times New Roman" w:cs="Times New Roman"/>
          <w:sz w:val="24"/>
          <w:szCs w:val="24"/>
        </w:rPr>
        <w:t>t të</w:t>
      </w:r>
      <w:r w:rsidR="00DF6F68" w:rsidRPr="004979D2">
        <w:rPr>
          <w:rFonts w:ascii="Times New Roman" w:hAnsi="Times New Roman" w:cs="Times New Roman"/>
          <w:sz w:val="24"/>
          <w:szCs w:val="24"/>
        </w:rPr>
        <w:t xml:space="preserve">  Konkurrencës </w:t>
      </w:r>
      <w:r w:rsidRPr="004979D2">
        <w:rPr>
          <w:rFonts w:ascii="Times New Roman" w:hAnsi="Times New Roman" w:cs="Times New Roman"/>
          <w:sz w:val="24"/>
          <w:szCs w:val="24"/>
        </w:rPr>
        <w:t>është që përmes politikave të</w:t>
      </w:r>
      <w:r w:rsidR="00DF6F68" w:rsidRPr="004979D2">
        <w:rPr>
          <w:rFonts w:ascii="Times New Roman" w:hAnsi="Times New Roman" w:cs="Times New Roman"/>
          <w:sz w:val="24"/>
          <w:szCs w:val="24"/>
        </w:rPr>
        <w:t xml:space="preserve"> konkurrencës përveç </w:t>
      </w:r>
      <w:r w:rsidRPr="004979D2">
        <w:rPr>
          <w:rFonts w:ascii="Times New Roman" w:hAnsi="Times New Roman" w:cs="Times New Roman"/>
          <w:sz w:val="24"/>
          <w:szCs w:val="24"/>
        </w:rPr>
        <w:t>të</w:t>
      </w:r>
      <w:r w:rsidR="00DF6F68" w:rsidRPr="004979D2">
        <w:rPr>
          <w:rFonts w:ascii="Times New Roman" w:hAnsi="Times New Roman" w:cs="Times New Roman"/>
          <w:sz w:val="24"/>
          <w:szCs w:val="24"/>
        </w:rPr>
        <w:t xml:space="preserve"> tjerash të shërbejë </w:t>
      </w:r>
      <w:r w:rsidRPr="004979D2">
        <w:rPr>
          <w:rFonts w:ascii="Times New Roman" w:hAnsi="Times New Roman" w:cs="Times New Roman"/>
          <w:sz w:val="24"/>
          <w:szCs w:val="24"/>
        </w:rPr>
        <w:t xml:space="preserve">edhe </w:t>
      </w:r>
      <w:r w:rsidR="00DF6F68" w:rsidRPr="004979D2">
        <w:rPr>
          <w:rFonts w:ascii="Times New Roman" w:hAnsi="Times New Roman" w:cs="Times New Roman"/>
          <w:sz w:val="24"/>
          <w:szCs w:val="24"/>
        </w:rPr>
        <w:t>si një instrument</w:t>
      </w:r>
      <w:r w:rsidRPr="004979D2">
        <w:rPr>
          <w:rFonts w:ascii="Times New Roman" w:hAnsi="Times New Roman" w:cs="Times New Roman"/>
          <w:sz w:val="24"/>
          <w:szCs w:val="24"/>
        </w:rPr>
        <w:t xml:space="preserve"> apo platformë</w:t>
      </w:r>
      <w:r w:rsidR="00DF6F68" w:rsidRPr="004979D2">
        <w:rPr>
          <w:rFonts w:ascii="Times New Roman" w:hAnsi="Times New Roman" w:cs="Times New Roman"/>
          <w:sz w:val="24"/>
          <w:szCs w:val="24"/>
        </w:rPr>
        <w:t xml:space="preserve"> </w:t>
      </w:r>
      <w:r w:rsidRPr="004979D2">
        <w:rPr>
          <w:rFonts w:ascii="Times New Roman" w:hAnsi="Times New Roman" w:cs="Times New Roman"/>
          <w:sz w:val="24"/>
          <w:szCs w:val="24"/>
        </w:rPr>
        <w:t>për kuptimin dhe zbatimin e drejt</w:t>
      </w:r>
      <w:r w:rsidR="00F8655F" w:rsidRPr="004979D2">
        <w:rPr>
          <w:rFonts w:ascii="Times New Roman" w:hAnsi="Times New Roman" w:cs="Times New Roman"/>
          <w:sz w:val="24"/>
          <w:szCs w:val="24"/>
        </w:rPr>
        <w:t>ë</w:t>
      </w:r>
      <w:r w:rsidRPr="004979D2">
        <w:rPr>
          <w:rFonts w:ascii="Times New Roman" w:hAnsi="Times New Roman" w:cs="Times New Roman"/>
          <w:sz w:val="24"/>
          <w:szCs w:val="24"/>
        </w:rPr>
        <w:t xml:space="preserve"> të</w:t>
      </w:r>
      <w:r w:rsidR="00DF6F68" w:rsidRPr="004979D2">
        <w:rPr>
          <w:rFonts w:ascii="Times New Roman" w:hAnsi="Times New Roman" w:cs="Times New Roman"/>
          <w:sz w:val="24"/>
          <w:szCs w:val="24"/>
        </w:rPr>
        <w:t xml:space="preserve"> </w:t>
      </w:r>
      <w:r w:rsidRPr="004979D2">
        <w:rPr>
          <w:rFonts w:ascii="Times New Roman" w:hAnsi="Times New Roman" w:cs="Times New Roman"/>
          <w:sz w:val="24"/>
          <w:szCs w:val="24"/>
        </w:rPr>
        <w:t xml:space="preserve">ligjit për mbrojtjen e konkurrencës duke i përfshirë palët </w:t>
      </w:r>
      <w:r w:rsidR="00DF6F68" w:rsidRPr="004979D2">
        <w:rPr>
          <w:rFonts w:ascii="Times New Roman" w:hAnsi="Times New Roman" w:cs="Times New Roman"/>
          <w:sz w:val="24"/>
          <w:szCs w:val="24"/>
        </w:rPr>
        <w:t>e interesit (privat dhe publik) në përputhje me rregullat e konkurrencës sipas</w:t>
      </w:r>
      <w:r w:rsidRPr="004979D2">
        <w:rPr>
          <w:rFonts w:ascii="Times New Roman" w:hAnsi="Times New Roman" w:cs="Times New Roman"/>
          <w:sz w:val="24"/>
          <w:szCs w:val="24"/>
        </w:rPr>
        <w:t xml:space="preserve"> tregut të lirë. Andaj, Autoriteti i  Konkurrencës është </w:t>
      </w:r>
      <w:r w:rsidR="00DF6F68" w:rsidRPr="004979D2">
        <w:rPr>
          <w:rFonts w:ascii="Times New Roman" w:hAnsi="Times New Roman" w:cs="Times New Roman"/>
          <w:sz w:val="24"/>
          <w:szCs w:val="24"/>
        </w:rPr>
        <w:t>për</w:t>
      </w:r>
      <w:r w:rsidRPr="004979D2">
        <w:rPr>
          <w:rFonts w:ascii="Times New Roman" w:hAnsi="Times New Roman" w:cs="Times New Roman"/>
          <w:sz w:val="24"/>
          <w:szCs w:val="24"/>
        </w:rPr>
        <w:t>kushtuar për vendosjen e një komunikimi</w:t>
      </w:r>
      <w:r w:rsidR="00DF6F68" w:rsidRPr="004979D2">
        <w:rPr>
          <w:rFonts w:ascii="Times New Roman" w:hAnsi="Times New Roman" w:cs="Times New Roman"/>
          <w:sz w:val="24"/>
          <w:szCs w:val="24"/>
        </w:rPr>
        <w:t xml:space="preserve"> </w:t>
      </w:r>
      <w:r w:rsidRPr="004979D2">
        <w:rPr>
          <w:rFonts w:ascii="Times New Roman" w:hAnsi="Times New Roman" w:cs="Times New Roman"/>
          <w:sz w:val="24"/>
          <w:szCs w:val="24"/>
        </w:rPr>
        <w:t>të</w:t>
      </w:r>
      <w:r w:rsidR="00DF6F68" w:rsidRPr="004979D2">
        <w:rPr>
          <w:rFonts w:ascii="Times New Roman" w:hAnsi="Times New Roman" w:cs="Times New Roman"/>
          <w:sz w:val="24"/>
          <w:szCs w:val="24"/>
        </w:rPr>
        <w:t xml:space="preserve"> </w:t>
      </w:r>
      <w:r w:rsidRPr="004979D2">
        <w:rPr>
          <w:rFonts w:ascii="Times New Roman" w:hAnsi="Times New Roman" w:cs="Times New Roman"/>
          <w:sz w:val="24"/>
          <w:szCs w:val="24"/>
        </w:rPr>
        <w:t>ndërsjellët</w:t>
      </w:r>
      <w:r w:rsidR="00DF6F68" w:rsidRPr="004979D2">
        <w:rPr>
          <w:rFonts w:ascii="Times New Roman" w:hAnsi="Times New Roman" w:cs="Times New Roman"/>
          <w:sz w:val="24"/>
          <w:szCs w:val="24"/>
        </w:rPr>
        <w:t xml:space="preserve"> me publi</w:t>
      </w:r>
      <w:r w:rsidRPr="004979D2">
        <w:rPr>
          <w:rFonts w:ascii="Times New Roman" w:hAnsi="Times New Roman" w:cs="Times New Roman"/>
          <w:sz w:val="24"/>
          <w:szCs w:val="24"/>
        </w:rPr>
        <w:t>kun dhe</w:t>
      </w:r>
      <w:r w:rsidR="00DF6F68" w:rsidRPr="004979D2">
        <w:rPr>
          <w:rFonts w:ascii="Times New Roman" w:hAnsi="Times New Roman" w:cs="Times New Roman"/>
          <w:sz w:val="24"/>
          <w:szCs w:val="24"/>
        </w:rPr>
        <w:t xml:space="preserve"> komunitetin e biznesit</w:t>
      </w:r>
      <w:r w:rsidR="005B67F5" w:rsidRPr="004979D2">
        <w:rPr>
          <w:rFonts w:ascii="Times New Roman" w:hAnsi="Times New Roman" w:cs="Times New Roman"/>
          <w:sz w:val="24"/>
          <w:szCs w:val="24"/>
        </w:rPr>
        <w:t>,</w:t>
      </w:r>
      <w:r w:rsidRPr="004979D2">
        <w:rPr>
          <w:rFonts w:ascii="Times New Roman" w:hAnsi="Times New Roman" w:cs="Times New Roman"/>
          <w:sz w:val="24"/>
          <w:szCs w:val="24"/>
        </w:rPr>
        <w:t xml:space="preserve"> duke identifikuar gjate punës dhe eksperiencës si pale kryesore ndërmarrësit, avokat</w:t>
      </w:r>
      <w:r w:rsidR="00F8655F" w:rsidRPr="004979D2">
        <w:rPr>
          <w:rFonts w:ascii="Times New Roman" w:hAnsi="Times New Roman" w:cs="Times New Roman"/>
          <w:sz w:val="24"/>
          <w:szCs w:val="24"/>
        </w:rPr>
        <w:t>ë</w:t>
      </w:r>
      <w:r w:rsidRPr="004979D2">
        <w:rPr>
          <w:rFonts w:ascii="Times New Roman" w:hAnsi="Times New Roman" w:cs="Times New Roman"/>
          <w:sz w:val="24"/>
          <w:szCs w:val="24"/>
        </w:rPr>
        <w:t>t, s</w:t>
      </w:r>
      <w:r w:rsidR="00DF6F68" w:rsidRPr="004979D2">
        <w:rPr>
          <w:rFonts w:ascii="Times New Roman" w:hAnsi="Times New Roman" w:cs="Times New Roman"/>
          <w:sz w:val="24"/>
          <w:szCs w:val="24"/>
        </w:rPr>
        <w:t>hoqatat e ndërmarrjeve, shoqatat e konsumatorëve</w:t>
      </w:r>
      <w:r w:rsidRPr="004979D2">
        <w:rPr>
          <w:rFonts w:ascii="Times New Roman" w:hAnsi="Times New Roman" w:cs="Times New Roman"/>
          <w:sz w:val="24"/>
          <w:szCs w:val="24"/>
        </w:rPr>
        <w:t xml:space="preserve"> dhe odat ekonomike. Gjithashtu</w:t>
      </w:r>
      <w:r w:rsidR="00F8655F" w:rsidRPr="004979D2">
        <w:rPr>
          <w:rFonts w:ascii="Times New Roman" w:hAnsi="Times New Roman" w:cs="Times New Roman"/>
          <w:sz w:val="24"/>
          <w:szCs w:val="24"/>
        </w:rPr>
        <w:t>,</w:t>
      </w:r>
      <w:r w:rsidRPr="004979D2">
        <w:rPr>
          <w:rFonts w:ascii="Times New Roman" w:hAnsi="Times New Roman" w:cs="Times New Roman"/>
          <w:sz w:val="24"/>
          <w:szCs w:val="24"/>
        </w:rPr>
        <w:t xml:space="preserve"> pjesë e rëndësishme e kësaj platforme mbeten </w:t>
      </w:r>
      <w:r w:rsidR="00DF6F68" w:rsidRPr="004979D2">
        <w:rPr>
          <w:rFonts w:ascii="Times New Roman" w:hAnsi="Times New Roman" w:cs="Times New Roman"/>
          <w:sz w:val="24"/>
          <w:szCs w:val="24"/>
        </w:rPr>
        <w:t>ins</w:t>
      </w:r>
      <w:r w:rsidRPr="004979D2">
        <w:rPr>
          <w:rFonts w:ascii="Times New Roman" w:hAnsi="Times New Roman" w:cs="Times New Roman"/>
          <w:sz w:val="24"/>
          <w:szCs w:val="24"/>
        </w:rPr>
        <w:t>titucionet publike</w:t>
      </w:r>
      <w:r w:rsidR="005B67F5" w:rsidRPr="004979D2">
        <w:rPr>
          <w:rFonts w:ascii="Times New Roman" w:hAnsi="Times New Roman" w:cs="Times New Roman"/>
          <w:sz w:val="24"/>
          <w:szCs w:val="24"/>
        </w:rPr>
        <w:t xml:space="preserve"> dhe</w:t>
      </w:r>
      <w:r w:rsidRPr="004979D2">
        <w:rPr>
          <w:rFonts w:ascii="Times New Roman" w:hAnsi="Times New Roman" w:cs="Times New Roman"/>
          <w:sz w:val="24"/>
          <w:szCs w:val="24"/>
        </w:rPr>
        <w:t xml:space="preserve"> </w:t>
      </w:r>
      <w:r w:rsidR="00DF6F68" w:rsidRPr="004979D2">
        <w:rPr>
          <w:rFonts w:ascii="Times New Roman" w:hAnsi="Times New Roman" w:cs="Times New Roman"/>
          <w:sz w:val="24"/>
          <w:szCs w:val="24"/>
        </w:rPr>
        <w:t>organiz</w:t>
      </w:r>
      <w:r w:rsidR="00F8655F" w:rsidRPr="004979D2">
        <w:rPr>
          <w:rFonts w:ascii="Times New Roman" w:hAnsi="Times New Roman" w:cs="Times New Roman"/>
          <w:sz w:val="24"/>
          <w:szCs w:val="24"/>
        </w:rPr>
        <w:t>atat</w:t>
      </w:r>
      <w:r w:rsidR="00DF6F68" w:rsidRPr="004979D2">
        <w:rPr>
          <w:rFonts w:ascii="Times New Roman" w:hAnsi="Times New Roman" w:cs="Times New Roman"/>
          <w:sz w:val="24"/>
          <w:szCs w:val="24"/>
        </w:rPr>
        <w:t xml:space="preserve"> homol</w:t>
      </w:r>
      <w:r w:rsidRPr="004979D2">
        <w:rPr>
          <w:rFonts w:ascii="Times New Roman" w:hAnsi="Times New Roman" w:cs="Times New Roman"/>
          <w:sz w:val="24"/>
          <w:szCs w:val="24"/>
        </w:rPr>
        <w:t>oge ndërkombëtar</w:t>
      </w:r>
      <w:r w:rsidR="00F8655F" w:rsidRPr="004979D2">
        <w:rPr>
          <w:rFonts w:ascii="Times New Roman" w:hAnsi="Times New Roman" w:cs="Times New Roman"/>
          <w:sz w:val="24"/>
          <w:szCs w:val="24"/>
        </w:rPr>
        <w:t>e</w:t>
      </w:r>
      <w:r w:rsidRPr="004979D2">
        <w:rPr>
          <w:rFonts w:ascii="Times New Roman" w:hAnsi="Times New Roman" w:cs="Times New Roman"/>
          <w:sz w:val="24"/>
          <w:szCs w:val="24"/>
        </w:rPr>
        <w:t xml:space="preserve"> që ndërlidhen me</w:t>
      </w:r>
      <w:r w:rsidR="00DF6F68" w:rsidRPr="004979D2">
        <w:rPr>
          <w:rFonts w:ascii="Times New Roman" w:hAnsi="Times New Roman" w:cs="Times New Roman"/>
          <w:sz w:val="24"/>
          <w:szCs w:val="24"/>
        </w:rPr>
        <w:t xml:space="preserve"> zbatim të ligjit për mbrojtjen e konkurrencës. </w:t>
      </w:r>
      <w:r w:rsidRPr="004979D2">
        <w:rPr>
          <w:rFonts w:ascii="Times New Roman" w:hAnsi="Times New Roman" w:cs="Times New Roman"/>
          <w:sz w:val="24"/>
          <w:szCs w:val="24"/>
        </w:rPr>
        <w:t xml:space="preserve">Nisur nga kjo, </w:t>
      </w:r>
      <w:r w:rsidR="00DF6F68" w:rsidRPr="004979D2">
        <w:rPr>
          <w:rFonts w:ascii="Times New Roman" w:hAnsi="Times New Roman" w:cs="Times New Roman"/>
          <w:sz w:val="24"/>
          <w:szCs w:val="24"/>
        </w:rPr>
        <w:t>Autoriteti është dhe do të jetë i hapur për bashkëpunim e bashkëveprim të frytshëm me të gjitha palët e interesuara për realizmin e një konkurrenc</w:t>
      </w:r>
      <w:r w:rsidR="00F8655F" w:rsidRPr="004979D2">
        <w:rPr>
          <w:rFonts w:ascii="Times New Roman" w:hAnsi="Times New Roman" w:cs="Times New Roman"/>
          <w:sz w:val="24"/>
          <w:szCs w:val="24"/>
        </w:rPr>
        <w:t>e</w:t>
      </w:r>
      <w:r w:rsidR="00DF6F68" w:rsidRPr="004979D2">
        <w:rPr>
          <w:rFonts w:ascii="Times New Roman" w:hAnsi="Times New Roman" w:cs="Times New Roman"/>
          <w:sz w:val="24"/>
          <w:szCs w:val="24"/>
        </w:rPr>
        <w:t xml:space="preserve"> të lirë, efektive dhe të ndershme</w:t>
      </w:r>
      <w:r w:rsidRPr="004979D2">
        <w:rPr>
          <w:rFonts w:ascii="Times New Roman" w:hAnsi="Times New Roman" w:cs="Times New Roman"/>
          <w:sz w:val="24"/>
          <w:szCs w:val="24"/>
        </w:rPr>
        <w:t xml:space="preserve"> n</w:t>
      </w:r>
      <w:r w:rsidR="00F8655F" w:rsidRPr="004979D2">
        <w:rPr>
          <w:rFonts w:ascii="Times New Roman" w:hAnsi="Times New Roman" w:cs="Times New Roman"/>
          <w:sz w:val="24"/>
          <w:szCs w:val="24"/>
        </w:rPr>
        <w:t>ë</w:t>
      </w:r>
      <w:r w:rsidRPr="004979D2">
        <w:rPr>
          <w:rFonts w:ascii="Times New Roman" w:hAnsi="Times New Roman" w:cs="Times New Roman"/>
          <w:sz w:val="24"/>
          <w:szCs w:val="24"/>
        </w:rPr>
        <w:t xml:space="preserve"> tregun e Republikës së Kosovës</w:t>
      </w:r>
      <w:r w:rsidR="00DF6F68" w:rsidRPr="004979D2">
        <w:rPr>
          <w:rFonts w:ascii="Times New Roman" w:hAnsi="Times New Roman" w:cs="Times New Roman"/>
          <w:sz w:val="24"/>
          <w:szCs w:val="24"/>
        </w:rPr>
        <w:t>.</w:t>
      </w:r>
    </w:p>
    <w:p w14:paraId="0ACC6931" w14:textId="24D394B1" w:rsidR="00A15577" w:rsidRPr="004979D2" w:rsidRDefault="00BC0DBE" w:rsidP="002B1BC6">
      <w:pPr>
        <w:pStyle w:val="Heading1"/>
        <w:spacing w:line="360" w:lineRule="auto"/>
        <w:rPr>
          <w:rFonts w:ascii="Times New Roman" w:hAnsi="Times New Roman" w:cs="Times New Roman"/>
          <w:sz w:val="24"/>
          <w:szCs w:val="24"/>
        </w:rPr>
      </w:pPr>
      <w:bookmarkStart w:id="40" w:name="_Toc1114324"/>
      <w:r w:rsidRPr="004979D2">
        <w:rPr>
          <w:rFonts w:ascii="Times New Roman" w:hAnsi="Times New Roman" w:cs="Times New Roman"/>
          <w:b/>
          <w:sz w:val="24"/>
          <w:szCs w:val="24"/>
        </w:rPr>
        <w:lastRenderedPageBreak/>
        <w:t>KAPITULLI 2: OBJEKTIVAT</w:t>
      </w:r>
      <w:bookmarkEnd w:id="40"/>
    </w:p>
    <w:p w14:paraId="5EEC3419" w14:textId="77777777" w:rsidR="00FB0CC3" w:rsidRPr="004979D2" w:rsidRDefault="00FB0CC3" w:rsidP="002B1BC6">
      <w:pPr>
        <w:spacing w:line="360" w:lineRule="auto"/>
        <w:jc w:val="both"/>
        <w:rPr>
          <w:rFonts w:ascii="Times New Roman" w:hAnsi="Times New Roman" w:cs="Times New Roman"/>
          <w:i/>
          <w:sz w:val="24"/>
          <w:szCs w:val="24"/>
        </w:rPr>
      </w:pPr>
      <w:r w:rsidRPr="004979D2">
        <w:rPr>
          <w:rFonts w:ascii="Times New Roman" w:hAnsi="Times New Roman" w:cs="Times New Roman"/>
          <w:sz w:val="24"/>
          <w:szCs w:val="24"/>
        </w:rPr>
        <w:t xml:space="preserve">Qëllimi kryesor i politikës së propozuar është përmirësimi i kornizës ligjore në fushën e konkurrencës, si parakusht për funksionimin e lirë të tregut dhe mbrojtjen e konkurrencë. Me përmirësimin e kornizës ligjore synohet të arrihet përputhshmëri më e lartë me standardet dhe praktikat e Bashkimit Evropian. Kjo politikë kontribuon në përmbushjen e prioriteteve të reformave ekonomike dhe institucionale që burojnë nga dokumentet strategjike, përkatësisht: </w:t>
      </w:r>
      <w:r w:rsidRPr="004979D2">
        <w:rPr>
          <w:rFonts w:ascii="Times New Roman" w:hAnsi="Times New Roman" w:cs="Times New Roman"/>
          <w:i/>
          <w:sz w:val="24"/>
          <w:szCs w:val="24"/>
        </w:rPr>
        <w:t xml:space="preserve">Strategjia Kombëtare për Zhvillim (2016-2021), Agjenda për Reforma Evropiane (2016) </w:t>
      </w:r>
      <w:r w:rsidRPr="004979D2">
        <w:rPr>
          <w:rFonts w:ascii="Times New Roman" w:hAnsi="Times New Roman" w:cs="Times New Roman"/>
          <w:sz w:val="24"/>
          <w:szCs w:val="24"/>
        </w:rPr>
        <w:t>dhe</w:t>
      </w:r>
      <w:r w:rsidRPr="004979D2">
        <w:rPr>
          <w:rFonts w:ascii="Times New Roman" w:hAnsi="Times New Roman" w:cs="Times New Roman"/>
          <w:i/>
          <w:sz w:val="24"/>
          <w:szCs w:val="24"/>
        </w:rPr>
        <w:t xml:space="preserve"> Plani Kombëtar për Zbatimin e MSA-së (2018-2022). </w:t>
      </w:r>
    </w:p>
    <w:p w14:paraId="26977EDF" w14:textId="77777777" w:rsidR="00FB0CC3" w:rsidRPr="004979D2" w:rsidRDefault="00FB0CC3" w:rsidP="002B1BC6">
      <w:pPr>
        <w:spacing w:line="360" w:lineRule="auto"/>
        <w:jc w:val="both"/>
        <w:rPr>
          <w:rFonts w:ascii="Times New Roman" w:hAnsi="Times New Roman" w:cs="Times New Roman"/>
          <w:b/>
          <w:sz w:val="24"/>
          <w:szCs w:val="24"/>
          <w:u w:val="single"/>
        </w:rPr>
      </w:pPr>
      <w:r w:rsidRPr="004979D2">
        <w:rPr>
          <w:rFonts w:ascii="Times New Roman" w:hAnsi="Times New Roman" w:cs="Times New Roman"/>
          <w:b/>
          <w:sz w:val="24"/>
          <w:szCs w:val="24"/>
          <w:u w:val="single"/>
        </w:rPr>
        <w:t>Ndërlidhja me dokumente relevante:</w:t>
      </w:r>
    </w:p>
    <w:p w14:paraId="1CEAF80C" w14:textId="77777777" w:rsidR="00942339" w:rsidRPr="004979D2" w:rsidRDefault="00FB0CC3" w:rsidP="002B1BC6">
      <w:pPr>
        <w:spacing w:line="360" w:lineRule="auto"/>
        <w:jc w:val="both"/>
        <w:rPr>
          <w:rFonts w:ascii="Times New Roman" w:hAnsi="Times New Roman" w:cs="Times New Roman"/>
          <w:b/>
          <w:sz w:val="24"/>
          <w:szCs w:val="24"/>
          <w:u w:val="single"/>
        </w:rPr>
      </w:pPr>
      <w:r w:rsidRPr="004979D2">
        <w:rPr>
          <w:rFonts w:ascii="Times New Roman" w:hAnsi="Times New Roman" w:cs="Times New Roman"/>
          <w:i/>
          <w:sz w:val="24"/>
          <w:szCs w:val="24"/>
        </w:rPr>
        <w:t xml:space="preserve">Strategjia Kombëtare për Zhvillim </w:t>
      </w:r>
      <w:r w:rsidRPr="004979D2">
        <w:rPr>
          <w:rFonts w:ascii="Times New Roman" w:hAnsi="Times New Roman" w:cs="Times New Roman"/>
          <w:sz w:val="24"/>
          <w:szCs w:val="24"/>
        </w:rPr>
        <w:t xml:space="preserve">bazohet në parimin se </w:t>
      </w:r>
      <w:proofErr w:type="spellStart"/>
      <w:r w:rsidRPr="004979D2">
        <w:rPr>
          <w:rFonts w:ascii="Times New Roman" w:hAnsi="Times New Roman" w:cs="Times New Roman"/>
          <w:sz w:val="24"/>
          <w:szCs w:val="24"/>
        </w:rPr>
        <w:t>ekonomika</w:t>
      </w:r>
      <w:proofErr w:type="spellEnd"/>
      <w:r w:rsidRPr="004979D2">
        <w:rPr>
          <w:rFonts w:ascii="Times New Roman" w:hAnsi="Times New Roman" w:cs="Times New Roman"/>
          <w:sz w:val="24"/>
          <w:szCs w:val="24"/>
        </w:rPr>
        <w:t xml:space="preserve"> e Kosovës do të zhvillohet duke pasur si bazë sektorin privat dhe </w:t>
      </w:r>
      <w:proofErr w:type="spellStart"/>
      <w:r w:rsidRPr="004979D2">
        <w:rPr>
          <w:rFonts w:ascii="Times New Roman" w:hAnsi="Times New Roman" w:cs="Times New Roman"/>
          <w:sz w:val="24"/>
          <w:szCs w:val="24"/>
        </w:rPr>
        <w:t>konkurrueshmërinë</w:t>
      </w:r>
      <w:proofErr w:type="spellEnd"/>
      <w:r w:rsidRPr="004979D2">
        <w:rPr>
          <w:rFonts w:ascii="Times New Roman" w:hAnsi="Times New Roman" w:cs="Times New Roman"/>
          <w:sz w:val="24"/>
          <w:szCs w:val="24"/>
        </w:rPr>
        <w:t>.</w:t>
      </w:r>
      <w:r w:rsidRPr="004979D2">
        <w:rPr>
          <w:rStyle w:val="FootnoteReference"/>
          <w:rFonts w:ascii="Times New Roman" w:hAnsi="Times New Roman" w:cs="Times New Roman"/>
          <w:sz w:val="24"/>
          <w:szCs w:val="24"/>
        </w:rPr>
        <w:footnoteReference w:id="29"/>
      </w:r>
      <w:r w:rsidRPr="004979D2">
        <w:rPr>
          <w:rFonts w:ascii="Times New Roman" w:hAnsi="Times New Roman" w:cs="Times New Roman"/>
          <w:sz w:val="24"/>
          <w:szCs w:val="24"/>
        </w:rPr>
        <w:t xml:space="preserve"> Mirëpo, parakusht për mirëqenie  ekonomike, mbrojtjen e konkurrencës dhe krijimin e mjedisit të përshtatshëm </w:t>
      </w:r>
      <w:proofErr w:type="spellStart"/>
      <w:r w:rsidRPr="004979D2">
        <w:rPr>
          <w:rFonts w:ascii="Times New Roman" w:hAnsi="Times New Roman" w:cs="Times New Roman"/>
          <w:sz w:val="24"/>
          <w:szCs w:val="24"/>
        </w:rPr>
        <w:t>biznesor</w:t>
      </w:r>
      <w:proofErr w:type="spellEnd"/>
      <w:r w:rsidRPr="004979D2">
        <w:rPr>
          <w:rFonts w:ascii="Times New Roman" w:hAnsi="Times New Roman" w:cs="Times New Roman"/>
          <w:sz w:val="24"/>
          <w:szCs w:val="24"/>
        </w:rPr>
        <w:t xml:space="preserve"> janë sundimi i ligjit, siguria juridike dhe rritja e efektivitetit të institucioneve.</w:t>
      </w:r>
      <w:r w:rsidRPr="004979D2">
        <w:rPr>
          <w:rStyle w:val="FootnoteReference"/>
          <w:rFonts w:ascii="Times New Roman" w:hAnsi="Times New Roman" w:cs="Times New Roman"/>
          <w:sz w:val="24"/>
          <w:szCs w:val="24"/>
        </w:rPr>
        <w:footnoteReference w:id="30"/>
      </w:r>
      <w:r w:rsidRPr="004979D2">
        <w:rPr>
          <w:rFonts w:ascii="Times New Roman" w:hAnsi="Times New Roman" w:cs="Times New Roman"/>
          <w:sz w:val="24"/>
          <w:szCs w:val="24"/>
        </w:rPr>
        <w:t xml:space="preserve"> </w:t>
      </w:r>
      <w:proofErr w:type="spellStart"/>
      <w:r w:rsidRPr="004979D2">
        <w:rPr>
          <w:rFonts w:ascii="Times New Roman" w:hAnsi="Times New Roman" w:cs="Times New Roman"/>
          <w:sz w:val="24"/>
          <w:szCs w:val="24"/>
        </w:rPr>
        <w:t>Konkurrueshmëria</w:t>
      </w:r>
      <w:proofErr w:type="spellEnd"/>
      <w:r w:rsidRPr="004979D2">
        <w:rPr>
          <w:rFonts w:ascii="Times New Roman" w:hAnsi="Times New Roman" w:cs="Times New Roman"/>
          <w:sz w:val="24"/>
          <w:szCs w:val="24"/>
        </w:rPr>
        <w:t xml:space="preserve"> dhe Klima e Investimeve janë shtyllë e </w:t>
      </w:r>
      <w:r w:rsidRPr="004979D2">
        <w:rPr>
          <w:rFonts w:ascii="Times New Roman" w:hAnsi="Times New Roman" w:cs="Times New Roman"/>
          <w:i/>
          <w:sz w:val="24"/>
          <w:szCs w:val="24"/>
        </w:rPr>
        <w:t xml:space="preserve">Agjendës për Reforma Evropiane </w:t>
      </w:r>
      <w:r w:rsidRPr="004979D2">
        <w:rPr>
          <w:rFonts w:ascii="Times New Roman" w:hAnsi="Times New Roman" w:cs="Times New Roman"/>
          <w:sz w:val="24"/>
          <w:szCs w:val="24"/>
        </w:rPr>
        <w:t xml:space="preserve"> ku synohet përmirësimi i mjedisit afarist përmes përafrimit të legjislacionit vendor me norma dhe rregulla të BE-së, përmirësimit të kapaciteteve të Organeve të Konkurrencës dhe Ndihmës Shtetërore dhe zbatimit të mandatit të tyre.</w:t>
      </w:r>
      <w:r w:rsidRPr="004979D2">
        <w:rPr>
          <w:rStyle w:val="FootnoteReference"/>
          <w:rFonts w:ascii="Times New Roman" w:hAnsi="Times New Roman" w:cs="Times New Roman"/>
          <w:sz w:val="24"/>
          <w:szCs w:val="24"/>
        </w:rPr>
        <w:footnoteReference w:id="31"/>
      </w:r>
      <w:r w:rsidRPr="004979D2">
        <w:rPr>
          <w:rFonts w:ascii="Times New Roman" w:hAnsi="Times New Roman" w:cs="Times New Roman"/>
          <w:sz w:val="24"/>
          <w:szCs w:val="24"/>
        </w:rPr>
        <w:t xml:space="preserve"> </w:t>
      </w:r>
      <w:proofErr w:type="spellStart"/>
      <w:r w:rsidRPr="004979D2">
        <w:rPr>
          <w:rFonts w:ascii="Times New Roman" w:hAnsi="Times New Roman" w:cs="Times New Roman"/>
          <w:sz w:val="24"/>
          <w:szCs w:val="24"/>
        </w:rPr>
        <w:t>Poashtu</w:t>
      </w:r>
      <w:proofErr w:type="spellEnd"/>
      <w:r w:rsidRPr="004979D2">
        <w:rPr>
          <w:rFonts w:ascii="Times New Roman" w:hAnsi="Times New Roman" w:cs="Times New Roman"/>
          <w:sz w:val="24"/>
          <w:szCs w:val="24"/>
        </w:rPr>
        <w:t xml:space="preserve">, edhe në </w:t>
      </w:r>
      <w:r w:rsidRPr="004979D2">
        <w:rPr>
          <w:rFonts w:ascii="Times New Roman" w:hAnsi="Times New Roman" w:cs="Times New Roman"/>
          <w:i/>
          <w:sz w:val="24"/>
          <w:szCs w:val="24"/>
        </w:rPr>
        <w:t xml:space="preserve">Planin Kombëtar për Zbatimin e MSA-së 2017-2021, </w:t>
      </w:r>
      <w:r w:rsidRPr="004979D2">
        <w:rPr>
          <w:rFonts w:ascii="Times New Roman" w:hAnsi="Times New Roman" w:cs="Times New Roman"/>
          <w:sz w:val="24"/>
          <w:szCs w:val="24"/>
        </w:rPr>
        <w:t xml:space="preserve">përkatësisht në Kapitullin 8 – Politikat e Konkurrencës, përafrimi i legjislacionit vendor me </w:t>
      </w:r>
      <w:proofErr w:type="spellStart"/>
      <w:r w:rsidRPr="004979D2">
        <w:rPr>
          <w:rFonts w:ascii="Times New Roman" w:hAnsi="Times New Roman" w:cs="Times New Roman"/>
          <w:i/>
          <w:sz w:val="24"/>
          <w:szCs w:val="24"/>
        </w:rPr>
        <w:t>acquis</w:t>
      </w:r>
      <w:proofErr w:type="spellEnd"/>
      <w:r w:rsidRPr="004979D2">
        <w:rPr>
          <w:rFonts w:ascii="Times New Roman" w:hAnsi="Times New Roman" w:cs="Times New Roman"/>
          <w:i/>
          <w:sz w:val="24"/>
          <w:szCs w:val="24"/>
        </w:rPr>
        <w:t xml:space="preserve"> </w:t>
      </w:r>
      <w:r w:rsidRPr="004979D2">
        <w:rPr>
          <w:rFonts w:ascii="Times New Roman" w:hAnsi="Times New Roman" w:cs="Times New Roman"/>
          <w:sz w:val="24"/>
          <w:szCs w:val="24"/>
        </w:rPr>
        <w:t>të BE-së dhe krijimi i mekanizmave për monitorimin e tregut janë objektiva afatmesme që kontribuojnë në përmbushjen e nenit 74 dhe 75 të MSA-së.</w:t>
      </w:r>
      <w:r w:rsidRPr="004979D2">
        <w:rPr>
          <w:rStyle w:val="FootnoteReference"/>
          <w:rFonts w:ascii="Times New Roman" w:hAnsi="Times New Roman" w:cs="Times New Roman"/>
          <w:sz w:val="24"/>
          <w:szCs w:val="24"/>
        </w:rPr>
        <w:footnoteReference w:id="32"/>
      </w:r>
    </w:p>
    <w:p w14:paraId="2F9207C9" w14:textId="77777777" w:rsidR="001C0BEF" w:rsidRDefault="001C0BEF" w:rsidP="002B1BC6">
      <w:pPr>
        <w:spacing w:line="360" w:lineRule="auto"/>
        <w:jc w:val="both"/>
        <w:rPr>
          <w:rFonts w:ascii="Times New Roman" w:hAnsi="Times New Roman" w:cs="Times New Roman"/>
          <w:b/>
          <w:sz w:val="24"/>
          <w:szCs w:val="24"/>
          <w:u w:val="single"/>
        </w:rPr>
      </w:pPr>
    </w:p>
    <w:p w14:paraId="10416E6F" w14:textId="77777777" w:rsidR="001C0BEF" w:rsidRDefault="001C0BEF" w:rsidP="002B1BC6">
      <w:pPr>
        <w:spacing w:line="360" w:lineRule="auto"/>
        <w:jc w:val="both"/>
        <w:rPr>
          <w:rFonts w:ascii="Times New Roman" w:hAnsi="Times New Roman" w:cs="Times New Roman"/>
          <w:b/>
          <w:sz w:val="24"/>
          <w:szCs w:val="24"/>
          <w:u w:val="single"/>
        </w:rPr>
      </w:pPr>
    </w:p>
    <w:p w14:paraId="7D3A9F53" w14:textId="77777777" w:rsidR="00FB0CC3" w:rsidRPr="004979D2" w:rsidRDefault="00FB0CC3" w:rsidP="002B1BC6">
      <w:pPr>
        <w:spacing w:line="360" w:lineRule="auto"/>
        <w:jc w:val="both"/>
        <w:rPr>
          <w:rFonts w:ascii="Times New Roman" w:hAnsi="Times New Roman" w:cs="Times New Roman"/>
          <w:sz w:val="24"/>
          <w:szCs w:val="24"/>
          <w:u w:val="single"/>
        </w:rPr>
      </w:pPr>
      <w:r w:rsidRPr="004979D2">
        <w:rPr>
          <w:rFonts w:ascii="Times New Roman" w:hAnsi="Times New Roman" w:cs="Times New Roman"/>
          <w:b/>
          <w:sz w:val="24"/>
          <w:szCs w:val="24"/>
          <w:u w:val="single"/>
        </w:rPr>
        <w:lastRenderedPageBreak/>
        <w:t>Objektiva strategjike</w:t>
      </w:r>
      <w:r w:rsidRPr="004979D2">
        <w:rPr>
          <w:rFonts w:ascii="Times New Roman" w:hAnsi="Times New Roman" w:cs="Times New Roman"/>
          <w:sz w:val="24"/>
          <w:szCs w:val="24"/>
          <w:u w:val="single"/>
        </w:rPr>
        <w:t>:</w:t>
      </w:r>
    </w:p>
    <w:p w14:paraId="4CFF317B" w14:textId="77777777" w:rsidR="00FB0CC3" w:rsidRPr="004979D2" w:rsidRDefault="00FB0CC3" w:rsidP="002B1BC6">
      <w:pPr>
        <w:pStyle w:val="Caption"/>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Figure </w:t>
      </w:r>
      <w:r w:rsidR="00FF5F40" w:rsidRPr="004979D2">
        <w:rPr>
          <w:rFonts w:ascii="Times New Roman" w:hAnsi="Times New Roman" w:cs="Times New Roman"/>
          <w:sz w:val="24"/>
          <w:szCs w:val="24"/>
        </w:rPr>
        <w:t>8</w:t>
      </w:r>
      <w:r w:rsidRPr="004979D2">
        <w:rPr>
          <w:rFonts w:ascii="Times New Roman" w:hAnsi="Times New Roman" w:cs="Times New Roman"/>
          <w:sz w:val="24"/>
          <w:szCs w:val="24"/>
        </w:rPr>
        <w:t>: Objektivat relevante të Qeverisë</w:t>
      </w:r>
    </w:p>
    <w:tbl>
      <w:tblPr>
        <w:tblStyle w:val="TableGrid"/>
        <w:tblW w:w="0" w:type="auto"/>
        <w:tblLook w:val="04A0" w:firstRow="1" w:lastRow="0" w:firstColumn="1" w:lastColumn="0" w:noHBand="0" w:noVBand="1"/>
      </w:tblPr>
      <w:tblGrid>
        <w:gridCol w:w="5238"/>
        <w:gridCol w:w="4112"/>
      </w:tblGrid>
      <w:tr w:rsidR="00FB0CC3" w:rsidRPr="004979D2" w14:paraId="5962533D" w14:textId="77777777" w:rsidTr="00443C47">
        <w:trPr>
          <w:trHeight w:val="521"/>
        </w:trPr>
        <w:tc>
          <w:tcPr>
            <w:tcW w:w="5238" w:type="dxa"/>
          </w:tcPr>
          <w:p w14:paraId="751A1F1C" w14:textId="77777777" w:rsidR="00FB0CC3" w:rsidRPr="004979D2" w:rsidRDefault="00FB0CC3" w:rsidP="002B1BC6">
            <w:pPr>
              <w:spacing w:line="360" w:lineRule="auto"/>
              <w:rPr>
                <w:rFonts w:ascii="Times New Roman" w:hAnsi="Times New Roman" w:cs="Times New Roman"/>
                <w:sz w:val="24"/>
                <w:szCs w:val="24"/>
              </w:rPr>
            </w:pPr>
            <w:r w:rsidRPr="004979D2">
              <w:rPr>
                <w:rFonts w:ascii="Times New Roman" w:hAnsi="Times New Roman" w:cs="Times New Roman"/>
                <w:b/>
                <w:sz w:val="24"/>
                <w:szCs w:val="24"/>
              </w:rPr>
              <w:t>Objektivi relevant</w:t>
            </w:r>
            <w:r w:rsidRPr="004979D2">
              <w:rPr>
                <w:rStyle w:val="FootnoteReference"/>
                <w:rFonts w:ascii="Times New Roman" w:eastAsia="Calibri" w:hAnsi="Times New Roman" w:cs="Times New Roman"/>
                <w:sz w:val="24"/>
                <w:szCs w:val="24"/>
              </w:rPr>
              <w:footnoteReference w:id="33"/>
            </w:r>
            <w:r w:rsidRPr="004979D2">
              <w:rPr>
                <w:rFonts w:ascii="Times New Roman" w:eastAsia="Calibri" w:hAnsi="Times New Roman" w:cs="Times New Roman"/>
                <w:sz w:val="24"/>
                <w:szCs w:val="24"/>
              </w:rPr>
              <w:t xml:space="preserve"> </w:t>
            </w:r>
          </w:p>
        </w:tc>
        <w:tc>
          <w:tcPr>
            <w:tcW w:w="4112" w:type="dxa"/>
          </w:tcPr>
          <w:p w14:paraId="062876CD" w14:textId="77777777" w:rsidR="00FB0CC3" w:rsidRPr="004979D2" w:rsidRDefault="00FB0CC3"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Emri i dokumentit përkatës të planifikimit (burimi)</w:t>
            </w:r>
          </w:p>
        </w:tc>
      </w:tr>
      <w:tr w:rsidR="00FB0CC3" w:rsidRPr="004979D2" w14:paraId="5B1BC4D7" w14:textId="77777777" w:rsidTr="00443C47">
        <w:tc>
          <w:tcPr>
            <w:tcW w:w="5238" w:type="dxa"/>
          </w:tcPr>
          <w:p w14:paraId="2C2030EA" w14:textId="77777777" w:rsidR="00FB0CC3" w:rsidRPr="004979D2" w:rsidRDefault="00FB0CC3" w:rsidP="002B1BC6">
            <w:pPr>
              <w:spacing w:line="360" w:lineRule="auto"/>
              <w:rPr>
                <w:rFonts w:ascii="Times New Roman" w:hAnsi="Times New Roman" w:cs="Times New Roman"/>
                <w:sz w:val="24"/>
                <w:szCs w:val="24"/>
              </w:rPr>
            </w:pPr>
            <w:r w:rsidRPr="004979D2">
              <w:rPr>
                <w:rFonts w:ascii="Times New Roman" w:hAnsi="Times New Roman" w:cs="Times New Roman"/>
                <w:b/>
                <w:sz w:val="24"/>
                <w:szCs w:val="24"/>
              </w:rPr>
              <w:t xml:space="preserve">Strategjik – </w:t>
            </w:r>
            <w:r w:rsidRPr="004979D2">
              <w:rPr>
                <w:rFonts w:ascii="Times New Roman" w:hAnsi="Times New Roman" w:cs="Times New Roman"/>
                <w:sz w:val="24"/>
                <w:szCs w:val="24"/>
              </w:rPr>
              <w:t xml:space="preserve">Objektive strategjike </w:t>
            </w:r>
            <w:proofErr w:type="spellStart"/>
            <w:r w:rsidRPr="004979D2">
              <w:rPr>
                <w:rFonts w:ascii="Times New Roman" w:hAnsi="Times New Roman" w:cs="Times New Roman"/>
                <w:sz w:val="24"/>
                <w:szCs w:val="24"/>
              </w:rPr>
              <w:t>eshte</w:t>
            </w:r>
            <w:proofErr w:type="spellEnd"/>
            <w:r w:rsidRPr="004979D2">
              <w:rPr>
                <w:rFonts w:ascii="Times New Roman" w:hAnsi="Times New Roman" w:cs="Times New Roman"/>
                <w:sz w:val="24"/>
                <w:szCs w:val="24"/>
              </w:rPr>
              <w:t xml:space="preserve"> mbrojtja dhe inkurajimi i </w:t>
            </w:r>
            <w:proofErr w:type="spellStart"/>
            <w:r w:rsidRPr="004979D2">
              <w:rPr>
                <w:rFonts w:ascii="Times New Roman" w:hAnsi="Times New Roman" w:cs="Times New Roman"/>
                <w:sz w:val="24"/>
                <w:szCs w:val="24"/>
              </w:rPr>
              <w:t>konkurences</w:t>
            </w:r>
            <w:proofErr w:type="spellEnd"/>
            <w:r w:rsidRPr="004979D2">
              <w:rPr>
                <w:rFonts w:ascii="Times New Roman" w:hAnsi="Times New Roman" w:cs="Times New Roman"/>
                <w:sz w:val="24"/>
                <w:szCs w:val="24"/>
              </w:rPr>
              <w:t xml:space="preserve"> se lire si mjet i promovimit te </w:t>
            </w:r>
            <w:proofErr w:type="spellStart"/>
            <w:r w:rsidRPr="004979D2">
              <w:rPr>
                <w:rFonts w:ascii="Times New Roman" w:hAnsi="Times New Roman" w:cs="Times New Roman"/>
                <w:sz w:val="24"/>
                <w:szCs w:val="24"/>
              </w:rPr>
              <w:t>efiqences</w:t>
            </w:r>
            <w:proofErr w:type="spellEnd"/>
            <w:r w:rsidRPr="004979D2">
              <w:rPr>
                <w:rFonts w:ascii="Times New Roman" w:hAnsi="Times New Roman" w:cs="Times New Roman"/>
                <w:sz w:val="24"/>
                <w:szCs w:val="24"/>
              </w:rPr>
              <w:t xml:space="preserve"> ekonomike dhe </w:t>
            </w:r>
            <w:proofErr w:type="spellStart"/>
            <w:r w:rsidRPr="004979D2">
              <w:rPr>
                <w:rFonts w:ascii="Times New Roman" w:hAnsi="Times New Roman" w:cs="Times New Roman"/>
                <w:sz w:val="24"/>
                <w:szCs w:val="24"/>
              </w:rPr>
              <w:t>ritjes</w:t>
            </w:r>
            <w:proofErr w:type="spellEnd"/>
            <w:r w:rsidRPr="004979D2">
              <w:rPr>
                <w:rFonts w:ascii="Times New Roman" w:hAnsi="Times New Roman" w:cs="Times New Roman"/>
                <w:sz w:val="24"/>
                <w:szCs w:val="24"/>
              </w:rPr>
              <w:t xml:space="preserve"> se </w:t>
            </w:r>
            <w:proofErr w:type="spellStart"/>
            <w:r w:rsidRPr="004979D2">
              <w:rPr>
                <w:rFonts w:ascii="Times New Roman" w:hAnsi="Times New Roman" w:cs="Times New Roman"/>
                <w:sz w:val="24"/>
                <w:szCs w:val="24"/>
              </w:rPr>
              <w:t>mireqenjes</w:t>
            </w:r>
            <w:proofErr w:type="spellEnd"/>
            <w:r w:rsidRPr="004979D2">
              <w:rPr>
                <w:rFonts w:ascii="Times New Roman" w:hAnsi="Times New Roman" w:cs="Times New Roman"/>
                <w:sz w:val="24"/>
                <w:szCs w:val="24"/>
              </w:rPr>
              <w:t xml:space="preserve"> se konsumatorit.</w:t>
            </w:r>
          </w:p>
          <w:p w14:paraId="6A014E1B" w14:textId="77777777" w:rsidR="00FB0CC3" w:rsidRPr="004979D2" w:rsidRDefault="00FB0CC3" w:rsidP="002B1BC6">
            <w:pPr>
              <w:spacing w:line="360" w:lineRule="auto"/>
              <w:jc w:val="both"/>
              <w:rPr>
                <w:rFonts w:ascii="Times New Roman" w:hAnsi="Times New Roman" w:cs="Times New Roman"/>
                <w:b/>
                <w:sz w:val="24"/>
                <w:szCs w:val="24"/>
              </w:rPr>
            </w:pPr>
          </w:p>
        </w:tc>
        <w:tc>
          <w:tcPr>
            <w:tcW w:w="4112" w:type="dxa"/>
          </w:tcPr>
          <w:p w14:paraId="4F1E5E7D" w14:textId="77777777" w:rsidR="00FB0CC3" w:rsidRPr="004979D2" w:rsidRDefault="00FB0CC3"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SKZH; ARE; PKZMSA</w:t>
            </w:r>
          </w:p>
        </w:tc>
      </w:tr>
      <w:tr w:rsidR="00FB0CC3" w:rsidRPr="004979D2" w14:paraId="43E9FDCE" w14:textId="77777777" w:rsidTr="00443C47">
        <w:tc>
          <w:tcPr>
            <w:tcW w:w="5238" w:type="dxa"/>
          </w:tcPr>
          <w:p w14:paraId="535B475E" w14:textId="77777777" w:rsidR="00FB0CC3" w:rsidRPr="004979D2" w:rsidRDefault="00FB0CC3" w:rsidP="002B1BC6">
            <w:pPr>
              <w:spacing w:line="360" w:lineRule="auto"/>
              <w:jc w:val="both"/>
              <w:rPr>
                <w:rFonts w:ascii="Times New Roman" w:hAnsi="Times New Roman" w:cs="Times New Roman"/>
                <w:sz w:val="24"/>
                <w:szCs w:val="24"/>
              </w:rPr>
            </w:pPr>
            <w:r w:rsidRPr="004979D2">
              <w:rPr>
                <w:rFonts w:ascii="Times New Roman" w:hAnsi="Times New Roman" w:cs="Times New Roman"/>
                <w:b/>
                <w:sz w:val="24"/>
                <w:szCs w:val="24"/>
              </w:rPr>
              <w:t>Specifik</w:t>
            </w:r>
            <w:r w:rsidRPr="004979D2">
              <w:rPr>
                <w:rFonts w:ascii="Times New Roman" w:hAnsi="Times New Roman" w:cs="Times New Roman"/>
                <w:sz w:val="24"/>
                <w:szCs w:val="24"/>
              </w:rPr>
              <w:t xml:space="preserve"> – Deri në dhjetor të vitit 2020, infrastruktura ligjore që rregullon fushën e konkurrencës është e plotë, e qartë dhe e avancuar në raport me standardet e BE-së. </w:t>
            </w:r>
          </w:p>
        </w:tc>
        <w:tc>
          <w:tcPr>
            <w:tcW w:w="4112" w:type="dxa"/>
          </w:tcPr>
          <w:p w14:paraId="6FCDC420" w14:textId="77777777" w:rsidR="00FB0CC3" w:rsidRPr="004979D2" w:rsidRDefault="00FB0CC3"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ARE; PKZMSA </w:t>
            </w:r>
          </w:p>
        </w:tc>
      </w:tr>
      <w:tr w:rsidR="00FB0CC3" w:rsidRPr="004979D2" w14:paraId="6C4C6544" w14:textId="77777777" w:rsidTr="00443C47">
        <w:tc>
          <w:tcPr>
            <w:tcW w:w="5238" w:type="dxa"/>
          </w:tcPr>
          <w:p w14:paraId="02BA9D2F" w14:textId="77777777" w:rsidR="00FB0CC3" w:rsidRPr="004979D2" w:rsidRDefault="00FB0CC3" w:rsidP="002B1BC6">
            <w:pPr>
              <w:spacing w:line="360" w:lineRule="auto"/>
              <w:jc w:val="both"/>
              <w:rPr>
                <w:rFonts w:ascii="Times New Roman" w:eastAsia="Calibri" w:hAnsi="Times New Roman" w:cs="Times New Roman"/>
                <w:sz w:val="24"/>
                <w:szCs w:val="24"/>
              </w:rPr>
            </w:pPr>
            <w:r w:rsidRPr="004979D2">
              <w:rPr>
                <w:rFonts w:ascii="Times New Roman" w:hAnsi="Times New Roman" w:cs="Times New Roman"/>
                <w:b/>
                <w:sz w:val="24"/>
                <w:szCs w:val="24"/>
              </w:rPr>
              <w:t>Specifik</w:t>
            </w:r>
            <w:r w:rsidRPr="004979D2">
              <w:rPr>
                <w:rFonts w:ascii="Times New Roman" w:eastAsia="Calibri" w:hAnsi="Times New Roman" w:cs="Times New Roman"/>
                <w:sz w:val="24"/>
                <w:szCs w:val="24"/>
              </w:rPr>
              <w:t xml:space="preserve"> – Deri në vitin 2021, Autoriteti Kosovar i Konkurrencës dhe gjykatat kanë kapacitetet e nevojshme për realizimin efektiv dhe efikas të  detyrave dhe përgjegjësive që burojnë nga korniza ligjore për mbrojtjen e konkurrencës. </w:t>
            </w:r>
          </w:p>
        </w:tc>
        <w:tc>
          <w:tcPr>
            <w:tcW w:w="4112" w:type="dxa"/>
          </w:tcPr>
          <w:p w14:paraId="4C2CC347" w14:textId="77777777" w:rsidR="00FB0CC3" w:rsidRPr="004979D2" w:rsidRDefault="00FB0CC3"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SKZH; ARE; PKZMSA</w:t>
            </w:r>
          </w:p>
        </w:tc>
      </w:tr>
      <w:tr w:rsidR="00FB0CC3" w:rsidRPr="004979D2" w14:paraId="09F0DC16" w14:textId="77777777" w:rsidTr="00443C47">
        <w:tc>
          <w:tcPr>
            <w:tcW w:w="5238" w:type="dxa"/>
          </w:tcPr>
          <w:p w14:paraId="49D5D6D1" w14:textId="77777777" w:rsidR="00FB0CC3" w:rsidRPr="004979D2" w:rsidRDefault="00FB0CC3" w:rsidP="002B1BC6">
            <w:pPr>
              <w:spacing w:line="360" w:lineRule="auto"/>
              <w:jc w:val="both"/>
              <w:rPr>
                <w:rFonts w:ascii="Times New Roman" w:hAnsi="Times New Roman" w:cs="Times New Roman"/>
                <w:sz w:val="24"/>
                <w:szCs w:val="24"/>
              </w:rPr>
            </w:pPr>
            <w:r w:rsidRPr="004979D2">
              <w:rPr>
                <w:rFonts w:ascii="Times New Roman" w:hAnsi="Times New Roman" w:cs="Times New Roman"/>
                <w:b/>
                <w:sz w:val="24"/>
                <w:szCs w:val="24"/>
              </w:rPr>
              <w:t>Specifik</w:t>
            </w:r>
            <w:r w:rsidRPr="004979D2">
              <w:rPr>
                <w:rFonts w:ascii="Times New Roman" w:hAnsi="Times New Roman" w:cs="Times New Roman"/>
                <w:sz w:val="24"/>
                <w:szCs w:val="24"/>
              </w:rPr>
              <w:t xml:space="preserve"> – Deri në vitin 2023, niveli i </w:t>
            </w:r>
            <w:proofErr w:type="spellStart"/>
            <w:r w:rsidRPr="004979D2">
              <w:rPr>
                <w:rFonts w:ascii="Times New Roman" w:hAnsi="Times New Roman" w:cs="Times New Roman"/>
                <w:sz w:val="24"/>
                <w:szCs w:val="24"/>
              </w:rPr>
              <w:t>vetëdijësimit</w:t>
            </w:r>
            <w:proofErr w:type="spellEnd"/>
            <w:r w:rsidRPr="004979D2">
              <w:rPr>
                <w:rFonts w:ascii="Times New Roman" w:hAnsi="Times New Roman" w:cs="Times New Roman"/>
                <w:sz w:val="24"/>
                <w:szCs w:val="24"/>
              </w:rPr>
              <w:t xml:space="preserve"> të operatorëve ekonomik dhe palëve të tjera të interesit për rregullat e konkurrencës është më i lartë.  </w:t>
            </w:r>
          </w:p>
        </w:tc>
        <w:tc>
          <w:tcPr>
            <w:tcW w:w="4112" w:type="dxa"/>
          </w:tcPr>
          <w:p w14:paraId="2B9EE62B" w14:textId="77777777" w:rsidR="00FB0CC3" w:rsidRPr="004979D2" w:rsidRDefault="00FB0CC3"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Sipas këtij Koncept Dokumenti</w:t>
            </w:r>
          </w:p>
        </w:tc>
      </w:tr>
    </w:tbl>
    <w:p w14:paraId="7837F102" w14:textId="77777777" w:rsidR="0075339D" w:rsidRPr="004979D2" w:rsidRDefault="00BC0DBE" w:rsidP="002B1BC6">
      <w:pPr>
        <w:pStyle w:val="Heading1"/>
        <w:spacing w:line="360" w:lineRule="auto"/>
        <w:rPr>
          <w:rFonts w:ascii="Times New Roman" w:hAnsi="Times New Roman" w:cs="Times New Roman"/>
          <w:b/>
          <w:sz w:val="24"/>
          <w:szCs w:val="24"/>
        </w:rPr>
      </w:pPr>
      <w:bookmarkStart w:id="41" w:name="_Toc1114325"/>
      <w:r w:rsidRPr="004979D2">
        <w:rPr>
          <w:rFonts w:ascii="Times New Roman" w:hAnsi="Times New Roman" w:cs="Times New Roman"/>
          <w:b/>
          <w:sz w:val="24"/>
          <w:szCs w:val="24"/>
        </w:rPr>
        <w:t>KAPITULLI 3: OPSIONET</w:t>
      </w:r>
      <w:bookmarkEnd w:id="41"/>
      <w:r w:rsidRPr="004979D2">
        <w:rPr>
          <w:rFonts w:ascii="Times New Roman" w:hAnsi="Times New Roman" w:cs="Times New Roman"/>
          <w:b/>
          <w:sz w:val="24"/>
          <w:szCs w:val="24"/>
        </w:rPr>
        <w:t xml:space="preserve"> </w:t>
      </w:r>
    </w:p>
    <w:p w14:paraId="289BAB37" w14:textId="5B326BDC" w:rsidR="007136DD" w:rsidRPr="004979D2" w:rsidRDefault="00BB2D6C" w:rsidP="002B1BC6">
      <w:pPr>
        <w:spacing w:line="360" w:lineRule="auto"/>
        <w:jc w:val="both"/>
        <w:rPr>
          <w:rFonts w:ascii="Times New Roman" w:hAnsi="Times New Roman" w:cs="Times New Roman"/>
          <w:sz w:val="24"/>
          <w:szCs w:val="24"/>
        </w:rPr>
      </w:pPr>
      <w:r w:rsidRPr="004979D2">
        <w:rPr>
          <w:rFonts w:ascii="Times New Roman" w:eastAsia="MS Mincho" w:hAnsi="Times New Roman" w:cs="Times New Roman"/>
          <w:sz w:val="24"/>
          <w:szCs w:val="24"/>
        </w:rPr>
        <w:t>Grupi Punues për hartimin e Koncept Dokumentit  n</w:t>
      </w:r>
      <w:r w:rsidR="00904A36" w:rsidRPr="004979D2">
        <w:rPr>
          <w:rFonts w:ascii="Times New Roman" w:eastAsia="MS Mincho" w:hAnsi="Times New Roman" w:cs="Times New Roman"/>
          <w:sz w:val="24"/>
          <w:szCs w:val="24"/>
        </w:rPr>
        <w:t>ë</w:t>
      </w:r>
      <w:r w:rsidRPr="004979D2">
        <w:rPr>
          <w:rFonts w:ascii="Times New Roman" w:eastAsia="MS Mincho" w:hAnsi="Times New Roman" w:cs="Times New Roman"/>
          <w:sz w:val="24"/>
          <w:szCs w:val="24"/>
        </w:rPr>
        <w:t xml:space="preserve">  </w:t>
      </w:r>
      <w:r w:rsidR="001C7171" w:rsidRPr="004979D2">
        <w:rPr>
          <w:rFonts w:ascii="Times New Roman" w:eastAsia="MS Mincho" w:hAnsi="Times New Roman" w:cs="Times New Roman"/>
          <w:sz w:val="24"/>
          <w:szCs w:val="24"/>
        </w:rPr>
        <w:t>F</w:t>
      </w:r>
      <w:r w:rsidRPr="004979D2">
        <w:rPr>
          <w:rFonts w:ascii="Times New Roman" w:eastAsia="MS Mincho" w:hAnsi="Times New Roman" w:cs="Times New Roman"/>
          <w:sz w:val="24"/>
          <w:szCs w:val="24"/>
        </w:rPr>
        <w:t xml:space="preserve">ushën e </w:t>
      </w:r>
      <w:r w:rsidR="001C7171" w:rsidRPr="004979D2">
        <w:rPr>
          <w:rFonts w:ascii="Times New Roman" w:eastAsia="MS Mincho" w:hAnsi="Times New Roman" w:cs="Times New Roman"/>
          <w:sz w:val="24"/>
          <w:szCs w:val="24"/>
        </w:rPr>
        <w:t>K</w:t>
      </w:r>
      <w:r w:rsidRPr="004979D2">
        <w:rPr>
          <w:rFonts w:ascii="Times New Roman" w:eastAsia="MS Mincho" w:hAnsi="Times New Roman" w:cs="Times New Roman"/>
          <w:sz w:val="24"/>
          <w:szCs w:val="24"/>
        </w:rPr>
        <w:t xml:space="preserve">onkurrencës ka shqyrtuar tri opsione për adresimin e </w:t>
      </w:r>
      <w:r w:rsidR="00F8655F" w:rsidRPr="004979D2">
        <w:rPr>
          <w:rFonts w:ascii="Times New Roman" w:eastAsia="MS Mincho" w:hAnsi="Times New Roman" w:cs="Times New Roman"/>
          <w:sz w:val="24"/>
          <w:szCs w:val="24"/>
        </w:rPr>
        <w:t>p</w:t>
      </w:r>
      <w:r w:rsidRPr="004979D2">
        <w:rPr>
          <w:rFonts w:ascii="Times New Roman" w:eastAsia="MS Mincho" w:hAnsi="Times New Roman" w:cs="Times New Roman"/>
          <w:sz w:val="24"/>
          <w:szCs w:val="24"/>
        </w:rPr>
        <w:t xml:space="preserve">roblemit </w:t>
      </w:r>
      <w:r w:rsidR="00F8655F" w:rsidRPr="004979D2">
        <w:rPr>
          <w:rFonts w:ascii="Times New Roman" w:eastAsia="MS Mincho" w:hAnsi="Times New Roman" w:cs="Times New Roman"/>
          <w:sz w:val="24"/>
          <w:szCs w:val="24"/>
        </w:rPr>
        <w:t>k</w:t>
      </w:r>
      <w:r w:rsidRPr="004979D2">
        <w:rPr>
          <w:rFonts w:ascii="Times New Roman" w:eastAsia="MS Mincho" w:hAnsi="Times New Roman" w:cs="Times New Roman"/>
          <w:sz w:val="24"/>
          <w:szCs w:val="24"/>
        </w:rPr>
        <w:t xml:space="preserve">ryesor. </w:t>
      </w:r>
      <w:r w:rsidR="00942339" w:rsidRPr="004979D2">
        <w:rPr>
          <w:rFonts w:ascii="Times New Roman" w:eastAsia="MS Mincho" w:hAnsi="Times New Roman" w:cs="Times New Roman"/>
          <w:sz w:val="24"/>
          <w:szCs w:val="24"/>
        </w:rPr>
        <w:t xml:space="preserve">Për dy </w:t>
      </w:r>
      <w:r w:rsidR="001C7171" w:rsidRPr="004979D2">
        <w:rPr>
          <w:rFonts w:ascii="Times New Roman" w:eastAsia="MS Mincho" w:hAnsi="Times New Roman" w:cs="Times New Roman"/>
          <w:sz w:val="24"/>
          <w:szCs w:val="24"/>
        </w:rPr>
        <w:t xml:space="preserve">nga </w:t>
      </w:r>
      <w:r w:rsidRPr="004979D2">
        <w:rPr>
          <w:rFonts w:ascii="Times New Roman" w:eastAsia="MS Mincho" w:hAnsi="Times New Roman" w:cs="Times New Roman"/>
          <w:sz w:val="24"/>
          <w:szCs w:val="24"/>
        </w:rPr>
        <w:t>opsionet e shqyrtuara, opsioni</w:t>
      </w:r>
      <w:r w:rsidR="00942339" w:rsidRPr="004979D2">
        <w:rPr>
          <w:rFonts w:ascii="Times New Roman" w:eastAsia="MS Mincho" w:hAnsi="Times New Roman" w:cs="Times New Roman"/>
          <w:sz w:val="24"/>
          <w:szCs w:val="24"/>
        </w:rPr>
        <w:t>n e</w:t>
      </w:r>
      <w:r w:rsidR="002728B4" w:rsidRPr="004979D2">
        <w:rPr>
          <w:rFonts w:ascii="Times New Roman" w:eastAsia="MS Mincho" w:hAnsi="Times New Roman" w:cs="Times New Roman"/>
          <w:sz w:val="24"/>
          <w:szCs w:val="24"/>
        </w:rPr>
        <w:t xml:space="preserve"> par</w:t>
      </w:r>
      <w:r w:rsidR="00AD26F8" w:rsidRPr="004979D2">
        <w:rPr>
          <w:rFonts w:ascii="Times New Roman" w:eastAsia="MS Mincho" w:hAnsi="Times New Roman" w:cs="Times New Roman"/>
          <w:sz w:val="24"/>
          <w:szCs w:val="24"/>
        </w:rPr>
        <w:t>ë</w:t>
      </w:r>
      <w:r w:rsidR="00942339" w:rsidRPr="004979D2">
        <w:rPr>
          <w:rFonts w:ascii="Times New Roman" w:eastAsia="MS Mincho" w:hAnsi="Times New Roman" w:cs="Times New Roman"/>
          <w:sz w:val="24"/>
          <w:szCs w:val="24"/>
        </w:rPr>
        <w:t xml:space="preserve"> (1)</w:t>
      </w:r>
      <w:r w:rsidRPr="004979D2">
        <w:rPr>
          <w:rFonts w:ascii="Times New Roman" w:eastAsia="MS Mincho" w:hAnsi="Times New Roman" w:cs="Times New Roman"/>
          <w:sz w:val="24"/>
          <w:szCs w:val="24"/>
        </w:rPr>
        <w:t xml:space="preserve"> </w:t>
      </w:r>
      <w:r w:rsidR="001C7171" w:rsidRPr="004979D2">
        <w:rPr>
          <w:rFonts w:ascii="Times New Roman" w:eastAsia="MS Mincho" w:hAnsi="Times New Roman" w:cs="Times New Roman"/>
          <w:sz w:val="24"/>
          <w:szCs w:val="24"/>
        </w:rPr>
        <w:t>“</w:t>
      </w:r>
      <w:r w:rsidR="00525572" w:rsidRPr="004979D2">
        <w:rPr>
          <w:rFonts w:ascii="Times New Roman" w:eastAsia="MS Mincho" w:hAnsi="Times New Roman" w:cs="Times New Roman"/>
          <w:b/>
          <w:sz w:val="24"/>
          <w:szCs w:val="24"/>
        </w:rPr>
        <w:t>A</w:t>
      </w:r>
      <w:r w:rsidRPr="004979D2">
        <w:rPr>
          <w:rFonts w:ascii="Times New Roman" w:eastAsia="MS Mincho" w:hAnsi="Times New Roman" w:cs="Times New Roman"/>
          <w:b/>
          <w:sz w:val="24"/>
          <w:szCs w:val="24"/>
        </w:rPr>
        <w:t xml:space="preserve">snjë </w:t>
      </w:r>
      <w:r w:rsidR="00AD26F8" w:rsidRPr="004979D2">
        <w:rPr>
          <w:rFonts w:ascii="Times New Roman" w:eastAsia="MS Mincho" w:hAnsi="Times New Roman" w:cs="Times New Roman"/>
          <w:b/>
          <w:sz w:val="24"/>
          <w:szCs w:val="24"/>
        </w:rPr>
        <w:t>n</w:t>
      </w:r>
      <w:r w:rsidRPr="004979D2">
        <w:rPr>
          <w:rFonts w:ascii="Times New Roman" w:eastAsia="MS Mincho" w:hAnsi="Times New Roman" w:cs="Times New Roman"/>
          <w:b/>
          <w:sz w:val="24"/>
          <w:szCs w:val="24"/>
        </w:rPr>
        <w:t>dryshim</w:t>
      </w:r>
      <w:r w:rsidR="001C7171" w:rsidRPr="004979D2">
        <w:rPr>
          <w:rFonts w:ascii="Times New Roman" w:eastAsia="MS Mincho" w:hAnsi="Times New Roman" w:cs="Times New Roman"/>
          <w:sz w:val="24"/>
          <w:szCs w:val="24"/>
        </w:rPr>
        <w:t>”</w:t>
      </w:r>
      <w:r w:rsidRPr="004979D2">
        <w:rPr>
          <w:rFonts w:ascii="Times New Roman" w:eastAsia="MS Mincho" w:hAnsi="Times New Roman" w:cs="Times New Roman"/>
          <w:sz w:val="24"/>
          <w:szCs w:val="24"/>
        </w:rPr>
        <w:t xml:space="preserve"> dhe</w:t>
      </w:r>
      <w:r w:rsidR="002728B4" w:rsidRPr="004979D2">
        <w:rPr>
          <w:rFonts w:ascii="Times New Roman" w:eastAsia="MS Mincho" w:hAnsi="Times New Roman" w:cs="Times New Roman"/>
          <w:sz w:val="24"/>
          <w:szCs w:val="24"/>
        </w:rPr>
        <w:t xml:space="preserve">  opsioni</w:t>
      </w:r>
      <w:r w:rsidR="00942339" w:rsidRPr="004979D2">
        <w:rPr>
          <w:rFonts w:ascii="Times New Roman" w:eastAsia="MS Mincho" w:hAnsi="Times New Roman" w:cs="Times New Roman"/>
          <w:sz w:val="24"/>
          <w:szCs w:val="24"/>
        </w:rPr>
        <w:t>n</w:t>
      </w:r>
      <w:r w:rsidR="002728B4" w:rsidRPr="004979D2">
        <w:rPr>
          <w:rFonts w:ascii="Times New Roman" w:eastAsia="MS Mincho" w:hAnsi="Times New Roman" w:cs="Times New Roman"/>
          <w:sz w:val="24"/>
          <w:szCs w:val="24"/>
        </w:rPr>
        <w:t xml:space="preserve"> </w:t>
      </w:r>
      <w:r w:rsidR="00942339" w:rsidRPr="004979D2">
        <w:rPr>
          <w:rFonts w:ascii="Times New Roman" w:eastAsia="MS Mincho" w:hAnsi="Times New Roman" w:cs="Times New Roman"/>
          <w:sz w:val="24"/>
          <w:szCs w:val="24"/>
        </w:rPr>
        <w:t xml:space="preserve">e </w:t>
      </w:r>
      <w:r w:rsidR="002728B4" w:rsidRPr="004979D2">
        <w:rPr>
          <w:rFonts w:ascii="Times New Roman" w:eastAsia="MS Mincho" w:hAnsi="Times New Roman" w:cs="Times New Roman"/>
          <w:sz w:val="24"/>
          <w:szCs w:val="24"/>
        </w:rPr>
        <w:t>tret</w:t>
      </w:r>
      <w:r w:rsidR="00904A36" w:rsidRPr="004979D2">
        <w:rPr>
          <w:rFonts w:ascii="Times New Roman" w:eastAsia="MS Mincho" w:hAnsi="Times New Roman" w:cs="Times New Roman"/>
          <w:sz w:val="24"/>
          <w:szCs w:val="24"/>
        </w:rPr>
        <w:t>ë</w:t>
      </w:r>
      <w:r w:rsidRPr="004979D2">
        <w:rPr>
          <w:rFonts w:ascii="Times New Roman" w:eastAsia="MS Mincho" w:hAnsi="Times New Roman" w:cs="Times New Roman"/>
          <w:sz w:val="24"/>
          <w:szCs w:val="24"/>
        </w:rPr>
        <w:t xml:space="preserve"> </w:t>
      </w:r>
      <w:r w:rsidR="00942339" w:rsidRPr="004979D2">
        <w:rPr>
          <w:rFonts w:ascii="Times New Roman" w:eastAsia="MS Mincho" w:hAnsi="Times New Roman" w:cs="Times New Roman"/>
          <w:sz w:val="24"/>
          <w:szCs w:val="24"/>
        </w:rPr>
        <w:t xml:space="preserve">(3) </w:t>
      </w:r>
      <w:r w:rsidR="001C7171" w:rsidRPr="004979D2">
        <w:rPr>
          <w:rFonts w:ascii="Times New Roman" w:eastAsia="MS Mincho" w:hAnsi="Times New Roman" w:cs="Times New Roman"/>
          <w:sz w:val="24"/>
          <w:szCs w:val="24"/>
        </w:rPr>
        <w:t>“</w:t>
      </w:r>
      <w:r w:rsidR="00525572" w:rsidRPr="004979D2">
        <w:rPr>
          <w:rFonts w:ascii="Times New Roman" w:eastAsia="MS Mincho" w:hAnsi="Times New Roman" w:cs="Times New Roman"/>
          <w:b/>
          <w:sz w:val="24"/>
          <w:szCs w:val="24"/>
        </w:rPr>
        <w:t xml:space="preserve">Trajnime dhe </w:t>
      </w:r>
      <w:r w:rsidR="00AD26F8" w:rsidRPr="004979D2">
        <w:rPr>
          <w:rFonts w:ascii="Times New Roman" w:eastAsia="MS Mincho" w:hAnsi="Times New Roman" w:cs="Times New Roman"/>
          <w:b/>
          <w:sz w:val="24"/>
          <w:szCs w:val="24"/>
        </w:rPr>
        <w:t>n</w:t>
      </w:r>
      <w:r w:rsidR="00525572" w:rsidRPr="004979D2">
        <w:rPr>
          <w:rFonts w:ascii="Times New Roman" w:eastAsia="MS Mincho" w:hAnsi="Times New Roman" w:cs="Times New Roman"/>
          <w:b/>
          <w:sz w:val="24"/>
          <w:szCs w:val="24"/>
        </w:rPr>
        <w:t>gritje kapaciteteve t</w:t>
      </w:r>
      <w:r w:rsidR="00AD00F1" w:rsidRPr="004979D2">
        <w:rPr>
          <w:rFonts w:ascii="Times New Roman" w:eastAsia="MS Mincho" w:hAnsi="Times New Roman" w:cs="Times New Roman"/>
          <w:b/>
          <w:sz w:val="24"/>
          <w:szCs w:val="24"/>
        </w:rPr>
        <w:t>ë</w:t>
      </w:r>
      <w:r w:rsidR="00525572" w:rsidRPr="004979D2">
        <w:rPr>
          <w:rFonts w:ascii="Times New Roman" w:eastAsia="MS Mincho" w:hAnsi="Times New Roman" w:cs="Times New Roman"/>
          <w:b/>
          <w:sz w:val="24"/>
          <w:szCs w:val="24"/>
        </w:rPr>
        <w:t xml:space="preserve"> AKK</w:t>
      </w:r>
      <w:r w:rsidR="00AD00F1" w:rsidRPr="004979D2">
        <w:rPr>
          <w:rFonts w:ascii="Times New Roman" w:eastAsia="MS Mincho" w:hAnsi="Times New Roman" w:cs="Times New Roman"/>
          <w:b/>
          <w:sz w:val="24"/>
          <w:szCs w:val="24"/>
        </w:rPr>
        <w:t>-së</w:t>
      </w:r>
      <w:r w:rsidR="001C7171" w:rsidRPr="004979D2">
        <w:rPr>
          <w:rFonts w:ascii="Times New Roman" w:eastAsia="MS Mincho" w:hAnsi="Times New Roman" w:cs="Times New Roman"/>
          <w:sz w:val="24"/>
          <w:szCs w:val="24"/>
        </w:rPr>
        <w:t>”</w:t>
      </w:r>
      <w:r w:rsidRPr="004979D2">
        <w:rPr>
          <w:rFonts w:ascii="Times New Roman" w:eastAsia="MS Mincho" w:hAnsi="Times New Roman" w:cs="Times New Roman"/>
          <w:sz w:val="24"/>
          <w:szCs w:val="24"/>
        </w:rPr>
        <w:t xml:space="preserve">, </w:t>
      </w:r>
      <w:r w:rsidR="00942339" w:rsidRPr="004979D2">
        <w:rPr>
          <w:rFonts w:ascii="Times New Roman" w:eastAsia="MS Mincho" w:hAnsi="Times New Roman" w:cs="Times New Roman"/>
          <w:sz w:val="24"/>
          <w:szCs w:val="24"/>
        </w:rPr>
        <w:t>është</w:t>
      </w:r>
      <w:r w:rsidRPr="004979D2">
        <w:rPr>
          <w:rFonts w:ascii="Times New Roman" w:eastAsia="MS Mincho" w:hAnsi="Times New Roman" w:cs="Times New Roman"/>
          <w:sz w:val="24"/>
          <w:szCs w:val="24"/>
        </w:rPr>
        <w:t xml:space="preserve"> </w:t>
      </w:r>
      <w:proofErr w:type="spellStart"/>
      <w:r w:rsidRPr="004979D2">
        <w:rPr>
          <w:rFonts w:ascii="Times New Roman" w:eastAsia="MS Mincho" w:hAnsi="Times New Roman" w:cs="Times New Roman"/>
          <w:sz w:val="24"/>
          <w:szCs w:val="24"/>
        </w:rPr>
        <w:t>konkludua</w:t>
      </w:r>
      <w:r w:rsidR="00942339" w:rsidRPr="004979D2">
        <w:rPr>
          <w:rFonts w:ascii="Times New Roman" w:eastAsia="MS Mincho" w:hAnsi="Times New Roman" w:cs="Times New Roman"/>
          <w:sz w:val="24"/>
          <w:szCs w:val="24"/>
        </w:rPr>
        <w:t>r</w:t>
      </w:r>
      <w:proofErr w:type="spellEnd"/>
      <w:r w:rsidRPr="004979D2">
        <w:rPr>
          <w:rFonts w:ascii="Times New Roman" w:eastAsia="MS Mincho" w:hAnsi="Times New Roman" w:cs="Times New Roman"/>
          <w:sz w:val="24"/>
          <w:szCs w:val="24"/>
        </w:rPr>
        <w:t xml:space="preserve"> që nuk janë të mjaftueshme për adresimin e problem</w:t>
      </w:r>
      <w:r w:rsidR="00525572" w:rsidRPr="004979D2">
        <w:rPr>
          <w:rFonts w:ascii="Times New Roman" w:eastAsia="MS Mincho" w:hAnsi="Times New Roman" w:cs="Times New Roman"/>
          <w:sz w:val="24"/>
          <w:szCs w:val="24"/>
        </w:rPr>
        <w:t>it</w:t>
      </w:r>
      <w:r w:rsidRPr="004979D2">
        <w:rPr>
          <w:rFonts w:ascii="Times New Roman" w:eastAsia="MS Mincho" w:hAnsi="Times New Roman" w:cs="Times New Roman"/>
          <w:sz w:val="24"/>
          <w:szCs w:val="24"/>
        </w:rPr>
        <w:t xml:space="preserve"> të identifikuar në këtë Koncept Dokument. Opsioni i vetëm që adreson Problemin Kryesor është opsioni i</w:t>
      </w:r>
      <w:r w:rsidR="00525572" w:rsidRPr="004979D2">
        <w:rPr>
          <w:rFonts w:ascii="Times New Roman" w:eastAsia="MS Mincho" w:hAnsi="Times New Roman" w:cs="Times New Roman"/>
          <w:sz w:val="24"/>
          <w:szCs w:val="24"/>
        </w:rPr>
        <w:t xml:space="preserve"> dyt</w:t>
      </w:r>
      <w:r w:rsidR="00AD26F8" w:rsidRPr="004979D2">
        <w:rPr>
          <w:rFonts w:ascii="Times New Roman" w:eastAsia="MS Mincho" w:hAnsi="Times New Roman" w:cs="Times New Roman"/>
          <w:sz w:val="24"/>
          <w:szCs w:val="24"/>
        </w:rPr>
        <w:t>ë</w:t>
      </w:r>
      <w:r w:rsidR="00525572" w:rsidRPr="004979D2">
        <w:rPr>
          <w:rFonts w:ascii="Times New Roman" w:eastAsia="MS Mincho" w:hAnsi="Times New Roman" w:cs="Times New Roman"/>
          <w:sz w:val="24"/>
          <w:szCs w:val="24"/>
        </w:rPr>
        <w:t xml:space="preserve"> </w:t>
      </w:r>
      <w:r w:rsidR="00525572" w:rsidRPr="004979D2">
        <w:rPr>
          <w:rFonts w:ascii="Times New Roman" w:eastAsia="MS Mincho" w:hAnsi="Times New Roman" w:cs="Times New Roman"/>
          <w:sz w:val="24"/>
          <w:szCs w:val="24"/>
        </w:rPr>
        <w:lastRenderedPageBreak/>
        <w:t>“</w:t>
      </w:r>
      <w:r w:rsidR="00942339" w:rsidRPr="004979D2">
        <w:rPr>
          <w:rFonts w:ascii="Times New Roman" w:eastAsia="MS Mincho" w:hAnsi="Times New Roman" w:cs="Times New Roman"/>
          <w:b/>
          <w:sz w:val="24"/>
          <w:szCs w:val="24"/>
        </w:rPr>
        <w:t>Hartimi i ligjit të ri për mbrojtjen e Konkurrencës.</w:t>
      </w:r>
      <w:r w:rsidR="00525572" w:rsidRPr="004979D2">
        <w:rPr>
          <w:rFonts w:ascii="Times New Roman" w:eastAsia="MS Mincho" w:hAnsi="Times New Roman" w:cs="Times New Roman"/>
          <w:b/>
          <w:sz w:val="24"/>
          <w:szCs w:val="24"/>
        </w:rPr>
        <w:t>”</w:t>
      </w:r>
      <w:r w:rsidRPr="004979D2">
        <w:rPr>
          <w:rFonts w:ascii="Times New Roman" w:eastAsia="MS Mincho" w:hAnsi="Times New Roman" w:cs="Times New Roman"/>
          <w:sz w:val="24"/>
          <w:szCs w:val="24"/>
        </w:rPr>
        <w:t xml:space="preserve"> </w:t>
      </w:r>
      <w:r w:rsidR="00FC3BC5" w:rsidRPr="004979D2">
        <w:rPr>
          <w:rFonts w:ascii="Times New Roman" w:eastAsia="MS Mincho" w:hAnsi="Times New Roman" w:cs="Times New Roman"/>
          <w:sz w:val="24"/>
          <w:szCs w:val="24"/>
        </w:rPr>
        <w:t xml:space="preserve">Sa i përket krahasimit të Kosovës me vendet e rajonit dhe ato të Bashkimit Evropian në fushën e Konkurrencës, ekzistojnë dallime që </w:t>
      </w:r>
      <w:r w:rsidR="00AD26F8" w:rsidRPr="004979D2">
        <w:rPr>
          <w:rFonts w:ascii="Times New Roman" w:eastAsia="MS Mincho" w:hAnsi="Times New Roman" w:cs="Times New Roman"/>
          <w:sz w:val="24"/>
          <w:szCs w:val="24"/>
        </w:rPr>
        <w:t xml:space="preserve">kanë </w:t>
      </w:r>
      <w:r w:rsidR="00FC3BC5" w:rsidRPr="004979D2">
        <w:rPr>
          <w:rFonts w:ascii="Times New Roman" w:eastAsia="MS Mincho" w:hAnsi="Times New Roman" w:cs="Times New Roman"/>
          <w:sz w:val="24"/>
          <w:szCs w:val="24"/>
        </w:rPr>
        <w:t>të bëjnë kryesisht me nivelin e përafrimit me legjislacionin e BE-së. Megjithatë</w:t>
      </w:r>
      <w:r w:rsidR="00AD26F8" w:rsidRPr="004979D2">
        <w:rPr>
          <w:rFonts w:ascii="Times New Roman" w:eastAsia="MS Mincho" w:hAnsi="Times New Roman" w:cs="Times New Roman"/>
          <w:sz w:val="24"/>
          <w:szCs w:val="24"/>
        </w:rPr>
        <w:t>,</w:t>
      </w:r>
      <w:r w:rsidR="00FC3BC5" w:rsidRPr="004979D2">
        <w:rPr>
          <w:rFonts w:ascii="Times New Roman" w:eastAsia="MS Mincho" w:hAnsi="Times New Roman" w:cs="Times New Roman"/>
          <w:sz w:val="24"/>
          <w:szCs w:val="24"/>
        </w:rPr>
        <w:t xml:space="preserve"> një nga pikat kryesore për të cilat mund të vërehet një dallim i theksuar ka të bëjë me pragun e përcaktimit të pozitës dominuese. Me  Ligjin  nr. 03/l-229 për mbrojtjen e konkurrencës pozita dominuese ka qene 40%, ndërsa me </w:t>
      </w:r>
      <w:r w:rsidR="00B675A8" w:rsidRPr="004979D2">
        <w:rPr>
          <w:rFonts w:ascii="Times New Roman" w:eastAsia="MS Mincho" w:hAnsi="Times New Roman" w:cs="Times New Roman"/>
          <w:sz w:val="24"/>
          <w:szCs w:val="24"/>
        </w:rPr>
        <w:t>Ligjin nr. 04/L-226 për plotësim ndryshimin e Ligjit nr. 03/L-229</w:t>
      </w:r>
      <w:r w:rsidR="00FC3BC5" w:rsidRPr="004979D2">
        <w:rPr>
          <w:rFonts w:ascii="Times New Roman" w:eastAsia="MS Mincho" w:hAnsi="Times New Roman" w:cs="Times New Roman"/>
          <w:sz w:val="24"/>
          <w:szCs w:val="24"/>
        </w:rPr>
        <w:t xml:space="preserve"> ky prag është vendosur që të jetë 25%. Duke ju referuar eksperiencave rajonale ku përfshihen shtete si Maqedonia, Shqipëria, Kroacia, dhe Mali i Zi si dhe t</w:t>
      </w:r>
      <w:r w:rsidR="00AD26F8" w:rsidRPr="004979D2">
        <w:rPr>
          <w:rFonts w:ascii="Times New Roman" w:eastAsia="MS Mincho" w:hAnsi="Times New Roman" w:cs="Times New Roman"/>
          <w:sz w:val="24"/>
          <w:szCs w:val="24"/>
        </w:rPr>
        <w:t>ë</w:t>
      </w:r>
      <w:r w:rsidR="00FC3BC5" w:rsidRPr="004979D2">
        <w:rPr>
          <w:rFonts w:ascii="Times New Roman" w:eastAsia="MS Mincho" w:hAnsi="Times New Roman" w:cs="Times New Roman"/>
          <w:sz w:val="24"/>
          <w:szCs w:val="24"/>
        </w:rPr>
        <w:t xml:space="preserve"> </w:t>
      </w:r>
      <w:r w:rsidR="00B675A8" w:rsidRPr="004979D2">
        <w:rPr>
          <w:rFonts w:ascii="Times New Roman" w:eastAsia="MS Mincho" w:hAnsi="Times New Roman" w:cs="Times New Roman"/>
          <w:sz w:val="24"/>
          <w:szCs w:val="24"/>
        </w:rPr>
        <w:t xml:space="preserve">praktikave gjyqësore në nivel </w:t>
      </w:r>
      <w:r w:rsidR="00FC3BC5" w:rsidRPr="004979D2">
        <w:rPr>
          <w:rFonts w:ascii="Times New Roman" w:eastAsia="MS Mincho" w:hAnsi="Times New Roman" w:cs="Times New Roman"/>
          <w:sz w:val="24"/>
          <w:szCs w:val="24"/>
        </w:rPr>
        <w:t>të Bashkimit Evropian, pozita dominuese është në pragun 40%. Grupi punues e ka analizuar me kujdes këtë praktik</w:t>
      </w:r>
      <w:r w:rsidR="00AD26F8" w:rsidRPr="004979D2">
        <w:rPr>
          <w:rFonts w:ascii="Times New Roman" w:eastAsia="MS Mincho" w:hAnsi="Times New Roman" w:cs="Times New Roman"/>
          <w:sz w:val="24"/>
          <w:szCs w:val="24"/>
        </w:rPr>
        <w:t>ë</w:t>
      </w:r>
      <w:r w:rsidR="00FC3BC5" w:rsidRPr="004979D2">
        <w:rPr>
          <w:rFonts w:ascii="Times New Roman" w:eastAsia="MS Mincho" w:hAnsi="Times New Roman" w:cs="Times New Roman"/>
          <w:sz w:val="24"/>
          <w:szCs w:val="24"/>
        </w:rPr>
        <w:t xml:space="preserve"> në vendet e rajonit si dhe i është referuar legjislacionit të BE-së për ta përfshirë këtë çështje në analizën e koncept dokumenti</w:t>
      </w:r>
      <w:r w:rsidR="00AD26F8" w:rsidRPr="004979D2">
        <w:rPr>
          <w:rFonts w:ascii="Times New Roman" w:eastAsia="MS Mincho" w:hAnsi="Times New Roman" w:cs="Times New Roman"/>
          <w:sz w:val="24"/>
          <w:szCs w:val="24"/>
        </w:rPr>
        <w:t>t</w:t>
      </w:r>
      <w:r w:rsidR="00FC3BC5" w:rsidRPr="004979D2">
        <w:rPr>
          <w:rFonts w:ascii="Times New Roman" w:eastAsia="MS Mincho" w:hAnsi="Times New Roman" w:cs="Times New Roman"/>
          <w:sz w:val="24"/>
          <w:szCs w:val="24"/>
        </w:rPr>
        <w:t xml:space="preserve"> duke dhënë rekomandimin përkatës, </w:t>
      </w:r>
      <w:r w:rsidR="00B675A8" w:rsidRPr="004979D2">
        <w:rPr>
          <w:rFonts w:ascii="Times New Roman" w:eastAsia="MS Mincho" w:hAnsi="Times New Roman" w:cs="Times New Roman"/>
          <w:sz w:val="24"/>
          <w:szCs w:val="24"/>
        </w:rPr>
        <w:t xml:space="preserve">mirëpo </w:t>
      </w:r>
      <w:r w:rsidR="00FC3BC5" w:rsidRPr="004979D2">
        <w:rPr>
          <w:rFonts w:ascii="Times New Roman" w:eastAsia="MS Mincho" w:hAnsi="Times New Roman" w:cs="Times New Roman"/>
          <w:sz w:val="24"/>
          <w:szCs w:val="24"/>
        </w:rPr>
        <w:t xml:space="preserve">gjithmonë duke ju përshtatur nevojave dhe rrethanave të tregut të Republikës së Kosovës.  </w:t>
      </w:r>
    </w:p>
    <w:p w14:paraId="1B3714FA" w14:textId="57D04EDB" w:rsidR="00616EFF" w:rsidRPr="004979D2" w:rsidRDefault="00A46D67" w:rsidP="002B1BC6">
      <w:pPr>
        <w:pStyle w:val="Heading2"/>
        <w:spacing w:line="360" w:lineRule="auto"/>
        <w:rPr>
          <w:rFonts w:cs="Times New Roman"/>
          <w:szCs w:val="24"/>
        </w:rPr>
      </w:pPr>
      <w:bookmarkStart w:id="42" w:name="_Toc1114326"/>
      <w:r w:rsidRPr="004979D2">
        <w:rPr>
          <w:rFonts w:cs="Times New Roman"/>
          <w:szCs w:val="24"/>
        </w:rPr>
        <w:t xml:space="preserve">3.1 </w:t>
      </w:r>
      <w:r w:rsidR="00E32968" w:rsidRPr="004979D2">
        <w:rPr>
          <w:rFonts w:cs="Times New Roman"/>
          <w:szCs w:val="24"/>
        </w:rPr>
        <w:t xml:space="preserve">Opsioni </w:t>
      </w:r>
      <w:r w:rsidR="00AD26F8" w:rsidRPr="004979D2">
        <w:rPr>
          <w:rFonts w:cs="Times New Roman"/>
          <w:szCs w:val="24"/>
        </w:rPr>
        <w:t xml:space="preserve">1 – Asnjë </w:t>
      </w:r>
      <w:r w:rsidR="00E32968" w:rsidRPr="004979D2">
        <w:rPr>
          <w:rFonts w:cs="Times New Roman"/>
          <w:szCs w:val="24"/>
        </w:rPr>
        <w:t>ndryshim</w:t>
      </w:r>
      <w:bookmarkEnd w:id="42"/>
    </w:p>
    <w:p w14:paraId="61F21264" w14:textId="5835333B" w:rsidR="006E3E48" w:rsidRPr="004979D2" w:rsidRDefault="000767F8"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Opsioni asnjë ndryshim do t</w:t>
      </w:r>
      <w:r w:rsidR="00AD00F1" w:rsidRPr="004979D2">
        <w:rPr>
          <w:rFonts w:ascii="Times New Roman" w:hAnsi="Times New Roman" w:cs="Times New Roman"/>
          <w:sz w:val="24"/>
          <w:szCs w:val="24"/>
        </w:rPr>
        <w:t>ë</w:t>
      </w:r>
      <w:r w:rsidRPr="004979D2">
        <w:rPr>
          <w:rFonts w:ascii="Times New Roman" w:hAnsi="Times New Roman" w:cs="Times New Roman"/>
          <w:sz w:val="24"/>
          <w:szCs w:val="24"/>
        </w:rPr>
        <w:t xml:space="preserve"> ruante status </w:t>
      </w:r>
      <w:proofErr w:type="spellStart"/>
      <w:r w:rsidRPr="004979D2">
        <w:rPr>
          <w:rFonts w:ascii="Times New Roman" w:hAnsi="Times New Roman" w:cs="Times New Roman"/>
          <w:sz w:val="24"/>
          <w:szCs w:val="24"/>
        </w:rPr>
        <w:t>quon</w:t>
      </w:r>
      <w:proofErr w:type="spellEnd"/>
      <w:r w:rsidRPr="004979D2">
        <w:rPr>
          <w:rFonts w:ascii="Times New Roman" w:hAnsi="Times New Roman" w:cs="Times New Roman"/>
          <w:sz w:val="24"/>
          <w:szCs w:val="24"/>
        </w:rPr>
        <w:t xml:space="preserve"> dhe problemi ekzistues “</w:t>
      </w:r>
      <w:r w:rsidRPr="004979D2">
        <w:rPr>
          <w:rFonts w:ascii="Times New Roman" w:hAnsi="Times New Roman" w:cs="Times New Roman"/>
          <w:i/>
          <w:sz w:val="24"/>
          <w:szCs w:val="24"/>
        </w:rPr>
        <w:t>Vështirësi në funksionimin e lirë të tregut dhe mbrojtjen e konkurrencës”</w:t>
      </w:r>
      <w:r w:rsidRPr="004979D2">
        <w:rPr>
          <w:rFonts w:ascii="Times New Roman" w:hAnsi="Times New Roman" w:cs="Times New Roman"/>
          <w:sz w:val="24"/>
          <w:szCs w:val="24"/>
        </w:rPr>
        <w:t xml:space="preserve"> do t</w:t>
      </w:r>
      <w:r w:rsidR="00AD00F1" w:rsidRPr="004979D2">
        <w:rPr>
          <w:rFonts w:ascii="Times New Roman" w:hAnsi="Times New Roman" w:cs="Times New Roman"/>
          <w:sz w:val="24"/>
          <w:szCs w:val="24"/>
        </w:rPr>
        <w:t>ë</w:t>
      </w:r>
      <w:r w:rsidRPr="004979D2">
        <w:rPr>
          <w:rFonts w:ascii="Times New Roman" w:hAnsi="Times New Roman" w:cs="Times New Roman"/>
          <w:sz w:val="24"/>
          <w:szCs w:val="24"/>
        </w:rPr>
        <w:t xml:space="preserve"> vazhdonte t</w:t>
      </w:r>
      <w:r w:rsidR="00AD00F1" w:rsidRPr="004979D2">
        <w:rPr>
          <w:rFonts w:ascii="Times New Roman" w:hAnsi="Times New Roman" w:cs="Times New Roman"/>
          <w:sz w:val="24"/>
          <w:szCs w:val="24"/>
        </w:rPr>
        <w:t>ë</w:t>
      </w:r>
      <w:r w:rsidRPr="004979D2">
        <w:rPr>
          <w:rFonts w:ascii="Times New Roman" w:hAnsi="Times New Roman" w:cs="Times New Roman"/>
          <w:sz w:val="24"/>
          <w:szCs w:val="24"/>
        </w:rPr>
        <w:t xml:space="preserve"> krijonte</w:t>
      </w:r>
      <w:r w:rsidR="004976EC" w:rsidRPr="004979D2">
        <w:rPr>
          <w:rFonts w:ascii="Times New Roman" w:hAnsi="Times New Roman" w:cs="Times New Roman"/>
          <w:sz w:val="24"/>
          <w:szCs w:val="24"/>
        </w:rPr>
        <w:t xml:space="preserve"> efekte</w:t>
      </w:r>
      <w:r w:rsidR="0008062E" w:rsidRPr="004979D2">
        <w:rPr>
          <w:rFonts w:ascii="Times New Roman" w:hAnsi="Times New Roman" w:cs="Times New Roman"/>
          <w:sz w:val="24"/>
          <w:szCs w:val="24"/>
        </w:rPr>
        <w:t xml:space="preserve"> nga </w:t>
      </w:r>
      <w:r w:rsidR="004976EC" w:rsidRPr="004979D2">
        <w:rPr>
          <w:rFonts w:ascii="Times New Roman" w:hAnsi="Times New Roman" w:cs="Times New Roman"/>
          <w:sz w:val="24"/>
          <w:szCs w:val="24"/>
        </w:rPr>
        <w:t>shkaqet e identifikuara n</w:t>
      </w:r>
      <w:r w:rsidR="00AD00F1" w:rsidRPr="004979D2">
        <w:rPr>
          <w:rFonts w:ascii="Times New Roman" w:hAnsi="Times New Roman" w:cs="Times New Roman"/>
          <w:sz w:val="24"/>
          <w:szCs w:val="24"/>
        </w:rPr>
        <w:t>ë</w:t>
      </w:r>
      <w:r w:rsidR="004976EC" w:rsidRPr="004979D2">
        <w:rPr>
          <w:rFonts w:ascii="Times New Roman" w:hAnsi="Times New Roman" w:cs="Times New Roman"/>
          <w:sz w:val="24"/>
          <w:szCs w:val="24"/>
        </w:rPr>
        <w:t xml:space="preserve"> këtë Koncept Dokument. Rrjedhimisht</w:t>
      </w:r>
      <w:r w:rsidR="00AD26F8" w:rsidRPr="004979D2">
        <w:rPr>
          <w:rFonts w:ascii="Times New Roman" w:hAnsi="Times New Roman" w:cs="Times New Roman"/>
          <w:sz w:val="24"/>
          <w:szCs w:val="24"/>
        </w:rPr>
        <w:t>,</w:t>
      </w:r>
      <w:r w:rsidR="004976EC" w:rsidRPr="004979D2">
        <w:rPr>
          <w:rFonts w:ascii="Times New Roman" w:hAnsi="Times New Roman" w:cs="Times New Roman"/>
          <w:sz w:val="24"/>
          <w:szCs w:val="24"/>
        </w:rPr>
        <w:t xml:space="preserve"> </w:t>
      </w:r>
      <w:r w:rsidRPr="004979D2">
        <w:rPr>
          <w:rFonts w:ascii="Times New Roman" w:hAnsi="Times New Roman" w:cs="Times New Roman"/>
          <w:sz w:val="24"/>
          <w:szCs w:val="24"/>
        </w:rPr>
        <w:t xml:space="preserve"> </w:t>
      </w:r>
      <w:r w:rsidR="004976EC" w:rsidRPr="004979D2">
        <w:rPr>
          <w:rFonts w:ascii="Times New Roman" w:hAnsi="Times New Roman" w:cs="Times New Roman"/>
          <w:sz w:val="24"/>
          <w:szCs w:val="24"/>
        </w:rPr>
        <w:t xml:space="preserve">do </w:t>
      </w:r>
      <w:r w:rsidR="0008062E" w:rsidRPr="004979D2">
        <w:rPr>
          <w:rFonts w:ascii="Times New Roman" w:hAnsi="Times New Roman" w:cs="Times New Roman"/>
          <w:sz w:val="24"/>
          <w:szCs w:val="24"/>
        </w:rPr>
        <w:t>t</w:t>
      </w:r>
      <w:r w:rsidR="00AD00F1" w:rsidRPr="004979D2">
        <w:rPr>
          <w:rFonts w:ascii="Times New Roman" w:hAnsi="Times New Roman" w:cs="Times New Roman"/>
          <w:sz w:val="24"/>
          <w:szCs w:val="24"/>
        </w:rPr>
        <w:t>ë</w:t>
      </w:r>
      <w:r w:rsidR="0008062E" w:rsidRPr="004979D2">
        <w:rPr>
          <w:rFonts w:ascii="Times New Roman" w:hAnsi="Times New Roman" w:cs="Times New Roman"/>
          <w:sz w:val="24"/>
          <w:szCs w:val="24"/>
        </w:rPr>
        <w:t xml:space="preserve"> vazhdojmë</w:t>
      </w:r>
      <w:r w:rsidR="004976EC" w:rsidRPr="004979D2">
        <w:rPr>
          <w:rFonts w:ascii="Times New Roman" w:hAnsi="Times New Roman" w:cs="Times New Roman"/>
          <w:sz w:val="24"/>
          <w:szCs w:val="24"/>
        </w:rPr>
        <w:t xml:space="preserve"> t</w:t>
      </w:r>
      <w:r w:rsidR="00AD00F1" w:rsidRPr="004979D2">
        <w:rPr>
          <w:rFonts w:ascii="Times New Roman" w:hAnsi="Times New Roman" w:cs="Times New Roman"/>
          <w:sz w:val="24"/>
          <w:szCs w:val="24"/>
        </w:rPr>
        <w:t>ë</w:t>
      </w:r>
      <w:r w:rsidR="004976EC" w:rsidRPr="004979D2">
        <w:rPr>
          <w:rFonts w:ascii="Times New Roman" w:hAnsi="Times New Roman" w:cs="Times New Roman"/>
          <w:sz w:val="24"/>
          <w:szCs w:val="24"/>
        </w:rPr>
        <w:t xml:space="preserve"> kemi vakume ligjore dhe </w:t>
      </w:r>
      <w:r w:rsidR="0008062E" w:rsidRPr="004979D2">
        <w:rPr>
          <w:rFonts w:ascii="Times New Roman" w:hAnsi="Times New Roman" w:cs="Times New Roman"/>
          <w:sz w:val="24"/>
          <w:szCs w:val="24"/>
        </w:rPr>
        <w:t>institucionale</w:t>
      </w:r>
      <w:r w:rsidR="004976EC" w:rsidRPr="004979D2">
        <w:rPr>
          <w:rFonts w:ascii="Times New Roman" w:hAnsi="Times New Roman" w:cs="Times New Roman"/>
          <w:sz w:val="24"/>
          <w:szCs w:val="24"/>
        </w:rPr>
        <w:t xml:space="preserve"> t</w:t>
      </w:r>
      <w:r w:rsidR="00AD00F1" w:rsidRPr="004979D2">
        <w:rPr>
          <w:rFonts w:ascii="Times New Roman" w:hAnsi="Times New Roman" w:cs="Times New Roman"/>
          <w:sz w:val="24"/>
          <w:szCs w:val="24"/>
        </w:rPr>
        <w:t>ë</w:t>
      </w:r>
      <w:r w:rsidR="004976EC" w:rsidRPr="004979D2">
        <w:rPr>
          <w:rFonts w:ascii="Times New Roman" w:hAnsi="Times New Roman" w:cs="Times New Roman"/>
          <w:sz w:val="24"/>
          <w:szCs w:val="24"/>
        </w:rPr>
        <w:t xml:space="preserve"> cilat do t</w:t>
      </w:r>
      <w:r w:rsidR="00AD00F1" w:rsidRPr="004979D2">
        <w:rPr>
          <w:rFonts w:ascii="Times New Roman" w:hAnsi="Times New Roman" w:cs="Times New Roman"/>
          <w:sz w:val="24"/>
          <w:szCs w:val="24"/>
        </w:rPr>
        <w:t>ë</w:t>
      </w:r>
      <w:r w:rsidR="004976EC" w:rsidRPr="004979D2">
        <w:rPr>
          <w:rFonts w:ascii="Times New Roman" w:hAnsi="Times New Roman" w:cs="Times New Roman"/>
          <w:sz w:val="24"/>
          <w:szCs w:val="24"/>
        </w:rPr>
        <w:t xml:space="preserve"> ndikonin n</w:t>
      </w:r>
      <w:r w:rsidR="00AD00F1" w:rsidRPr="004979D2">
        <w:rPr>
          <w:rFonts w:ascii="Times New Roman" w:hAnsi="Times New Roman" w:cs="Times New Roman"/>
          <w:sz w:val="24"/>
          <w:szCs w:val="24"/>
        </w:rPr>
        <w:t>ë</w:t>
      </w:r>
      <w:r w:rsidR="004976EC" w:rsidRPr="004979D2">
        <w:rPr>
          <w:rFonts w:ascii="Times New Roman" w:hAnsi="Times New Roman" w:cs="Times New Roman"/>
          <w:sz w:val="24"/>
          <w:szCs w:val="24"/>
        </w:rPr>
        <w:t xml:space="preserve"> </w:t>
      </w:r>
      <w:r w:rsidR="0008062E" w:rsidRPr="004979D2">
        <w:rPr>
          <w:rFonts w:ascii="Times New Roman" w:hAnsi="Times New Roman" w:cs="Times New Roman"/>
          <w:sz w:val="24"/>
          <w:szCs w:val="24"/>
        </w:rPr>
        <w:t>vendimmarrjen</w:t>
      </w:r>
      <w:r w:rsidR="004976EC" w:rsidRPr="004979D2">
        <w:rPr>
          <w:rFonts w:ascii="Times New Roman" w:hAnsi="Times New Roman" w:cs="Times New Roman"/>
          <w:sz w:val="24"/>
          <w:szCs w:val="24"/>
        </w:rPr>
        <w:t xml:space="preserve"> e </w:t>
      </w:r>
      <w:r w:rsidR="00AD26F8" w:rsidRPr="004979D2">
        <w:rPr>
          <w:rFonts w:ascii="Times New Roman" w:hAnsi="Times New Roman" w:cs="Times New Roman"/>
          <w:sz w:val="24"/>
          <w:szCs w:val="24"/>
        </w:rPr>
        <w:t xml:space="preserve">punës </w:t>
      </w:r>
      <w:r w:rsidR="004976EC" w:rsidRPr="004979D2">
        <w:rPr>
          <w:rFonts w:ascii="Times New Roman" w:hAnsi="Times New Roman" w:cs="Times New Roman"/>
          <w:sz w:val="24"/>
          <w:szCs w:val="24"/>
        </w:rPr>
        <w:t>s</w:t>
      </w:r>
      <w:r w:rsidR="00AD00F1" w:rsidRPr="004979D2">
        <w:rPr>
          <w:rFonts w:ascii="Times New Roman" w:hAnsi="Times New Roman" w:cs="Times New Roman"/>
          <w:sz w:val="24"/>
          <w:szCs w:val="24"/>
        </w:rPr>
        <w:t>ë</w:t>
      </w:r>
      <w:r w:rsidR="004976EC" w:rsidRPr="004979D2">
        <w:rPr>
          <w:rFonts w:ascii="Times New Roman" w:hAnsi="Times New Roman" w:cs="Times New Roman"/>
          <w:sz w:val="24"/>
          <w:szCs w:val="24"/>
        </w:rPr>
        <w:t xml:space="preserve"> AKK duke </w:t>
      </w:r>
      <w:r w:rsidR="00AD26F8" w:rsidRPr="004979D2">
        <w:rPr>
          <w:rFonts w:ascii="Times New Roman" w:hAnsi="Times New Roman" w:cs="Times New Roman"/>
          <w:sz w:val="24"/>
          <w:szCs w:val="24"/>
        </w:rPr>
        <w:t>penguar punën efikase të</w:t>
      </w:r>
      <w:r w:rsidR="004976EC" w:rsidRPr="004979D2">
        <w:rPr>
          <w:rFonts w:ascii="Times New Roman" w:hAnsi="Times New Roman" w:cs="Times New Roman"/>
          <w:sz w:val="24"/>
          <w:szCs w:val="24"/>
        </w:rPr>
        <w:t xml:space="preserve"> këtij institucioni. Gjithashtu do</w:t>
      </w:r>
      <w:r w:rsidR="008753CB" w:rsidRPr="004979D2">
        <w:rPr>
          <w:rFonts w:ascii="Times New Roman" w:hAnsi="Times New Roman" w:cs="Times New Roman"/>
          <w:sz w:val="24"/>
          <w:szCs w:val="24"/>
        </w:rPr>
        <w:t xml:space="preserve"> të </w:t>
      </w:r>
      <w:r w:rsidR="004976EC" w:rsidRPr="004979D2">
        <w:rPr>
          <w:rFonts w:ascii="Times New Roman" w:hAnsi="Times New Roman" w:cs="Times New Roman"/>
          <w:sz w:val="24"/>
          <w:szCs w:val="24"/>
        </w:rPr>
        <w:t>vazhdonim</w:t>
      </w:r>
      <w:r w:rsidR="008753CB" w:rsidRPr="004979D2">
        <w:rPr>
          <w:rFonts w:ascii="Times New Roman" w:hAnsi="Times New Roman" w:cs="Times New Roman"/>
          <w:sz w:val="24"/>
          <w:szCs w:val="24"/>
        </w:rPr>
        <w:t xml:space="preserve"> të </w:t>
      </w:r>
      <w:r w:rsidR="0008062E" w:rsidRPr="004979D2">
        <w:rPr>
          <w:rFonts w:ascii="Times New Roman" w:hAnsi="Times New Roman" w:cs="Times New Roman"/>
          <w:sz w:val="24"/>
          <w:szCs w:val="24"/>
        </w:rPr>
        <w:t>kishim</w:t>
      </w:r>
      <w:r w:rsidR="004976EC" w:rsidRPr="004979D2">
        <w:rPr>
          <w:rFonts w:ascii="Times New Roman" w:hAnsi="Times New Roman" w:cs="Times New Roman"/>
          <w:sz w:val="24"/>
          <w:szCs w:val="24"/>
        </w:rPr>
        <w:t xml:space="preserve"> </w:t>
      </w:r>
      <w:proofErr w:type="spellStart"/>
      <w:r w:rsidR="004976EC" w:rsidRPr="004979D2">
        <w:rPr>
          <w:rFonts w:ascii="Times New Roman" w:hAnsi="Times New Roman" w:cs="Times New Roman"/>
          <w:sz w:val="24"/>
          <w:szCs w:val="24"/>
        </w:rPr>
        <w:t>konfuzitete</w:t>
      </w:r>
      <w:proofErr w:type="spellEnd"/>
      <w:r w:rsidR="004976EC" w:rsidRPr="004979D2">
        <w:rPr>
          <w:rFonts w:ascii="Times New Roman" w:hAnsi="Times New Roman" w:cs="Times New Roman"/>
          <w:sz w:val="24"/>
          <w:szCs w:val="24"/>
        </w:rPr>
        <w:t xml:space="preserve">, pasiguri juridike dhe </w:t>
      </w:r>
      <w:proofErr w:type="spellStart"/>
      <w:r w:rsidR="004976EC" w:rsidRPr="004979D2">
        <w:rPr>
          <w:rFonts w:ascii="Times New Roman" w:hAnsi="Times New Roman" w:cs="Times New Roman"/>
          <w:sz w:val="24"/>
          <w:szCs w:val="24"/>
        </w:rPr>
        <w:t>dublifikim</w:t>
      </w:r>
      <w:proofErr w:type="spellEnd"/>
      <w:r w:rsidR="008753CB" w:rsidRPr="004979D2">
        <w:rPr>
          <w:rFonts w:ascii="Times New Roman" w:hAnsi="Times New Roman" w:cs="Times New Roman"/>
          <w:sz w:val="24"/>
          <w:szCs w:val="24"/>
        </w:rPr>
        <w:t xml:space="preserve"> të </w:t>
      </w:r>
      <w:r w:rsidR="004976EC" w:rsidRPr="004979D2">
        <w:rPr>
          <w:rFonts w:ascii="Times New Roman" w:hAnsi="Times New Roman" w:cs="Times New Roman"/>
          <w:sz w:val="24"/>
          <w:szCs w:val="24"/>
        </w:rPr>
        <w:t xml:space="preserve">vendimeve. Kjo status </w:t>
      </w:r>
      <w:proofErr w:type="spellStart"/>
      <w:r w:rsidR="004976EC" w:rsidRPr="004979D2">
        <w:rPr>
          <w:rFonts w:ascii="Times New Roman" w:hAnsi="Times New Roman" w:cs="Times New Roman"/>
          <w:sz w:val="24"/>
          <w:szCs w:val="24"/>
        </w:rPr>
        <w:t>quo</w:t>
      </w:r>
      <w:proofErr w:type="spellEnd"/>
      <w:r w:rsidR="004976EC" w:rsidRPr="004979D2">
        <w:rPr>
          <w:rFonts w:ascii="Times New Roman" w:hAnsi="Times New Roman" w:cs="Times New Roman"/>
          <w:sz w:val="24"/>
          <w:szCs w:val="24"/>
        </w:rPr>
        <w:t xml:space="preserve"> do t</w:t>
      </w:r>
      <w:r w:rsidR="00AD00F1" w:rsidRPr="004979D2">
        <w:rPr>
          <w:rFonts w:ascii="Times New Roman" w:hAnsi="Times New Roman" w:cs="Times New Roman"/>
          <w:sz w:val="24"/>
          <w:szCs w:val="24"/>
        </w:rPr>
        <w:t>ë</w:t>
      </w:r>
      <w:r w:rsidR="004976EC" w:rsidRPr="004979D2">
        <w:rPr>
          <w:rFonts w:ascii="Times New Roman" w:hAnsi="Times New Roman" w:cs="Times New Roman"/>
          <w:sz w:val="24"/>
          <w:szCs w:val="24"/>
        </w:rPr>
        <w:t xml:space="preserve"> sillte vakume institucionale n</w:t>
      </w:r>
      <w:r w:rsidR="00AD00F1" w:rsidRPr="004979D2">
        <w:rPr>
          <w:rFonts w:ascii="Times New Roman" w:hAnsi="Times New Roman" w:cs="Times New Roman"/>
          <w:sz w:val="24"/>
          <w:szCs w:val="24"/>
        </w:rPr>
        <w:t>ë</w:t>
      </w:r>
      <w:r w:rsidR="004976EC" w:rsidRPr="004979D2">
        <w:rPr>
          <w:rFonts w:ascii="Times New Roman" w:hAnsi="Times New Roman" w:cs="Times New Roman"/>
          <w:sz w:val="24"/>
          <w:szCs w:val="24"/>
        </w:rPr>
        <w:t xml:space="preserve"> pozita t</w:t>
      </w:r>
      <w:r w:rsidR="00AD00F1" w:rsidRPr="004979D2">
        <w:rPr>
          <w:rFonts w:ascii="Times New Roman" w:hAnsi="Times New Roman" w:cs="Times New Roman"/>
          <w:sz w:val="24"/>
          <w:szCs w:val="24"/>
        </w:rPr>
        <w:t>ë</w:t>
      </w:r>
      <w:r w:rsidR="004976EC" w:rsidRPr="004979D2">
        <w:rPr>
          <w:rFonts w:ascii="Times New Roman" w:hAnsi="Times New Roman" w:cs="Times New Roman"/>
          <w:sz w:val="24"/>
          <w:szCs w:val="24"/>
        </w:rPr>
        <w:t xml:space="preserve"> cilat ndikojnë n</w:t>
      </w:r>
      <w:r w:rsidR="00AD00F1" w:rsidRPr="004979D2">
        <w:rPr>
          <w:rFonts w:ascii="Times New Roman" w:hAnsi="Times New Roman" w:cs="Times New Roman"/>
          <w:sz w:val="24"/>
          <w:szCs w:val="24"/>
        </w:rPr>
        <w:t>ë</w:t>
      </w:r>
      <w:r w:rsidR="004976EC" w:rsidRPr="004979D2">
        <w:rPr>
          <w:rFonts w:ascii="Times New Roman" w:hAnsi="Times New Roman" w:cs="Times New Roman"/>
          <w:sz w:val="24"/>
          <w:szCs w:val="24"/>
        </w:rPr>
        <w:t xml:space="preserve"> funksionimin normal t</w:t>
      </w:r>
      <w:r w:rsidR="00AD00F1" w:rsidRPr="004979D2">
        <w:rPr>
          <w:rFonts w:ascii="Times New Roman" w:hAnsi="Times New Roman" w:cs="Times New Roman"/>
          <w:sz w:val="24"/>
          <w:szCs w:val="24"/>
        </w:rPr>
        <w:t>ë</w:t>
      </w:r>
      <w:r w:rsidR="004976EC" w:rsidRPr="004979D2">
        <w:rPr>
          <w:rFonts w:ascii="Times New Roman" w:hAnsi="Times New Roman" w:cs="Times New Roman"/>
          <w:sz w:val="24"/>
          <w:szCs w:val="24"/>
        </w:rPr>
        <w:t xml:space="preserve"> AKK</w:t>
      </w:r>
      <w:r w:rsidR="00AD00F1" w:rsidRPr="004979D2">
        <w:rPr>
          <w:rFonts w:ascii="Times New Roman" w:hAnsi="Times New Roman" w:cs="Times New Roman"/>
          <w:sz w:val="24"/>
          <w:szCs w:val="24"/>
        </w:rPr>
        <w:t>-së</w:t>
      </w:r>
      <w:r w:rsidR="004976EC" w:rsidRPr="004979D2">
        <w:rPr>
          <w:rFonts w:ascii="Times New Roman" w:hAnsi="Times New Roman" w:cs="Times New Roman"/>
          <w:sz w:val="24"/>
          <w:szCs w:val="24"/>
        </w:rPr>
        <w:t xml:space="preserve">. </w:t>
      </w:r>
      <w:r w:rsidR="0008062E" w:rsidRPr="004979D2">
        <w:rPr>
          <w:rFonts w:ascii="Times New Roman" w:hAnsi="Times New Roman" w:cs="Times New Roman"/>
          <w:sz w:val="24"/>
          <w:szCs w:val="24"/>
        </w:rPr>
        <w:t>Një</w:t>
      </w:r>
      <w:r w:rsidR="004976EC" w:rsidRPr="004979D2">
        <w:rPr>
          <w:rFonts w:ascii="Times New Roman" w:hAnsi="Times New Roman" w:cs="Times New Roman"/>
          <w:sz w:val="24"/>
          <w:szCs w:val="24"/>
        </w:rPr>
        <w:t xml:space="preserve"> efekt tjetër i pa dëshiruar </w:t>
      </w:r>
      <w:r w:rsidR="0008062E" w:rsidRPr="004979D2">
        <w:rPr>
          <w:rFonts w:ascii="Times New Roman" w:hAnsi="Times New Roman" w:cs="Times New Roman"/>
          <w:sz w:val="24"/>
          <w:szCs w:val="24"/>
        </w:rPr>
        <w:t>do t</w:t>
      </w:r>
      <w:r w:rsidR="00AD00F1" w:rsidRPr="004979D2">
        <w:rPr>
          <w:rFonts w:ascii="Times New Roman" w:hAnsi="Times New Roman" w:cs="Times New Roman"/>
          <w:sz w:val="24"/>
          <w:szCs w:val="24"/>
        </w:rPr>
        <w:t>ë</w:t>
      </w:r>
      <w:r w:rsidR="0008062E" w:rsidRPr="004979D2">
        <w:rPr>
          <w:rFonts w:ascii="Times New Roman" w:hAnsi="Times New Roman" w:cs="Times New Roman"/>
          <w:sz w:val="24"/>
          <w:szCs w:val="24"/>
        </w:rPr>
        <w:t xml:space="preserve"> ish</w:t>
      </w:r>
      <w:r w:rsidR="004976EC" w:rsidRPr="004979D2">
        <w:rPr>
          <w:rFonts w:ascii="Times New Roman" w:hAnsi="Times New Roman" w:cs="Times New Roman"/>
          <w:sz w:val="24"/>
          <w:szCs w:val="24"/>
        </w:rPr>
        <w:t>te zvarritja e l</w:t>
      </w:r>
      <w:r w:rsidR="00AD26F8" w:rsidRPr="004979D2">
        <w:rPr>
          <w:rFonts w:ascii="Times New Roman" w:hAnsi="Times New Roman" w:cs="Times New Roman"/>
          <w:sz w:val="24"/>
          <w:szCs w:val="24"/>
        </w:rPr>
        <w:t>ë</w:t>
      </w:r>
      <w:r w:rsidR="004976EC" w:rsidRPr="004979D2">
        <w:rPr>
          <w:rFonts w:ascii="Times New Roman" w:hAnsi="Times New Roman" w:cs="Times New Roman"/>
          <w:sz w:val="24"/>
          <w:szCs w:val="24"/>
        </w:rPr>
        <w:t>nd</w:t>
      </w:r>
      <w:r w:rsidR="00AD26F8" w:rsidRPr="004979D2">
        <w:rPr>
          <w:rFonts w:ascii="Times New Roman" w:hAnsi="Times New Roman" w:cs="Times New Roman"/>
          <w:sz w:val="24"/>
          <w:szCs w:val="24"/>
        </w:rPr>
        <w:t>ë</w:t>
      </w:r>
      <w:r w:rsidR="004976EC" w:rsidRPr="004979D2">
        <w:rPr>
          <w:rFonts w:ascii="Times New Roman" w:hAnsi="Times New Roman" w:cs="Times New Roman"/>
          <w:sz w:val="24"/>
          <w:szCs w:val="24"/>
        </w:rPr>
        <w:t>ve n</w:t>
      </w:r>
      <w:r w:rsidR="00E56588" w:rsidRPr="004979D2">
        <w:rPr>
          <w:rFonts w:ascii="Times New Roman" w:hAnsi="Times New Roman" w:cs="Times New Roman"/>
          <w:sz w:val="24"/>
          <w:szCs w:val="24"/>
        </w:rPr>
        <w:t>ë</w:t>
      </w:r>
      <w:r w:rsidR="004976EC" w:rsidRPr="004979D2">
        <w:rPr>
          <w:rFonts w:ascii="Times New Roman" w:hAnsi="Times New Roman" w:cs="Times New Roman"/>
          <w:sz w:val="24"/>
          <w:szCs w:val="24"/>
        </w:rPr>
        <w:t>p</w:t>
      </w:r>
      <w:r w:rsidR="00AD00F1" w:rsidRPr="004979D2">
        <w:rPr>
          <w:rFonts w:ascii="Times New Roman" w:hAnsi="Times New Roman" w:cs="Times New Roman"/>
          <w:sz w:val="24"/>
          <w:szCs w:val="24"/>
        </w:rPr>
        <w:t>ë</w:t>
      </w:r>
      <w:r w:rsidR="004976EC" w:rsidRPr="004979D2">
        <w:rPr>
          <w:rFonts w:ascii="Times New Roman" w:hAnsi="Times New Roman" w:cs="Times New Roman"/>
          <w:sz w:val="24"/>
          <w:szCs w:val="24"/>
        </w:rPr>
        <w:t xml:space="preserve">r gjykata, duke zvogëluar rolin </w:t>
      </w:r>
      <w:r w:rsidR="0008062E" w:rsidRPr="004979D2">
        <w:rPr>
          <w:rFonts w:ascii="Times New Roman" w:hAnsi="Times New Roman" w:cs="Times New Roman"/>
          <w:sz w:val="24"/>
          <w:szCs w:val="24"/>
        </w:rPr>
        <w:t>ekzekutiv</w:t>
      </w:r>
      <w:r w:rsidR="004976EC" w:rsidRPr="004979D2">
        <w:rPr>
          <w:rFonts w:ascii="Times New Roman" w:hAnsi="Times New Roman" w:cs="Times New Roman"/>
          <w:sz w:val="24"/>
          <w:szCs w:val="24"/>
        </w:rPr>
        <w:t xml:space="preserve"> t</w:t>
      </w:r>
      <w:r w:rsidR="00AD00F1" w:rsidRPr="004979D2">
        <w:rPr>
          <w:rFonts w:ascii="Times New Roman" w:hAnsi="Times New Roman" w:cs="Times New Roman"/>
          <w:sz w:val="24"/>
          <w:szCs w:val="24"/>
        </w:rPr>
        <w:t>ë</w:t>
      </w:r>
      <w:r w:rsidR="004976EC" w:rsidRPr="004979D2">
        <w:rPr>
          <w:rFonts w:ascii="Times New Roman" w:hAnsi="Times New Roman" w:cs="Times New Roman"/>
          <w:sz w:val="24"/>
          <w:szCs w:val="24"/>
        </w:rPr>
        <w:t xml:space="preserve"> AKK </w:t>
      </w:r>
      <w:r w:rsidR="0008062E" w:rsidRPr="004979D2">
        <w:rPr>
          <w:rFonts w:ascii="Times New Roman" w:hAnsi="Times New Roman" w:cs="Times New Roman"/>
          <w:sz w:val="24"/>
          <w:szCs w:val="24"/>
        </w:rPr>
        <w:t xml:space="preserve">dhe duke krijuar paqartësi sa i përket kompetencave institucionale. </w:t>
      </w:r>
      <w:r w:rsidR="004976EC" w:rsidRPr="004979D2">
        <w:rPr>
          <w:rFonts w:ascii="Times New Roman" w:hAnsi="Times New Roman" w:cs="Times New Roman"/>
          <w:sz w:val="24"/>
          <w:szCs w:val="24"/>
        </w:rPr>
        <w:t>Si pasoj</w:t>
      </w:r>
      <w:r w:rsidR="00AD26F8" w:rsidRPr="004979D2">
        <w:rPr>
          <w:rFonts w:ascii="Times New Roman" w:hAnsi="Times New Roman" w:cs="Times New Roman"/>
          <w:sz w:val="24"/>
          <w:szCs w:val="24"/>
        </w:rPr>
        <w:t>ë</w:t>
      </w:r>
      <w:r w:rsidR="004976EC" w:rsidRPr="004979D2">
        <w:rPr>
          <w:rFonts w:ascii="Times New Roman" w:hAnsi="Times New Roman" w:cs="Times New Roman"/>
          <w:sz w:val="24"/>
          <w:szCs w:val="24"/>
        </w:rPr>
        <w:t xml:space="preserve"> t</w:t>
      </w:r>
      <w:r w:rsidR="00AD00F1" w:rsidRPr="004979D2">
        <w:rPr>
          <w:rFonts w:ascii="Times New Roman" w:hAnsi="Times New Roman" w:cs="Times New Roman"/>
          <w:sz w:val="24"/>
          <w:szCs w:val="24"/>
        </w:rPr>
        <w:t>ë</w:t>
      </w:r>
      <w:r w:rsidR="004976EC" w:rsidRPr="004979D2">
        <w:rPr>
          <w:rFonts w:ascii="Times New Roman" w:hAnsi="Times New Roman" w:cs="Times New Roman"/>
          <w:sz w:val="24"/>
          <w:szCs w:val="24"/>
        </w:rPr>
        <w:t xml:space="preserve"> gjitha efektet do t</w:t>
      </w:r>
      <w:r w:rsidR="00AD00F1" w:rsidRPr="004979D2">
        <w:rPr>
          <w:rFonts w:ascii="Times New Roman" w:hAnsi="Times New Roman" w:cs="Times New Roman"/>
          <w:sz w:val="24"/>
          <w:szCs w:val="24"/>
        </w:rPr>
        <w:t>ë</w:t>
      </w:r>
      <w:r w:rsidR="0008062E" w:rsidRPr="004979D2">
        <w:rPr>
          <w:rFonts w:ascii="Times New Roman" w:hAnsi="Times New Roman" w:cs="Times New Roman"/>
          <w:sz w:val="24"/>
          <w:szCs w:val="24"/>
        </w:rPr>
        <w:t xml:space="preserve"> cenonin konkurrencën dhe</w:t>
      </w:r>
      <w:r w:rsidR="004976EC" w:rsidRPr="004979D2">
        <w:rPr>
          <w:rFonts w:ascii="Times New Roman" w:hAnsi="Times New Roman" w:cs="Times New Roman"/>
          <w:sz w:val="24"/>
          <w:szCs w:val="24"/>
        </w:rPr>
        <w:t xml:space="preserve"> sillnin </w:t>
      </w:r>
      <w:r w:rsidR="0008062E" w:rsidRPr="004979D2">
        <w:rPr>
          <w:rFonts w:ascii="Times New Roman" w:hAnsi="Times New Roman" w:cs="Times New Roman"/>
          <w:sz w:val="24"/>
          <w:szCs w:val="24"/>
        </w:rPr>
        <w:t>një</w:t>
      </w:r>
      <w:r w:rsidR="004976EC" w:rsidRPr="004979D2">
        <w:rPr>
          <w:rFonts w:ascii="Times New Roman" w:hAnsi="Times New Roman" w:cs="Times New Roman"/>
          <w:sz w:val="24"/>
          <w:szCs w:val="24"/>
        </w:rPr>
        <w:t xml:space="preserve"> çrregullim t</w:t>
      </w:r>
      <w:r w:rsidR="00AD00F1" w:rsidRPr="004979D2">
        <w:rPr>
          <w:rFonts w:ascii="Times New Roman" w:hAnsi="Times New Roman" w:cs="Times New Roman"/>
          <w:sz w:val="24"/>
          <w:szCs w:val="24"/>
        </w:rPr>
        <w:t>ë</w:t>
      </w:r>
      <w:r w:rsidR="004976EC" w:rsidRPr="004979D2">
        <w:rPr>
          <w:rFonts w:ascii="Times New Roman" w:hAnsi="Times New Roman" w:cs="Times New Roman"/>
          <w:sz w:val="24"/>
          <w:szCs w:val="24"/>
        </w:rPr>
        <w:t xml:space="preserve"> tregut t</w:t>
      </w:r>
      <w:r w:rsidR="00AD00F1" w:rsidRPr="004979D2">
        <w:rPr>
          <w:rFonts w:ascii="Times New Roman" w:hAnsi="Times New Roman" w:cs="Times New Roman"/>
          <w:sz w:val="24"/>
          <w:szCs w:val="24"/>
        </w:rPr>
        <w:t>ë</w:t>
      </w:r>
      <w:r w:rsidR="004976EC" w:rsidRPr="004979D2">
        <w:rPr>
          <w:rFonts w:ascii="Times New Roman" w:hAnsi="Times New Roman" w:cs="Times New Roman"/>
          <w:sz w:val="24"/>
          <w:szCs w:val="24"/>
        </w:rPr>
        <w:t xml:space="preserve"> lir</w:t>
      </w:r>
      <w:r w:rsidR="00AD00F1" w:rsidRPr="004979D2">
        <w:rPr>
          <w:rFonts w:ascii="Times New Roman" w:hAnsi="Times New Roman" w:cs="Times New Roman"/>
          <w:sz w:val="24"/>
          <w:szCs w:val="24"/>
        </w:rPr>
        <w:t>ë</w:t>
      </w:r>
      <w:r w:rsidR="004976EC" w:rsidRPr="004979D2">
        <w:rPr>
          <w:rFonts w:ascii="Times New Roman" w:hAnsi="Times New Roman" w:cs="Times New Roman"/>
          <w:sz w:val="24"/>
          <w:szCs w:val="24"/>
        </w:rPr>
        <w:t xml:space="preserve"> duke dëmtuar konsumatorin dhe funksionin e ndërmarrjeve. </w:t>
      </w:r>
    </w:p>
    <w:p w14:paraId="0669F15A" w14:textId="153EFAB1" w:rsidR="007136DD" w:rsidRPr="004979D2" w:rsidRDefault="00A46D67" w:rsidP="002B1BC6">
      <w:pPr>
        <w:pStyle w:val="Heading2"/>
        <w:spacing w:line="360" w:lineRule="auto"/>
        <w:rPr>
          <w:rFonts w:cs="Times New Roman"/>
          <w:szCs w:val="24"/>
        </w:rPr>
      </w:pPr>
      <w:bookmarkStart w:id="43" w:name="_Toc1114327"/>
      <w:r w:rsidRPr="004979D2">
        <w:rPr>
          <w:rFonts w:cs="Times New Roman"/>
          <w:szCs w:val="24"/>
        </w:rPr>
        <w:t xml:space="preserve">3.2 </w:t>
      </w:r>
      <w:r w:rsidR="00462890" w:rsidRPr="004979D2">
        <w:rPr>
          <w:rFonts w:cs="Times New Roman"/>
          <w:szCs w:val="24"/>
        </w:rPr>
        <w:t>Opsioni 2</w:t>
      </w:r>
      <w:r w:rsidR="00AD26F8" w:rsidRPr="004979D2">
        <w:rPr>
          <w:rFonts w:cs="Times New Roman"/>
          <w:szCs w:val="24"/>
        </w:rPr>
        <w:t xml:space="preserve"> – </w:t>
      </w:r>
      <w:r w:rsidR="00E1705D" w:rsidRPr="004979D2">
        <w:rPr>
          <w:rFonts w:cs="Times New Roman"/>
          <w:szCs w:val="24"/>
        </w:rPr>
        <w:t xml:space="preserve">Hartimi i Ligjit te ri për Mbrojtjen e </w:t>
      </w:r>
      <w:r w:rsidR="001A0F08" w:rsidRPr="004979D2">
        <w:rPr>
          <w:rFonts w:cs="Times New Roman"/>
          <w:szCs w:val="24"/>
        </w:rPr>
        <w:t>Konkurrencës</w:t>
      </w:r>
      <w:bookmarkEnd w:id="43"/>
    </w:p>
    <w:p w14:paraId="62ECA973" w14:textId="47BC32C9" w:rsidR="009E1A07" w:rsidRPr="004979D2" w:rsidRDefault="00CB1E7D"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Problemi q</w:t>
      </w:r>
      <w:r w:rsidR="00E56588" w:rsidRPr="004979D2">
        <w:rPr>
          <w:rFonts w:ascii="Times New Roman" w:hAnsi="Times New Roman" w:cs="Times New Roman"/>
          <w:sz w:val="24"/>
          <w:szCs w:val="24"/>
        </w:rPr>
        <w:t>ë</w:t>
      </w:r>
      <w:r w:rsidRPr="004979D2">
        <w:rPr>
          <w:rFonts w:ascii="Times New Roman" w:hAnsi="Times New Roman" w:cs="Times New Roman"/>
          <w:sz w:val="24"/>
          <w:szCs w:val="24"/>
        </w:rPr>
        <w:t xml:space="preserve"> </w:t>
      </w:r>
      <w:r w:rsidR="006D4F74" w:rsidRPr="004979D2">
        <w:rPr>
          <w:rFonts w:ascii="Times New Roman" w:hAnsi="Times New Roman" w:cs="Times New Roman"/>
          <w:sz w:val="24"/>
          <w:szCs w:val="24"/>
        </w:rPr>
        <w:t>është</w:t>
      </w:r>
      <w:r w:rsidRPr="004979D2">
        <w:rPr>
          <w:rFonts w:ascii="Times New Roman" w:hAnsi="Times New Roman" w:cs="Times New Roman"/>
          <w:sz w:val="24"/>
          <w:szCs w:val="24"/>
        </w:rPr>
        <w:t xml:space="preserve"> identifikuar n</w:t>
      </w:r>
      <w:r w:rsidR="00071C60" w:rsidRPr="004979D2">
        <w:rPr>
          <w:rFonts w:ascii="Times New Roman" w:hAnsi="Times New Roman" w:cs="Times New Roman"/>
          <w:sz w:val="24"/>
          <w:szCs w:val="24"/>
        </w:rPr>
        <w:t>ë</w:t>
      </w:r>
      <w:r w:rsidRPr="004979D2">
        <w:rPr>
          <w:rFonts w:ascii="Times New Roman" w:hAnsi="Times New Roman" w:cs="Times New Roman"/>
          <w:sz w:val="24"/>
          <w:szCs w:val="24"/>
        </w:rPr>
        <w:t xml:space="preserve"> </w:t>
      </w:r>
      <w:r w:rsidR="006D4F74" w:rsidRPr="004979D2">
        <w:rPr>
          <w:rFonts w:ascii="Times New Roman" w:hAnsi="Times New Roman" w:cs="Times New Roman"/>
          <w:sz w:val="24"/>
          <w:szCs w:val="24"/>
        </w:rPr>
        <w:t>këtë</w:t>
      </w:r>
      <w:r w:rsidRPr="004979D2">
        <w:rPr>
          <w:rFonts w:ascii="Times New Roman" w:hAnsi="Times New Roman" w:cs="Times New Roman"/>
          <w:sz w:val="24"/>
          <w:szCs w:val="24"/>
        </w:rPr>
        <w:t xml:space="preserve"> Koncept </w:t>
      </w:r>
      <w:r w:rsidR="006D4F74" w:rsidRPr="004979D2">
        <w:rPr>
          <w:rFonts w:ascii="Times New Roman" w:hAnsi="Times New Roman" w:cs="Times New Roman"/>
          <w:sz w:val="24"/>
          <w:szCs w:val="24"/>
        </w:rPr>
        <w:t>Dokument</w:t>
      </w:r>
      <w:r w:rsidRPr="004979D2">
        <w:rPr>
          <w:rFonts w:ascii="Times New Roman" w:hAnsi="Times New Roman" w:cs="Times New Roman"/>
          <w:sz w:val="24"/>
          <w:szCs w:val="24"/>
        </w:rPr>
        <w:t xml:space="preserve"> </w:t>
      </w:r>
      <w:r w:rsidRPr="004979D2">
        <w:rPr>
          <w:rFonts w:ascii="Times New Roman" w:hAnsi="Times New Roman" w:cs="Times New Roman"/>
          <w:i/>
          <w:sz w:val="24"/>
          <w:szCs w:val="24"/>
        </w:rPr>
        <w:t xml:space="preserve">“Vështirësi në funksionimin e lirë të tregut dhe mbrojtjen e konkurrencës” </w:t>
      </w:r>
      <w:r w:rsidR="006D4F74" w:rsidRPr="004979D2">
        <w:rPr>
          <w:rFonts w:ascii="Times New Roman" w:hAnsi="Times New Roman" w:cs="Times New Roman"/>
          <w:sz w:val="24"/>
          <w:szCs w:val="24"/>
        </w:rPr>
        <w:t>është</w:t>
      </w:r>
      <w:r w:rsidRPr="004979D2">
        <w:rPr>
          <w:rFonts w:ascii="Times New Roman" w:hAnsi="Times New Roman" w:cs="Times New Roman"/>
          <w:sz w:val="24"/>
          <w:szCs w:val="24"/>
        </w:rPr>
        <w:t xml:space="preserve"> kryesisht i ndërlidhur me bazën aktuale ligjore. </w:t>
      </w:r>
      <w:r w:rsidR="006D4F74" w:rsidRPr="004979D2">
        <w:rPr>
          <w:rFonts w:ascii="Times New Roman" w:hAnsi="Times New Roman" w:cs="Times New Roman"/>
          <w:sz w:val="24"/>
          <w:szCs w:val="24"/>
        </w:rPr>
        <w:t>Rrjedhimisht</w:t>
      </w:r>
      <w:r w:rsidRPr="004979D2">
        <w:rPr>
          <w:rFonts w:ascii="Times New Roman" w:hAnsi="Times New Roman" w:cs="Times New Roman"/>
          <w:sz w:val="24"/>
          <w:szCs w:val="24"/>
        </w:rPr>
        <w:t>, çfarëdo përmirësimi n</w:t>
      </w:r>
      <w:r w:rsidR="00071C60" w:rsidRPr="004979D2">
        <w:rPr>
          <w:rFonts w:ascii="Times New Roman" w:hAnsi="Times New Roman" w:cs="Times New Roman"/>
          <w:sz w:val="24"/>
          <w:szCs w:val="24"/>
        </w:rPr>
        <w:t>ë</w:t>
      </w:r>
      <w:r w:rsidRPr="004979D2">
        <w:rPr>
          <w:rFonts w:ascii="Times New Roman" w:hAnsi="Times New Roman" w:cs="Times New Roman"/>
          <w:sz w:val="24"/>
          <w:szCs w:val="24"/>
        </w:rPr>
        <w:t xml:space="preserve"> zbatimin dhe </w:t>
      </w:r>
      <w:r w:rsidR="006D4F74" w:rsidRPr="004979D2">
        <w:rPr>
          <w:rFonts w:ascii="Times New Roman" w:hAnsi="Times New Roman" w:cs="Times New Roman"/>
          <w:sz w:val="24"/>
          <w:szCs w:val="24"/>
        </w:rPr>
        <w:t>ekzekutimin</w:t>
      </w:r>
      <w:r w:rsidRPr="004979D2">
        <w:rPr>
          <w:rFonts w:ascii="Times New Roman" w:hAnsi="Times New Roman" w:cs="Times New Roman"/>
          <w:sz w:val="24"/>
          <w:szCs w:val="24"/>
        </w:rPr>
        <w:t xml:space="preserve"> e dispozitave përkatëse ligjore do t</w:t>
      </w:r>
      <w:r w:rsidR="00071C60" w:rsidRPr="004979D2">
        <w:rPr>
          <w:rFonts w:ascii="Times New Roman" w:hAnsi="Times New Roman" w:cs="Times New Roman"/>
          <w:sz w:val="24"/>
          <w:szCs w:val="24"/>
        </w:rPr>
        <w:t>ë</w:t>
      </w:r>
      <w:r w:rsidRPr="004979D2">
        <w:rPr>
          <w:rFonts w:ascii="Times New Roman" w:hAnsi="Times New Roman" w:cs="Times New Roman"/>
          <w:sz w:val="24"/>
          <w:szCs w:val="24"/>
        </w:rPr>
        <w:t xml:space="preserve"> prodhonin </w:t>
      </w:r>
      <w:r w:rsidR="006D4F74" w:rsidRPr="004979D2">
        <w:rPr>
          <w:rFonts w:ascii="Times New Roman" w:hAnsi="Times New Roman" w:cs="Times New Roman"/>
          <w:sz w:val="24"/>
          <w:szCs w:val="24"/>
        </w:rPr>
        <w:t>zgjidhje</w:t>
      </w:r>
      <w:r w:rsidRPr="004979D2">
        <w:rPr>
          <w:rFonts w:ascii="Times New Roman" w:hAnsi="Times New Roman" w:cs="Times New Roman"/>
          <w:sz w:val="24"/>
          <w:szCs w:val="24"/>
        </w:rPr>
        <w:t xml:space="preserve"> </w:t>
      </w:r>
      <w:r w:rsidR="006D4F74" w:rsidRPr="004979D2">
        <w:rPr>
          <w:rFonts w:ascii="Times New Roman" w:hAnsi="Times New Roman" w:cs="Times New Roman"/>
          <w:sz w:val="24"/>
          <w:szCs w:val="24"/>
        </w:rPr>
        <w:t>për</w:t>
      </w:r>
      <w:r w:rsidRPr="004979D2">
        <w:rPr>
          <w:rFonts w:ascii="Times New Roman" w:hAnsi="Times New Roman" w:cs="Times New Roman"/>
          <w:sz w:val="24"/>
          <w:szCs w:val="24"/>
        </w:rPr>
        <w:t xml:space="preserve"> problemin e identifikuar. Andaj</w:t>
      </w:r>
      <w:r w:rsidR="00AD26F8" w:rsidRPr="004979D2">
        <w:rPr>
          <w:rFonts w:ascii="Times New Roman" w:hAnsi="Times New Roman" w:cs="Times New Roman"/>
          <w:sz w:val="24"/>
          <w:szCs w:val="24"/>
        </w:rPr>
        <w:t>,</w:t>
      </w:r>
      <w:r w:rsidRPr="004979D2">
        <w:rPr>
          <w:rFonts w:ascii="Times New Roman" w:hAnsi="Times New Roman" w:cs="Times New Roman"/>
          <w:sz w:val="24"/>
          <w:szCs w:val="24"/>
        </w:rPr>
        <w:t xml:space="preserve"> ky opsion </w:t>
      </w:r>
      <w:r w:rsidR="006D4F74" w:rsidRPr="004979D2">
        <w:rPr>
          <w:rFonts w:ascii="Times New Roman" w:hAnsi="Times New Roman" w:cs="Times New Roman"/>
          <w:sz w:val="24"/>
          <w:szCs w:val="24"/>
        </w:rPr>
        <w:t>është</w:t>
      </w:r>
      <w:r w:rsidRPr="004979D2">
        <w:rPr>
          <w:rFonts w:ascii="Times New Roman" w:hAnsi="Times New Roman" w:cs="Times New Roman"/>
          <w:sz w:val="24"/>
          <w:szCs w:val="24"/>
        </w:rPr>
        <w:t xml:space="preserve"> i rekomanduar </w:t>
      </w:r>
      <w:r w:rsidRPr="004979D2">
        <w:rPr>
          <w:rFonts w:ascii="Times New Roman" w:hAnsi="Times New Roman" w:cs="Times New Roman"/>
          <w:sz w:val="24"/>
          <w:szCs w:val="24"/>
        </w:rPr>
        <w:lastRenderedPageBreak/>
        <w:t xml:space="preserve">nga grupi punues i Koncept Dokumentit. </w:t>
      </w:r>
      <w:r w:rsidR="006D4F74" w:rsidRPr="004979D2">
        <w:rPr>
          <w:rFonts w:ascii="Times New Roman" w:hAnsi="Times New Roman" w:cs="Times New Roman"/>
          <w:sz w:val="24"/>
          <w:szCs w:val="24"/>
        </w:rPr>
        <w:t>Përmes</w:t>
      </w:r>
      <w:r w:rsidRPr="004979D2">
        <w:rPr>
          <w:rFonts w:ascii="Times New Roman" w:hAnsi="Times New Roman" w:cs="Times New Roman"/>
          <w:sz w:val="24"/>
          <w:szCs w:val="24"/>
        </w:rPr>
        <w:t xml:space="preserve"> këtij opsion</w:t>
      </w:r>
      <w:r w:rsidR="00071C60" w:rsidRPr="004979D2">
        <w:rPr>
          <w:rFonts w:ascii="Times New Roman" w:hAnsi="Times New Roman" w:cs="Times New Roman"/>
          <w:sz w:val="24"/>
          <w:szCs w:val="24"/>
        </w:rPr>
        <w:t>i</w:t>
      </w:r>
      <w:r w:rsidRPr="004979D2">
        <w:rPr>
          <w:rFonts w:ascii="Times New Roman" w:hAnsi="Times New Roman" w:cs="Times New Roman"/>
          <w:sz w:val="24"/>
          <w:szCs w:val="24"/>
        </w:rPr>
        <w:t xml:space="preserve"> synohet t</w:t>
      </w:r>
      <w:r w:rsidR="00071C60" w:rsidRPr="004979D2">
        <w:rPr>
          <w:rFonts w:ascii="Times New Roman" w:hAnsi="Times New Roman" w:cs="Times New Roman"/>
          <w:sz w:val="24"/>
          <w:szCs w:val="24"/>
        </w:rPr>
        <w:t>ë</w:t>
      </w:r>
      <w:r w:rsidRPr="004979D2">
        <w:rPr>
          <w:rFonts w:ascii="Times New Roman" w:hAnsi="Times New Roman" w:cs="Times New Roman"/>
          <w:sz w:val="24"/>
          <w:szCs w:val="24"/>
        </w:rPr>
        <w:t xml:space="preserve"> arrihet ndryshimi i politikave </w:t>
      </w:r>
      <w:proofErr w:type="spellStart"/>
      <w:r w:rsidRPr="004979D2">
        <w:rPr>
          <w:rFonts w:ascii="Times New Roman" w:hAnsi="Times New Roman" w:cs="Times New Roman"/>
          <w:sz w:val="24"/>
          <w:szCs w:val="24"/>
        </w:rPr>
        <w:t>ekzistuese</w:t>
      </w:r>
      <w:r w:rsidR="00AD26F8" w:rsidRPr="004979D2">
        <w:rPr>
          <w:rFonts w:ascii="Times New Roman" w:hAnsi="Times New Roman" w:cs="Times New Roman"/>
          <w:sz w:val="24"/>
          <w:szCs w:val="24"/>
        </w:rPr>
        <w:t>.Ligji</w:t>
      </w:r>
      <w:proofErr w:type="spellEnd"/>
      <w:r w:rsidR="00AD26F8" w:rsidRPr="004979D2">
        <w:rPr>
          <w:rFonts w:ascii="Times New Roman" w:hAnsi="Times New Roman" w:cs="Times New Roman"/>
          <w:sz w:val="24"/>
          <w:szCs w:val="24"/>
        </w:rPr>
        <w:t xml:space="preserve"> i ri për mbrojtjen e konkurrencës </w:t>
      </w:r>
      <w:r w:rsidR="003077DE" w:rsidRPr="004979D2">
        <w:rPr>
          <w:rFonts w:ascii="Times New Roman" w:hAnsi="Times New Roman" w:cs="Times New Roman"/>
          <w:sz w:val="24"/>
          <w:szCs w:val="24"/>
        </w:rPr>
        <w:t>duhet</w:t>
      </w:r>
      <w:r w:rsidRPr="004979D2">
        <w:rPr>
          <w:rFonts w:ascii="Times New Roman" w:hAnsi="Times New Roman" w:cs="Times New Roman"/>
          <w:sz w:val="24"/>
          <w:szCs w:val="24"/>
        </w:rPr>
        <w:t xml:space="preserve"> t</w:t>
      </w:r>
      <w:r w:rsidR="00071C60" w:rsidRPr="004979D2">
        <w:rPr>
          <w:rFonts w:ascii="Times New Roman" w:hAnsi="Times New Roman" w:cs="Times New Roman"/>
          <w:sz w:val="24"/>
          <w:szCs w:val="24"/>
        </w:rPr>
        <w:t>ë</w:t>
      </w:r>
      <w:r w:rsidRPr="004979D2">
        <w:rPr>
          <w:rFonts w:ascii="Times New Roman" w:hAnsi="Times New Roman" w:cs="Times New Roman"/>
          <w:sz w:val="24"/>
          <w:szCs w:val="24"/>
        </w:rPr>
        <w:t xml:space="preserve"> </w:t>
      </w:r>
      <w:r w:rsidR="006D4F74" w:rsidRPr="004979D2">
        <w:rPr>
          <w:rFonts w:ascii="Times New Roman" w:hAnsi="Times New Roman" w:cs="Times New Roman"/>
          <w:sz w:val="24"/>
          <w:szCs w:val="24"/>
        </w:rPr>
        <w:t>merr</w:t>
      </w:r>
      <w:r w:rsidR="003077DE" w:rsidRPr="004979D2">
        <w:rPr>
          <w:rFonts w:ascii="Times New Roman" w:hAnsi="Times New Roman" w:cs="Times New Roman"/>
          <w:sz w:val="24"/>
          <w:szCs w:val="24"/>
        </w:rPr>
        <w:t xml:space="preserve"> </w:t>
      </w:r>
      <w:r w:rsidR="006D4F74" w:rsidRPr="004979D2">
        <w:rPr>
          <w:rFonts w:ascii="Times New Roman" w:hAnsi="Times New Roman" w:cs="Times New Roman"/>
          <w:sz w:val="24"/>
          <w:szCs w:val="24"/>
        </w:rPr>
        <w:t>për</w:t>
      </w:r>
      <w:r w:rsidRPr="004979D2">
        <w:rPr>
          <w:rFonts w:ascii="Times New Roman" w:hAnsi="Times New Roman" w:cs="Times New Roman"/>
          <w:sz w:val="24"/>
          <w:szCs w:val="24"/>
        </w:rPr>
        <w:t xml:space="preserve"> baz</w:t>
      </w:r>
      <w:r w:rsidR="00033B83" w:rsidRPr="004979D2">
        <w:rPr>
          <w:rFonts w:ascii="Times New Roman" w:hAnsi="Times New Roman" w:cs="Times New Roman"/>
          <w:sz w:val="24"/>
          <w:szCs w:val="24"/>
        </w:rPr>
        <w:t>ë</w:t>
      </w:r>
      <w:r w:rsidRPr="004979D2">
        <w:rPr>
          <w:rFonts w:ascii="Times New Roman" w:hAnsi="Times New Roman" w:cs="Times New Roman"/>
          <w:sz w:val="24"/>
          <w:szCs w:val="24"/>
        </w:rPr>
        <w:t xml:space="preserve"> </w:t>
      </w:r>
      <w:r w:rsidRPr="004979D2">
        <w:rPr>
          <w:rFonts w:ascii="Times New Roman" w:hAnsi="Times New Roman" w:cs="Times New Roman"/>
          <w:b/>
          <w:sz w:val="24"/>
          <w:szCs w:val="24"/>
        </w:rPr>
        <w:t>rekomandimet</w:t>
      </w:r>
      <w:r w:rsidRPr="004979D2">
        <w:rPr>
          <w:rFonts w:ascii="Times New Roman" w:hAnsi="Times New Roman" w:cs="Times New Roman"/>
          <w:sz w:val="24"/>
          <w:szCs w:val="24"/>
        </w:rPr>
        <w:t xml:space="preserve"> e m</w:t>
      </w:r>
      <w:r w:rsidR="00E56588" w:rsidRPr="004979D2">
        <w:rPr>
          <w:rFonts w:ascii="Times New Roman" w:hAnsi="Times New Roman" w:cs="Times New Roman"/>
          <w:sz w:val="24"/>
          <w:szCs w:val="24"/>
        </w:rPr>
        <w:t>ë</w:t>
      </w:r>
      <w:r w:rsidRPr="004979D2">
        <w:rPr>
          <w:rFonts w:ascii="Times New Roman" w:hAnsi="Times New Roman" w:cs="Times New Roman"/>
          <w:sz w:val="24"/>
          <w:szCs w:val="24"/>
        </w:rPr>
        <w:t>posht</w:t>
      </w:r>
      <w:r w:rsidR="00FA6E36" w:rsidRPr="004979D2">
        <w:rPr>
          <w:rFonts w:ascii="Times New Roman" w:hAnsi="Times New Roman" w:cs="Times New Roman"/>
          <w:sz w:val="24"/>
          <w:szCs w:val="24"/>
        </w:rPr>
        <w:t>me</w:t>
      </w:r>
      <w:r w:rsidRPr="004979D2">
        <w:rPr>
          <w:rFonts w:ascii="Times New Roman" w:hAnsi="Times New Roman" w:cs="Times New Roman"/>
          <w:sz w:val="24"/>
          <w:szCs w:val="24"/>
        </w:rPr>
        <w:t xml:space="preserve"> t</w:t>
      </w:r>
      <w:r w:rsidR="00071C60" w:rsidRPr="004979D2">
        <w:rPr>
          <w:rFonts w:ascii="Times New Roman" w:hAnsi="Times New Roman" w:cs="Times New Roman"/>
          <w:sz w:val="24"/>
          <w:szCs w:val="24"/>
        </w:rPr>
        <w:t>ë</w:t>
      </w:r>
      <w:r w:rsidRPr="004979D2">
        <w:rPr>
          <w:rFonts w:ascii="Times New Roman" w:hAnsi="Times New Roman" w:cs="Times New Roman"/>
          <w:sz w:val="24"/>
          <w:szCs w:val="24"/>
        </w:rPr>
        <w:t xml:space="preserve"> dala nga </w:t>
      </w:r>
      <w:r w:rsidR="006D4F74" w:rsidRPr="004979D2">
        <w:rPr>
          <w:rFonts w:ascii="Times New Roman" w:hAnsi="Times New Roman" w:cs="Times New Roman"/>
          <w:sz w:val="24"/>
          <w:szCs w:val="24"/>
        </w:rPr>
        <w:t xml:space="preserve">analiza e </w:t>
      </w:r>
      <w:r w:rsidR="007602F2" w:rsidRPr="004979D2">
        <w:rPr>
          <w:rFonts w:ascii="Times New Roman" w:hAnsi="Times New Roman" w:cs="Times New Roman"/>
          <w:sz w:val="24"/>
          <w:szCs w:val="24"/>
        </w:rPr>
        <w:t>këtij</w:t>
      </w:r>
      <w:r w:rsidRPr="004979D2">
        <w:rPr>
          <w:rFonts w:ascii="Times New Roman" w:hAnsi="Times New Roman" w:cs="Times New Roman"/>
          <w:sz w:val="24"/>
          <w:szCs w:val="24"/>
        </w:rPr>
        <w:t xml:space="preserve"> Koncept Dokument</w:t>
      </w:r>
      <w:r w:rsidR="007602F2" w:rsidRPr="004979D2">
        <w:rPr>
          <w:rFonts w:ascii="Times New Roman" w:hAnsi="Times New Roman" w:cs="Times New Roman"/>
          <w:sz w:val="24"/>
          <w:szCs w:val="24"/>
        </w:rPr>
        <w:t>i</w:t>
      </w:r>
      <w:r w:rsidRPr="004979D2">
        <w:rPr>
          <w:rFonts w:ascii="Times New Roman" w:hAnsi="Times New Roman" w:cs="Times New Roman"/>
          <w:sz w:val="24"/>
          <w:szCs w:val="24"/>
        </w:rPr>
        <w:t>:</w:t>
      </w:r>
    </w:p>
    <w:p w14:paraId="2C2D8183" w14:textId="4E65682E" w:rsidR="007602F2" w:rsidRPr="004979D2" w:rsidRDefault="007602F2" w:rsidP="002B1BC6">
      <w:pPr>
        <w:pStyle w:val="ListParagraph"/>
        <w:numPr>
          <w:ilvl w:val="0"/>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Përjashtimet nga marrëveshjet e ndaluara </w:t>
      </w:r>
      <w:r w:rsidR="007005FE" w:rsidRPr="004979D2">
        <w:rPr>
          <w:rFonts w:ascii="Times New Roman" w:hAnsi="Times New Roman" w:cs="Times New Roman"/>
          <w:sz w:val="24"/>
          <w:szCs w:val="24"/>
        </w:rPr>
        <w:t xml:space="preserve">horizontale dhe vertikale </w:t>
      </w:r>
      <w:r w:rsidRPr="004979D2">
        <w:rPr>
          <w:rFonts w:ascii="Times New Roman" w:hAnsi="Times New Roman" w:cs="Times New Roman"/>
          <w:sz w:val="24"/>
          <w:szCs w:val="24"/>
        </w:rPr>
        <w:t xml:space="preserve">do të duhej që të rregullohen </w:t>
      </w:r>
      <w:r w:rsidR="009A4BAB" w:rsidRPr="004979D2">
        <w:rPr>
          <w:rFonts w:ascii="Times New Roman" w:hAnsi="Times New Roman" w:cs="Times New Roman"/>
          <w:sz w:val="24"/>
          <w:szCs w:val="24"/>
        </w:rPr>
        <w:t>në kuadër të përjashtimeve grupore, përkatësisht  me</w:t>
      </w:r>
      <w:r w:rsidRPr="004979D2">
        <w:rPr>
          <w:rFonts w:ascii="Times New Roman" w:hAnsi="Times New Roman" w:cs="Times New Roman"/>
          <w:sz w:val="24"/>
          <w:szCs w:val="24"/>
        </w:rPr>
        <w:t xml:space="preserve"> akte nënligjore të cilat do të specifikoheshin në nenin e përjashtimeve t</w:t>
      </w:r>
      <w:r w:rsidR="00071C60" w:rsidRPr="004979D2">
        <w:rPr>
          <w:rFonts w:ascii="Times New Roman" w:hAnsi="Times New Roman" w:cs="Times New Roman"/>
          <w:sz w:val="24"/>
          <w:szCs w:val="24"/>
        </w:rPr>
        <w:t>ë</w:t>
      </w:r>
      <w:r w:rsidRPr="004979D2">
        <w:rPr>
          <w:rFonts w:ascii="Times New Roman" w:hAnsi="Times New Roman" w:cs="Times New Roman"/>
          <w:sz w:val="24"/>
          <w:szCs w:val="24"/>
        </w:rPr>
        <w:t xml:space="preserve"> ndaluara siç janë: Përjashtim i marrëveshjeve </w:t>
      </w:r>
      <w:r w:rsidR="00AD26F8" w:rsidRPr="004979D2">
        <w:rPr>
          <w:rFonts w:ascii="Times New Roman" w:hAnsi="Times New Roman" w:cs="Times New Roman"/>
          <w:sz w:val="24"/>
          <w:szCs w:val="24"/>
        </w:rPr>
        <w:t>h</w:t>
      </w:r>
      <w:r w:rsidRPr="004979D2">
        <w:rPr>
          <w:rFonts w:ascii="Times New Roman" w:hAnsi="Times New Roman" w:cs="Times New Roman"/>
          <w:sz w:val="24"/>
          <w:szCs w:val="24"/>
        </w:rPr>
        <w:t xml:space="preserve">orizontale, </w:t>
      </w:r>
      <w:r w:rsidR="00AD26F8" w:rsidRPr="004979D2">
        <w:rPr>
          <w:rFonts w:ascii="Times New Roman" w:hAnsi="Times New Roman" w:cs="Times New Roman"/>
          <w:sz w:val="24"/>
          <w:szCs w:val="24"/>
        </w:rPr>
        <w:t>p</w:t>
      </w:r>
      <w:r w:rsidRPr="004979D2">
        <w:rPr>
          <w:rFonts w:ascii="Times New Roman" w:hAnsi="Times New Roman" w:cs="Times New Roman"/>
          <w:sz w:val="24"/>
          <w:szCs w:val="24"/>
        </w:rPr>
        <w:t xml:space="preserve">ërjashtimi i marrëveshjeve  </w:t>
      </w:r>
      <w:r w:rsidR="00AD26F8" w:rsidRPr="004979D2">
        <w:rPr>
          <w:rFonts w:ascii="Times New Roman" w:hAnsi="Times New Roman" w:cs="Times New Roman"/>
          <w:sz w:val="24"/>
          <w:szCs w:val="24"/>
        </w:rPr>
        <w:t>v</w:t>
      </w:r>
      <w:r w:rsidRPr="004979D2">
        <w:rPr>
          <w:rFonts w:ascii="Times New Roman" w:hAnsi="Times New Roman" w:cs="Times New Roman"/>
          <w:sz w:val="24"/>
          <w:szCs w:val="24"/>
        </w:rPr>
        <w:t xml:space="preserve">ertikale, </w:t>
      </w:r>
      <w:r w:rsidR="00AD26F8" w:rsidRPr="004979D2">
        <w:rPr>
          <w:rFonts w:ascii="Times New Roman" w:hAnsi="Times New Roman" w:cs="Times New Roman"/>
          <w:sz w:val="24"/>
          <w:szCs w:val="24"/>
        </w:rPr>
        <w:t>p</w:t>
      </w:r>
      <w:r w:rsidRPr="004979D2">
        <w:rPr>
          <w:rFonts w:ascii="Times New Roman" w:hAnsi="Times New Roman" w:cs="Times New Roman"/>
          <w:sz w:val="24"/>
          <w:szCs w:val="24"/>
        </w:rPr>
        <w:t>ërjashtimi i marrëveshjeve të sigurimeve, përjashtimi i marrëveshjeve për bartjen e teknologjisë etj.  Të fshihen nenet 5, 6 dhe 7 dhe të përfshihen në nenin që ka të bëjë me lejimin e përjashtimeve grupore duke i specifikuar aktet nënligjore që do të rregullonin,  kushtet që duhet t’i përmbushin  marrëveshjet  dhe ato që nuk guxon t’i kenë për t’u përjashtuar në grup. Vlen të theksohet se ky ri</w:t>
      </w:r>
      <w:r w:rsidR="00E56588" w:rsidRPr="004979D2">
        <w:rPr>
          <w:rFonts w:ascii="Times New Roman" w:hAnsi="Times New Roman" w:cs="Times New Roman"/>
          <w:sz w:val="24"/>
          <w:szCs w:val="24"/>
        </w:rPr>
        <w:t>-</w:t>
      </w:r>
      <w:r w:rsidRPr="004979D2">
        <w:rPr>
          <w:rFonts w:ascii="Times New Roman" w:hAnsi="Times New Roman" w:cs="Times New Roman"/>
          <w:sz w:val="24"/>
          <w:szCs w:val="24"/>
        </w:rPr>
        <w:t xml:space="preserve">rregullim ligjor ka </w:t>
      </w:r>
      <w:proofErr w:type="spellStart"/>
      <w:r w:rsidRPr="004979D2">
        <w:rPr>
          <w:rFonts w:ascii="Times New Roman" w:hAnsi="Times New Roman" w:cs="Times New Roman"/>
          <w:sz w:val="24"/>
          <w:szCs w:val="24"/>
        </w:rPr>
        <w:t>gjet</w:t>
      </w:r>
      <w:r w:rsidR="00E56588" w:rsidRPr="004979D2">
        <w:rPr>
          <w:rFonts w:ascii="Times New Roman" w:hAnsi="Times New Roman" w:cs="Times New Roman"/>
          <w:sz w:val="24"/>
          <w:szCs w:val="24"/>
        </w:rPr>
        <w:t>ë</w:t>
      </w:r>
      <w:proofErr w:type="spellEnd"/>
      <w:r w:rsidRPr="004979D2">
        <w:rPr>
          <w:rFonts w:ascii="Times New Roman" w:hAnsi="Times New Roman" w:cs="Times New Roman"/>
          <w:sz w:val="24"/>
          <w:szCs w:val="24"/>
        </w:rPr>
        <w:t xml:space="preserve"> shprehje si  në Direktivat Evropiane ashtu edhe t</w:t>
      </w:r>
      <w:r w:rsidR="00071C60" w:rsidRPr="004979D2">
        <w:rPr>
          <w:rFonts w:ascii="Times New Roman" w:hAnsi="Times New Roman" w:cs="Times New Roman"/>
          <w:sz w:val="24"/>
          <w:szCs w:val="24"/>
        </w:rPr>
        <w:t>ë</w:t>
      </w:r>
      <w:r w:rsidRPr="004979D2">
        <w:rPr>
          <w:rFonts w:ascii="Times New Roman" w:hAnsi="Times New Roman" w:cs="Times New Roman"/>
          <w:sz w:val="24"/>
          <w:szCs w:val="24"/>
        </w:rPr>
        <w:t xml:space="preserve"> shumica e shteteve që janë në fazën e </w:t>
      </w:r>
      <w:proofErr w:type="spellStart"/>
      <w:r w:rsidRPr="004979D2">
        <w:rPr>
          <w:rFonts w:ascii="Times New Roman" w:hAnsi="Times New Roman" w:cs="Times New Roman"/>
          <w:sz w:val="24"/>
          <w:szCs w:val="24"/>
        </w:rPr>
        <w:t>tranzicionit</w:t>
      </w:r>
      <w:proofErr w:type="spellEnd"/>
      <w:r w:rsidRPr="004979D2">
        <w:rPr>
          <w:rFonts w:ascii="Times New Roman" w:hAnsi="Times New Roman" w:cs="Times New Roman"/>
          <w:sz w:val="24"/>
          <w:szCs w:val="24"/>
        </w:rPr>
        <w:t>.</w:t>
      </w:r>
    </w:p>
    <w:p w14:paraId="68CE452C" w14:textId="2A1142CE" w:rsidR="007602F2" w:rsidRPr="004979D2" w:rsidRDefault="009A4BAB" w:rsidP="002B1BC6">
      <w:pPr>
        <w:pStyle w:val="ListParagraph"/>
        <w:numPr>
          <w:ilvl w:val="0"/>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 Ligji duhet të definoj saktë se cilat </w:t>
      </w:r>
      <w:proofErr w:type="spellStart"/>
      <w:r w:rsidRPr="004979D2">
        <w:rPr>
          <w:rFonts w:ascii="Times New Roman" w:hAnsi="Times New Roman" w:cs="Times New Roman"/>
          <w:sz w:val="24"/>
          <w:szCs w:val="24"/>
        </w:rPr>
        <w:t>m</w:t>
      </w:r>
      <w:r w:rsidR="00016C55" w:rsidRPr="004979D2">
        <w:rPr>
          <w:rFonts w:ascii="Times New Roman" w:hAnsi="Times New Roman" w:cs="Times New Roman"/>
          <w:sz w:val="24"/>
          <w:szCs w:val="24"/>
        </w:rPr>
        <w:t>arrëveshje</w:t>
      </w:r>
      <w:r w:rsidRPr="004979D2">
        <w:rPr>
          <w:rFonts w:ascii="Times New Roman" w:hAnsi="Times New Roman" w:cs="Times New Roman"/>
          <w:sz w:val="24"/>
          <w:szCs w:val="24"/>
        </w:rPr>
        <w:t>kualifikohen</w:t>
      </w:r>
      <w:proofErr w:type="spellEnd"/>
      <w:r w:rsidRPr="004979D2">
        <w:rPr>
          <w:rFonts w:ascii="Times New Roman" w:hAnsi="Times New Roman" w:cs="Times New Roman"/>
          <w:sz w:val="24"/>
          <w:szCs w:val="24"/>
        </w:rPr>
        <w:t xml:space="preserve"> </w:t>
      </w:r>
      <w:r w:rsidR="007602F2" w:rsidRPr="004979D2">
        <w:rPr>
          <w:rFonts w:ascii="Times New Roman" w:hAnsi="Times New Roman" w:cs="Times New Roman"/>
          <w:sz w:val="24"/>
          <w:szCs w:val="24"/>
        </w:rPr>
        <w:t>për përjashtime grupore</w:t>
      </w:r>
      <w:r w:rsidRPr="004979D2">
        <w:rPr>
          <w:rFonts w:ascii="Times New Roman" w:hAnsi="Times New Roman" w:cs="Times New Roman"/>
          <w:sz w:val="24"/>
          <w:szCs w:val="24"/>
        </w:rPr>
        <w:t>. Kjo çështje duhet të</w:t>
      </w:r>
      <w:r w:rsidR="007602F2" w:rsidRPr="004979D2">
        <w:rPr>
          <w:rFonts w:ascii="Times New Roman" w:hAnsi="Times New Roman" w:cs="Times New Roman"/>
          <w:sz w:val="24"/>
          <w:szCs w:val="24"/>
        </w:rPr>
        <w:t xml:space="preserve"> </w:t>
      </w:r>
      <w:r w:rsidRPr="004979D2">
        <w:rPr>
          <w:rFonts w:ascii="Times New Roman" w:hAnsi="Times New Roman" w:cs="Times New Roman"/>
          <w:sz w:val="24"/>
          <w:szCs w:val="24"/>
        </w:rPr>
        <w:t>definohet</w:t>
      </w:r>
      <w:r w:rsidR="00473176" w:rsidRPr="004979D2">
        <w:rPr>
          <w:rFonts w:ascii="Times New Roman" w:hAnsi="Times New Roman" w:cs="Times New Roman"/>
          <w:sz w:val="24"/>
          <w:szCs w:val="24"/>
        </w:rPr>
        <w:t xml:space="preserve"> </w:t>
      </w:r>
      <w:r w:rsidR="007602F2" w:rsidRPr="004979D2">
        <w:rPr>
          <w:rFonts w:ascii="Times New Roman" w:hAnsi="Times New Roman" w:cs="Times New Roman"/>
          <w:sz w:val="24"/>
          <w:szCs w:val="24"/>
        </w:rPr>
        <w:t>me ligj  e jo me akte  nënligjore sepse mund të krijojnë efekte në procedura të panevojshme duke ndikuar në efikasitetin e vendimmarrjes së Autoritetit.</w:t>
      </w:r>
      <w:r w:rsidR="00016C55" w:rsidRPr="004979D2">
        <w:rPr>
          <w:rFonts w:ascii="Times New Roman" w:hAnsi="Times New Roman" w:cs="Times New Roman"/>
          <w:sz w:val="24"/>
          <w:szCs w:val="24"/>
        </w:rPr>
        <w:t xml:space="preserve"> Andaj, rekomandohet të definohen qartë dhe të specifikohen marrëveshjet grupore. </w:t>
      </w:r>
      <w:r w:rsidR="00071C60" w:rsidRPr="004979D2">
        <w:rPr>
          <w:rFonts w:ascii="Times New Roman" w:hAnsi="Times New Roman" w:cs="Times New Roman"/>
          <w:sz w:val="24"/>
          <w:szCs w:val="24"/>
        </w:rPr>
        <w:t xml:space="preserve"> </w:t>
      </w:r>
    </w:p>
    <w:p w14:paraId="4C4086DE" w14:textId="77777777" w:rsidR="007602F2" w:rsidRPr="004979D2" w:rsidRDefault="007602F2" w:rsidP="002B1BC6">
      <w:pPr>
        <w:pStyle w:val="ListParagraph"/>
        <w:numPr>
          <w:ilvl w:val="0"/>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Përqindja e </w:t>
      </w:r>
      <w:r w:rsidR="00071C60" w:rsidRPr="004979D2">
        <w:rPr>
          <w:rFonts w:ascii="Times New Roman" w:hAnsi="Times New Roman" w:cs="Times New Roman"/>
          <w:sz w:val="24"/>
          <w:szCs w:val="24"/>
        </w:rPr>
        <w:t>pozitës</w:t>
      </w:r>
      <w:r w:rsidRPr="004979D2">
        <w:rPr>
          <w:rFonts w:ascii="Times New Roman" w:hAnsi="Times New Roman" w:cs="Times New Roman"/>
          <w:sz w:val="24"/>
          <w:szCs w:val="24"/>
        </w:rPr>
        <w:t xml:space="preserve"> dominuese n</w:t>
      </w:r>
      <w:r w:rsidR="00071C60" w:rsidRPr="004979D2">
        <w:rPr>
          <w:rFonts w:ascii="Times New Roman" w:hAnsi="Times New Roman" w:cs="Times New Roman"/>
          <w:sz w:val="24"/>
          <w:szCs w:val="24"/>
        </w:rPr>
        <w:t>ë</w:t>
      </w:r>
      <w:r w:rsidRPr="004979D2">
        <w:rPr>
          <w:rFonts w:ascii="Times New Roman" w:hAnsi="Times New Roman" w:cs="Times New Roman"/>
          <w:sz w:val="24"/>
          <w:szCs w:val="24"/>
        </w:rPr>
        <w:t xml:space="preserve"> tregun relevant t</w:t>
      </w:r>
      <w:r w:rsidR="00071C60" w:rsidRPr="004979D2">
        <w:rPr>
          <w:rFonts w:ascii="Times New Roman" w:hAnsi="Times New Roman" w:cs="Times New Roman"/>
          <w:sz w:val="24"/>
          <w:szCs w:val="24"/>
        </w:rPr>
        <w:t>ë</w:t>
      </w:r>
      <w:r w:rsidRPr="004979D2">
        <w:rPr>
          <w:rFonts w:ascii="Times New Roman" w:hAnsi="Times New Roman" w:cs="Times New Roman"/>
          <w:sz w:val="24"/>
          <w:szCs w:val="24"/>
        </w:rPr>
        <w:t xml:space="preserve"> ndryshohet nga njëzetepesë  (25 %) t</w:t>
      </w:r>
      <w:r w:rsidR="00071C60" w:rsidRPr="004979D2">
        <w:rPr>
          <w:rFonts w:ascii="Times New Roman" w:hAnsi="Times New Roman" w:cs="Times New Roman"/>
          <w:sz w:val="24"/>
          <w:szCs w:val="24"/>
        </w:rPr>
        <w:t>ë</w:t>
      </w:r>
      <w:r w:rsidRPr="004979D2">
        <w:rPr>
          <w:rFonts w:ascii="Times New Roman" w:hAnsi="Times New Roman" w:cs="Times New Roman"/>
          <w:sz w:val="24"/>
          <w:szCs w:val="24"/>
        </w:rPr>
        <w:t xml:space="preserve"> vendoset  n</w:t>
      </w:r>
      <w:r w:rsidR="00071C60" w:rsidRPr="004979D2">
        <w:rPr>
          <w:rFonts w:ascii="Times New Roman" w:hAnsi="Times New Roman" w:cs="Times New Roman"/>
          <w:sz w:val="24"/>
          <w:szCs w:val="24"/>
        </w:rPr>
        <w:t>ë</w:t>
      </w:r>
      <w:r w:rsidRPr="004979D2">
        <w:rPr>
          <w:rFonts w:ascii="Times New Roman" w:hAnsi="Times New Roman" w:cs="Times New Roman"/>
          <w:sz w:val="24"/>
          <w:szCs w:val="24"/>
        </w:rPr>
        <w:t xml:space="preserve">   (40%).</w:t>
      </w:r>
    </w:p>
    <w:p w14:paraId="6282E357" w14:textId="77777777" w:rsidR="00DE67FA" w:rsidRPr="004979D2" w:rsidRDefault="00DE67FA" w:rsidP="002B1BC6">
      <w:pPr>
        <w:pStyle w:val="ListParagraph"/>
        <w:numPr>
          <w:ilvl w:val="1"/>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Rekomandohet që paragrafi 1.1 i nenit 10 q</w:t>
      </w:r>
      <w:r w:rsidR="0000074C" w:rsidRPr="004979D2">
        <w:rPr>
          <w:rFonts w:ascii="Times New Roman" w:hAnsi="Times New Roman" w:cs="Times New Roman"/>
          <w:sz w:val="24"/>
          <w:szCs w:val="24"/>
        </w:rPr>
        <w:t>ë</w:t>
      </w:r>
      <w:r w:rsidRPr="004979D2">
        <w:rPr>
          <w:rFonts w:ascii="Times New Roman" w:hAnsi="Times New Roman" w:cs="Times New Roman"/>
          <w:sz w:val="24"/>
          <w:szCs w:val="24"/>
        </w:rPr>
        <w:t xml:space="preserve"> përcakton kriteret për përcaktimin e pozitës dominues të ndryshohet duke u bazuar në praktikën gjyqësore të BE-së.</w:t>
      </w:r>
    </w:p>
    <w:p w14:paraId="525861A3" w14:textId="77777777" w:rsidR="007602F2" w:rsidRPr="004979D2" w:rsidRDefault="007602F2" w:rsidP="002B1BC6">
      <w:pPr>
        <w:pStyle w:val="ListParagraph"/>
        <w:numPr>
          <w:ilvl w:val="1"/>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Të qartësohet pozita e përbashkët dominuese e dy apo më shumë ndërmarrjeve dhe të rritet pragu për pozitën dominuese të dy apo më shumë ndërmarrjeve në tregun relevant nga 40% në 50% - 60%. Në nivel të BE-së pjesëmarrja në treg është e vendosur  80%.  </w:t>
      </w:r>
    </w:p>
    <w:p w14:paraId="23A68CAC" w14:textId="733C9886" w:rsidR="002A73ED" w:rsidRPr="004979D2" w:rsidRDefault="007602F2" w:rsidP="002B1BC6">
      <w:pPr>
        <w:pStyle w:val="ListParagraph"/>
        <w:numPr>
          <w:ilvl w:val="0"/>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Neni 57a par. 1 i </w:t>
      </w:r>
      <w:r w:rsidR="00016C55" w:rsidRPr="004979D2">
        <w:rPr>
          <w:rFonts w:ascii="Times New Roman" w:hAnsi="Times New Roman" w:cs="Times New Roman"/>
          <w:sz w:val="24"/>
          <w:szCs w:val="24"/>
        </w:rPr>
        <w:t xml:space="preserve">Ligjit </w:t>
      </w:r>
      <w:r w:rsidR="009A4BAB" w:rsidRPr="004979D2">
        <w:rPr>
          <w:rFonts w:ascii="Times New Roman" w:hAnsi="Times New Roman" w:cs="Times New Roman"/>
          <w:sz w:val="24"/>
          <w:szCs w:val="24"/>
        </w:rPr>
        <w:t xml:space="preserve">Nr. 04/L-226 </w:t>
      </w:r>
      <w:r w:rsidR="00016C55" w:rsidRPr="004979D2">
        <w:rPr>
          <w:rFonts w:ascii="Times New Roman" w:hAnsi="Times New Roman" w:cs="Times New Roman"/>
          <w:sz w:val="24"/>
          <w:szCs w:val="24"/>
        </w:rPr>
        <w:t xml:space="preserve">për </w:t>
      </w:r>
      <w:r w:rsidRPr="004979D2">
        <w:rPr>
          <w:rFonts w:ascii="Times New Roman" w:hAnsi="Times New Roman" w:cs="Times New Roman"/>
          <w:sz w:val="24"/>
          <w:szCs w:val="24"/>
        </w:rPr>
        <w:t>Plotësim Ndryshimin e Ligjit</w:t>
      </w:r>
      <w:r w:rsidR="009A4BAB" w:rsidRPr="004979D2">
        <w:rPr>
          <w:rFonts w:ascii="Times New Roman" w:hAnsi="Times New Roman" w:cs="Times New Roman"/>
          <w:sz w:val="24"/>
          <w:szCs w:val="24"/>
        </w:rPr>
        <w:t xml:space="preserve"> Nr. 03/L-229</w:t>
      </w:r>
      <w:r w:rsidRPr="004979D2">
        <w:rPr>
          <w:rFonts w:ascii="Times New Roman" w:hAnsi="Times New Roman" w:cs="Times New Roman"/>
          <w:sz w:val="24"/>
          <w:szCs w:val="24"/>
        </w:rPr>
        <w:t xml:space="preserve"> për Mbrojtjen e Konkurrencës do të duhej fshihet për arsye se është </w:t>
      </w:r>
      <w:proofErr w:type="spellStart"/>
      <w:r w:rsidR="00473176" w:rsidRPr="004979D2">
        <w:rPr>
          <w:rFonts w:ascii="Times New Roman" w:hAnsi="Times New Roman" w:cs="Times New Roman"/>
          <w:sz w:val="24"/>
          <w:szCs w:val="24"/>
        </w:rPr>
        <w:t>duplifikim</w:t>
      </w:r>
      <w:proofErr w:type="spellEnd"/>
      <w:r w:rsidR="00473176" w:rsidRPr="004979D2">
        <w:rPr>
          <w:rFonts w:ascii="Times New Roman" w:hAnsi="Times New Roman" w:cs="Times New Roman"/>
          <w:sz w:val="24"/>
          <w:szCs w:val="24"/>
        </w:rPr>
        <w:t xml:space="preserve"> </w:t>
      </w:r>
      <w:r w:rsidRPr="004979D2">
        <w:rPr>
          <w:rFonts w:ascii="Times New Roman" w:hAnsi="Times New Roman" w:cs="Times New Roman"/>
          <w:sz w:val="24"/>
          <w:szCs w:val="24"/>
        </w:rPr>
        <w:t>i dënimit duke pasur parasysh se dënimet e tilla janë të parapara me Kodin Penal të Republikës së Kosovës</w:t>
      </w:r>
      <w:r w:rsidR="00016C55" w:rsidRPr="004979D2">
        <w:rPr>
          <w:rFonts w:ascii="Times New Roman" w:hAnsi="Times New Roman" w:cs="Times New Roman"/>
          <w:sz w:val="24"/>
          <w:szCs w:val="24"/>
        </w:rPr>
        <w:t>, përkatësisht</w:t>
      </w:r>
      <w:r w:rsidRPr="004979D2">
        <w:rPr>
          <w:rFonts w:ascii="Times New Roman" w:hAnsi="Times New Roman" w:cs="Times New Roman"/>
          <w:sz w:val="24"/>
          <w:szCs w:val="24"/>
        </w:rPr>
        <w:t xml:space="preserve">  neni 301.</w:t>
      </w:r>
      <w:r w:rsidR="00B710AD" w:rsidRPr="004979D2">
        <w:rPr>
          <w:rFonts w:ascii="Times New Roman" w:hAnsi="Times New Roman" w:cs="Times New Roman"/>
          <w:sz w:val="24"/>
          <w:szCs w:val="24"/>
        </w:rPr>
        <w:t xml:space="preserve"> </w:t>
      </w:r>
    </w:p>
    <w:p w14:paraId="476F6FE3" w14:textId="77777777" w:rsidR="007602F2" w:rsidRPr="004979D2" w:rsidRDefault="007602F2" w:rsidP="002B1BC6">
      <w:pPr>
        <w:pStyle w:val="ListParagraph"/>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lastRenderedPageBreak/>
        <w:t>Për të siguruar harmonizimin me LPPA, parashihet të bëhen ndryshimet si në vijim:</w:t>
      </w:r>
    </w:p>
    <w:p w14:paraId="1924234C" w14:textId="7A7B33F0" w:rsidR="007602F2" w:rsidRPr="004979D2" w:rsidRDefault="007602F2" w:rsidP="002B1BC6">
      <w:pPr>
        <w:pStyle w:val="ListParagraph"/>
        <w:numPr>
          <w:ilvl w:val="1"/>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Neni 8 </w:t>
      </w:r>
      <w:r w:rsidR="00BF1499" w:rsidRPr="004979D2">
        <w:rPr>
          <w:rFonts w:ascii="Times New Roman" w:hAnsi="Times New Roman" w:cs="Times New Roman"/>
          <w:sz w:val="24"/>
          <w:szCs w:val="24"/>
        </w:rPr>
        <w:t>duhet</w:t>
      </w:r>
      <w:r w:rsidRPr="004979D2">
        <w:rPr>
          <w:rFonts w:ascii="Times New Roman" w:hAnsi="Times New Roman" w:cs="Times New Roman"/>
          <w:sz w:val="24"/>
          <w:szCs w:val="24"/>
        </w:rPr>
        <w:t xml:space="preserve"> të parasheh kriteret dhe kushtet për përcaktimin e marrëveshjeve me vlerë të vogël në aspekt të përgjithshëm. Të njëjtat </w:t>
      </w:r>
      <w:r w:rsidR="00BF1499" w:rsidRPr="004979D2">
        <w:rPr>
          <w:rFonts w:ascii="Times New Roman" w:hAnsi="Times New Roman" w:cs="Times New Roman"/>
          <w:sz w:val="24"/>
          <w:szCs w:val="24"/>
        </w:rPr>
        <w:t xml:space="preserve">duhet të </w:t>
      </w:r>
      <w:r w:rsidR="00EF3D1F" w:rsidRPr="004979D2">
        <w:rPr>
          <w:rFonts w:ascii="Times New Roman" w:hAnsi="Times New Roman" w:cs="Times New Roman"/>
          <w:sz w:val="24"/>
          <w:szCs w:val="24"/>
        </w:rPr>
        <w:t>detajohen</w:t>
      </w:r>
      <w:r w:rsidRPr="004979D2">
        <w:rPr>
          <w:rFonts w:ascii="Times New Roman" w:hAnsi="Times New Roman" w:cs="Times New Roman"/>
          <w:sz w:val="24"/>
          <w:szCs w:val="24"/>
        </w:rPr>
        <w:t xml:space="preserve"> me akt nënligjor.</w:t>
      </w:r>
    </w:p>
    <w:p w14:paraId="1A6AC732" w14:textId="63846A28" w:rsidR="007602F2" w:rsidRPr="004979D2" w:rsidRDefault="007602F2" w:rsidP="002B1BC6">
      <w:pPr>
        <w:pStyle w:val="ListParagraph"/>
        <w:numPr>
          <w:ilvl w:val="1"/>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Në </w:t>
      </w:r>
      <w:r w:rsidR="00071C60" w:rsidRPr="004979D2">
        <w:rPr>
          <w:rFonts w:ascii="Times New Roman" w:hAnsi="Times New Roman" w:cs="Times New Roman"/>
          <w:sz w:val="24"/>
          <w:szCs w:val="24"/>
        </w:rPr>
        <w:t>n</w:t>
      </w:r>
      <w:r w:rsidRPr="004979D2">
        <w:rPr>
          <w:rFonts w:ascii="Times New Roman" w:hAnsi="Times New Roman" w:cs="Times New Roman"/>
          <w:sz w:val="24"/>
          <w:szCs w:val="24"/>
        </w:rPr>
        <w:t xml:space="preserve">enin 9(9) </w:t>
      </w:r>
      <w:r w:rsidR="00BF1499" w:rsidRPr="004979D2">
        <w:rPr>
          <w:rFonts w:ascii="Times New Roman" w:hAnsi="Times New Roman" w:cs="Times New Roman"/>
          <w:sz w:val="24"/>
          <w:szCs w:val="24"/>
        </w:rPr>
        <w:t xml:space="preserve">të fshihen </w:t>
      </w:r>
      <w:r w:rsidRPr="004979D2">
        <w:rPr>
          <w:rFonts w:ascii="Times New Roman" w:hAnsi="Times New Roman" w:cs="Times New Roman"/>
          <w:sz w:val="24"/>
          <w:szCs w:val="24"/>
        </w:rPr>
        <w:t>fjalët “informatat jo të plota ose të pasakta”, si bazë për anulimin, ndryshimin, ose caktimin e kushteve lidhur me përqendrimin e lejuar</w:t>
      </w:r>
      <w:r w:rsidR="00BF1499" w:rsidRPr="004979D2">
        <w:rPr>
          <w:rFonts w:ascii="Times New Roman" w:hAnsi="Times New Roman" w:cs="Times New Roman"/>
          <w:sz w:val="24"/>
          <w:szCs w:val="24"/>
        </w:rPr>
        <w:t>.</w:t>
      </w:r>
    </w:p>
    <w:p w14:paraId="0D687F91" w14:textId="3C86CEC8" w:rsidR="007602F2" w:rsidRPr="004979D2" w:rsidRDefault="007602F2" w:rsidP="002B1BC6">
      <w:pPr>
        <w:pStyle w:val="ListParagraph"/>
        <w:numPr>
          <w:ilvl w:val="1"/>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Në </w:t>
      </w:r>
      <w:r w:rsidR="00071C60" w:rsidRPr="004979D2">
        <w:rPr>
          <w:rFonts w:ascii="Times New Roman" w:hAnsi="Times New Roman" w:cs="Times New Roman"/>
          <w:sz w:val="24"/>
          <w:szCs w:val="24"/>
        </w:rPr>
        <w:t>n</w:t>
      </w:r>
      <w:r w:rsidRPr="004979D2">
        <w:rPr>
          <w:rFonts w:ascii="Times New Roman" w:hAnsi="Times New Roman" w:cs="Times New Roman"/>
          <w:sz w:val="24"/>
          <w:szCs w:val="24"/>
        </w:rPr>
        <w:t xml:space="preserve">enin 13(4) mënyra dhe përmbajtja e përgjithshme e kërkesës, si dhe kriteret e përgjithshme për konstatimin e përqendrimit të përcaktohen me ligj. Këto pastaj </w:t>
      </w:r>
      <w:r w:rsidR="00EF3D1F" w:rsidRPr="004979D2">
        <w:rPr>
          <w:rFonts w:ascii="Times New Roman" w:hAnsi="Times New Roman" w:cs="Times New Roman"/>
          <w:sz w:val="24"/>
          <w:szCs w:val="24"/>
        </w:rPr>
        <w:t>detajohen</w:t>
      </w:r>
      <w:r w:rsidRPr="004979D2">
        <w:rPr>
          <w:rFonts w:ascii="Times New Roman" w:hAnsi="Times New Roman" w:cs="Times New Roman"/>
          <w:sz w:val="24"/>
          <w:szCs w:val="24"/>
        </w:rPr>
        <w:t xml:space="preserve"> me akt nënligjor, që duhet të jetë në pajtim me standardet ligjore të përgjithshme të cekura si më lartë.</w:t>
      </w:r>
    </w:p>
    <w:p w14:paraId="7CF28C34" w14:textId="1282E4EA" w:rsidR="007602F2" w:rsidRPr="004979D2" w:rsidRDefault="007602F2" w:rsidP="002B1BC6">
      <w:pPr>
        <w:pStyle w:val="ListParagraph"/>
        <w:numPr>
          <w:ilvl w:val="1"/>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Në </w:t>
      </w:r>
      <w:r w:rsidR="00071C60" w:rsidRPr="004979D2">
        <w:rPr>
          <w:rFonts w:ascii="Times New Roman" w:hAnsi="Times New Roman" w:cs="Times New Roman"/>
          <w:sz w:val="24"/>
          <w:szCs w:val="24"/>
        </w:rPr>
        <w:t>n</w:t>
      </w:r>
      <w:r w:rsidRPr="004979D2">
        <w:rPr>
          <w:rFonts w:ascii="Times New Roman" w:hAnsi="Times New Roman" w:cs="Times New Roman"/>
          <w:sz w:val="24"/>
          <w:szCs w:val="24"/>
        </w:rPr>
        <w:t xml:space="preserve">enin 21(1) </w:t>
      </w:r>
      <w:r w:rsidR="00473176" w:rsidRPr="004979D2">
        <w:rPr>
          <w:rFonts w:ascii="Times New Roman" w:hAnsi="Times New Roman" w:cs="Times New Roman"/>
          <w:sz w:val="24"/>
          <w:szCs w:val="24"/>
        </w:rPr>
        <w:t xml:space="preserve">të fshihen </w:t>
      </w:r>
      <w:r w:rsidRPr="004979D2">
        <w:rPr>
          <w:rFonts w:ascii="Times New Roman" w:hAnsi="Times New Roman" w:cs="Times New Roman"/>
          <w:sz w:val="24"/>
          <w:szCs w:val="24"/>
        </w:rPr>
        <w:t>fjalët “pasaktësia e informatave” si bazë për shfuqizimin apo ndryshimin e vendimit për përqendrim</w:t>
      </w:r>
      <w:r w:rsidR="00473176" w:rsidRPr="004979D2">
        <w:rPr>
          <w:rFonts w:ascii="Times New Roman" w:hAnsi="Times New Roman" w:cs="Times New Roman"/>
          <w:sz w:val="24"/>
          <w:szCs w:val="24"/>
        </w:rPr>
        <w:t>.</w:t>
      </w:r>
      <w:r w:rsidRPr="004979D2">
        <w:rPr>
          <w:rFonts w:ascii="Times New Roman" w:hAnsi="Times New Roman" w:cs="Times New Roman"/>
          <w:sz w:val="24"/>
          <w:szCs w:val="24"/>
        </w:rPr>
        <w:t>.</w:t>
      </w:r>
    </w:p>
    <w:p w14:paraId="7FF99F5F" w14:textId="4294AE37" w:rsidR="007602F2" w:rsidRPr="004979D2" w:rsidRDefault="007602F2" w:rsidP="002B1BC6">
      <w:pPr>
        <w:pStyle w:val="ListParagraph"/>
        <w:numPr>
          <w:ilvl w:val="1"/>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Në </w:t>
      </w:r>
      <w:r w:rsidR="00071C60" w:rsidRPr="004979D2">
        <w:rPr>
          <w:rFonts w:ascii="Times New Roman" w:hAnsi="Times New Roman" w:cs="Times New Roman"/>
          <w:sz w:val="24"/>
          <w:szCs w:val="24"/>
        </w:rPr>
        <w:t>n</w:t>
      </w:r>
      <w:r w:rsidRPr="004979D2">
        <w:rPr>
          <w:rFonts w:ascii="Times New Roman" w:hAnsi="Times New Roman" w:cs="Times New Roman"/>
          <w:sz w:val="24"/>
          <w:szCs w:val="24"/>
        </w:rPr>
        <w:t>enin 33(2), në fund të tij, të shtohen fjalët “përveç nëse rezultati i procedurës mund t’i cenoj të drejtat apo interesat e tij/saj.”</w:t>
      </w:r>
    </w:p>
    <w:p w14:paraId="266402B7" w14:textId="5CEC3936" w:rsidR="007602F2" w:rsidRPr="004979D2" w:rsidRDefault="007602F2" w:rsidP="002B1BC6">
      <w:pPr>
        <w:pStyle w:val="ListParagraph"/>
        <w:numPr>
          <w:ilvl w:val="1"/>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Neni 42(4) të fshihet.</w:t>
      </w:r>
    </w:p>
    <w:p w14:paraId="65C8DC0D" w14:textId="34B2A8F1" w:rsidR="007602F2" w:rsidRPr="004979D2" w:rsidRDefault="007602F2" w:rsidP="002B1BC6">
      <w:pPr>
        <w:pStyle w:val="ListParagraph"/>
        <w:numPr>
          <w:ilvl w:val="1"/>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Në </w:t>
      </w:r>
      <w:r w:rsidR="00071C60" w:rsidRPr="004979D2">
        <w:rPr>
          <w:rFonts w:ascii="Times New Roman" w:hAnsi="Times New Roman" w:cs="Times New Roman"/>
          <w:sz w:val="24"/>
          <w:szCs w:val="24"/>
        </w:rPr>
        <w:t>n</w:t>
      </w:r>
      <w:r w:rsidRPr="004979D2">
        <w:rPr>
          <w:rFonts w:ascii="Times New Roman" w:hAnsi="Times New Roman" w:cs="Times New Roman"/>
          <w:sz w:val="24"/>
          <w:szCs w:val="24"/>
        </w:rPr>
        <w:t xml:space="preserve">enin 44(4) afati për autoritetin për të garantuar qasjen në dosje të shkurtohet nga 15 në 5 ditë. Neni 44(8) të fshihet. Neni 44(9) të ndryshohet duke përcaktuar se “nuk lejohet ankesë ë veçantë, por konkluzioni i tillë mund të </w:t>
      </w:r>
      <w:proofErr w:type="spellStart"/>
      <w:r w:rsidRPr="004979D2">
        <w:rPr>
          <w:rFonts w:ascii="Times New Roman" w:hAnsi="Times New Roman" w:cs="Times New Roman"/>
          <w:sz w:val="24"/>
          <w:szCs w:val="24"/>
        </w:rPr>
        <w:t>ankimohet</w:t>
      </w:r>
      <w:proofErr w:type="spellEnd"/>
      <w:r w:rsidRPr="004979D2">
        <w:rPr>
          <w:rFonts w:ascii="Times New Roman" w:hAnsi="Times New Roman" w:cs="Times New Roman"/>
          <w:sz w:val="24"/>
          <w:szCs w:val="24"/>
        </w:rPr>
        <w:t xml:space="preserve"> së bashku me padinë për inicimin e konfliktit administrativ për vendimin kryesor të çështjes së caktuar”.</w:t>
      </w:r>
    </w:p>
    <w:p w14:paraId="65AEDA0D" w14:textId="3B37412B" w:rsidR="007602F2" w:rsidRPr="004979D2" w:rsidRDefault="007602F2" w:rsidP="002B1BC6">
      <w:pPr>
        <w:pStyle w:val="ListParagraph"/>
        <w:numPr>
          <w:ilvl w:val="1"/>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Në </w:t>
      </w:r>
      <w:r w:rsidR="00071C60" w:rsidRPr="004979D2">
        <w:rPr>
          <w:rFonts w:ascii="Times New Roman" w:hAnsi="Times New Roman" w:cs="Times New Roman"/>
          <w:sz w:val="24"/>
          <w:szCs w:val="24"/>
        </w:rPr>
        <w:t>n</w:t>
      </w:r>
      <w:r w:rsidRPr="004979D2">
        <w:rPr>
          <w:rFonts w:ascii="Times New Roman" w:hAnsi="Times New Roman" w:cs="Times New Roman"/>
          <w:sz w:val="24"/>
          <w:szCs w:val="24"/>
        </w:rPr>
        <w:t xml:space="preserve">enin 46(6) </w:t>
      </w:r>
      <w:r w:rsidR="00473176" w:rsidRPr="004979D2">
        <w:rPr>
          <w:rFonts w:ascii="Times New Roman" w:hAnsi="Times New Roman" w:cs="Times New Roman"/>
          <w:sz w:val="24"/>
          <w:szCs w:val="24"/>
        </w:rPr>
        <w:t xml:space="preserve">të fshihen </w:t>
      </w:r>
      <w:r w:rsidRPr="004979D2">
        <w:rPr>
          <w:rFonts w:ascii="Times New Roman" w:hAnsi="Times New Roman" w:cs="Times New Roman"/>
          <w:sz w:val="24"/>
          <w:szCs w:val="24"/>
        </w:rPr>
        <w:t>fjalët “pasaktësia e informatave” si bazë për ri-inicimin e procedurës</w:t>
      </w:r>
      <w:r w:rsidR="00473176" w:rsidRPr="004979D2">
        <w:rPr>
          <w:rFonts w:ascii="Times New Roman" w:hAnsi="Times New Roman" w:cs="Times New Roman"/>
          <w:sz w:val="24"/>
          <w:szCs w:val="24"/>
        </w:rPr>
        <w:t>.</w:t>
      </w:r>
    </w:p>
    <w:p w14:paraId="7FF0242C" w14:textId="51CBEBFB" w:rsidR="007602F2" w:rsidRPr="004979D2" w:rsidRDefault="007602F2" w:rsidP="002B1BC6">
      <w:pPr>
        <w:pStyle w:val="ListParagraph"/>
        <w:numPr>
          <w:ilvl w:val="1"/>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Neni 59(8) të fshihet.</w:t>
      </w:r>
    </w:p>
    <w:p w14:paraId="3AA8AB10" w14:textId="1684A063" w:rsidR="007602F2" w:rsidRPr="004979D2" w:rsidRDefault="007602F2" w:rsidP="002B1BC6">
      <w:pPr>
        <w:pStyle w:val="ListParagraph"/>
        <w:numPr>
          <w:ilvl w:val="1"/>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Neni 60(4)</w:t>
      </w:r>
      <w:r w:rsidR="00473176" w:rsidRPr="004979D2">
        <w:rPr>
          <w:rFonts w:ascii="Times New Roman" w:hAnsi="Times New Roman" w:cs="Times New Roman"/>
          <w:sz w:val="24"/>
          <w:szCs w:val="24"/>
        </w:rPr>
        <w:t>duhet</w:t>
      </w:r>
      <w:r w:rsidRPr="004979D2">
        <w:rPr>
          <w:rFonts w:ascii="Times New Roman" w:hAnsi="Times New Roman" w:cs="Times New Roman"/>
          <w:sz w:val="24"/>
          <w:szCs w:val="24"/>
        </w:rPr>
        <w:t xml:space="preserve"> të parasheh në aspekt të përgjithshëm kriteret për lirimin nga ndëshkimi dhe masat për zvogëlimin e ndëshkimeve. Këto </w:t>
      </w:r>
      <w:r w:rsidR="00473176" w:rsidRPr="004979D2">
        <w:rPr>
          <w:rFonts w:ascii="Times New Roman" w:hAnsi="Times New Roman" w:cs="Times New Roman"/>
          <w:sz w:val="24"/>
          <w:szCs w:val="24"/>
        </w:rPr>
        <w:t xml:space="preserve">duhet </w:t>
      </w:r>
      <w:r w:rsidRPr="004979D2">
        <w:rPr>
          <w:rFonts w:ascii="Times New Roman" w:hAnsi="Times New Roman" w:cs="Times New Roman"/>
          <w:sz w:val="24"/>
          <w:szCs w:val="24"/>
        </w:rPr>
        <w:t xml:space="preserve">të </w:t>
      </w:r>
      <w:r w:rsidR="00EF3D1F" w:rsidRPr="004979D2">
        <w:rPr>
          <w:rFonts w:ascii="Times New Roman" w:hAnsi="Times New Roman" w:cs="Times New Roman"/>
          <w:sz w:val="24"/>
          <w:szCs w:val="24"/>
        </w:rPr>
        <w:t>detajohen</w:t>
      </w:r>
      <w:r w:rsidRPr="004979D2">
        <w:rPr>
          <w:rFonts w:ascii="Times New Roman" w:hAnsi="Times New Roman" w:cs="Times New Roman"/>
          <w:sz w:val="24"/>
          <w:szCs w:val="24"/>
        </w:rPr>
        <w:t xml:space="preserve"> pastaj me akt nënligjor.</w:t>
      </w:r>
    </w:p>
    <w:p w14:paraId="73B7610C" w14:textId="7909AF6F" w:rsidR="007602F2" w:rsidRPr="004979D2" w:rsidRDefault="007602F2" w:rsidP="002B1BC6">
      <w:pPr>
        <w:pStyle w:val="ListParagraph"/>
        <w:numPr>
          <w:ilvl w:val="1"/>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Neni 66 të fshihet.</w:t>
      </w:r>
    </w:p>
    <w:p w14:paraId="5D12FA33" w14:textId="039C1B61" w:rsidR="007602F2" w:rsidRPr="004979D2" w:rsidRDefault="007602F2" w:rsidP="002B1BC6">
      <w:pPr>
        <w:pStyle w:val="ListParagraph"/>
        <w:numPr>
          <w:ilvl w:val="1"/>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Neni 7A(2)</w:t>
      </w:r>
      <w:r w:rsidR="00473176" w:rsidRPr="004979D2">
        <w:rPr>
          <w:rFonts w:ascii="Times New Roman" w:hAnsi="Times New Roman" w:cs="Times New Roman"/>
          <w:sz w:val="24"/>
          <w:szCs w:val="24"/>
        </w:rPr>
        <w:t>duhet</w:t>
      </w:r>
      <w:r w:rsidRPr="004979D2">
        <w:rPr>
          <w:rFonts w:ascii="Times New Roman" w:hAnsi="Times New Roman" w:cs="Times New Roman"/>
          <w:sz w:val="24"/>
          <w:szCs w:val="24"/>
        </w:rPr>
        <w:t xml:space="preserve"> të parasheh kushtet e përgjithshme për përcaktimin e përjashtimeve grupore. Këto mund të </w:t>
      </w:r>
      <w:r w:rsidR="00EF3D1F" w:rsidRPr="004979D2">
        <w:rPr>
          <w:rFonts w:ascii="Times New Roman" w:hAnsi="Times New Roman" w:cs="Times New Roman"/>
          <w:sz w:val="24"/>
          <w:szCs w:val="24"/>
        </w:rPr>
        <w:t>detajohen</w:t>
      </w:r>
      <w:r w:rsidRPr="004979D2">
        <w:rPr>
          <w:rFonts w:ascii="Times New Roman" w:hAnsi="Times New Roman" w:cs="Times New Roman"/>
          <w:sz w:val="24"/>
          <w:szCs w:val="24"/>
        </w:rPr>
        <w:t xml:space="preserve"> me akt nënligjor.</w:t>
      </w:r>
    </w:p>
    <w:p w14:paraId="643E5DDC" w14:textId="77777777" w:rsidR="0021705A" w:rsidRPr="004979D2" w:rsidRDefault="0021705A" w:rsidP="002B1BC6">
      <w:pPr>
        <w:spacing w:line="360" w:lineRule="auto"/>
        <w:ind w:left="720"/>
        <w:jc w:val="both"/>
        <w:rPr>
          <w:rFonts w:ascii="Times New Roman" w:hAnsi="Times New Roman" w:cs="Times New Roman"/>
          <w:b/>
          <w:sz w:val="24"/>
          <w:szCs w:val="24"/>
        </w:rPr>
      </w:pPr>
      <w:r w:rsidRPr="004979D2">
        <w:rPr>
          <w:rFonts w:ascii="Times New Roman" w:hAnsi="Times New Roman" w:cs="Times New Roman"/>
          <w:sz w:val="24"/>
          <w:szCs w:val="24"/>
        </w:rPr>
        <w:t xml:space="preserve">Autoriteti të vlerëson se a janë afatet e parapara me nenin 20(8), nenin 33(4), nenin 35(5), nenin 43(1) dhe nenin 43(4) të Ligjit për Mbrojtjen e Konkurrencës, dhe neni 10 </w:t>
      </w:r>
      <w:r w:rsidRPr="004979D2">
        <w:rPr>
          <w:rFonts w:ascii="Times New Roman" w:hAnsi="Times New Roman" w:cs="Times New Roman"/>
          <w:sz w:val="24"/>
          <w:szCs w:val="24"/>
        </w:rPr>
        <w:lastRenderedPageBreak/>
        <w:t>i plotësim ndryshimit të Ligjit në pajtim me parimin e efikasitetit të LPPA – Neni 10(2) “2. Organi publik zhvillon procedurën administrative sa më të shpejtë dhe me sa më pak shpenzime, për të dhe për palën, duke mos cenuar çfarë është e nevojshme për një rezultat të ligjshëm e të përshtatshëm të procedurës administrative.”</w:t>
      </w:r>
    </w:p>
    <w:p w14:paraId="3C1565A6" w14:textId="77777777" w:rsidR="007602F2" w:rsidRPr="004979D2" w:rsidRDefault="007602F2" w:rsidP="002B1BC6">
      <w:pPr>
        <w:pStyle w:val="ListParagraph"/>
        <w:numPr>
          <w:ilvl w:val="0"/>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Rekomandojmë që në Ligjin e ri të përcaktohet  qartë që Kryetari dhe anëtaret e Komisionit aktual të ushtrojnë detyrën e tyre deri në emërimin e anëtarëve të rinj.</w:t>
      </w:r>
    </w:p>
    <w:p w14:paraId="1BE95318" w14:textId="16D31ADA" w:rsidR="007602F2" w:rsidRPr="004979D2" w:rsidRDefault="007602F2" w:rsidP="002B1BC6">
      <w:pPr>
        <w:pStyle w:val="ListParagraph"/>
        <w:numPr>
          <w:ilvl w:val="1"/>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Ose, të shtohet par. në nenin 25 për vazhdimin e punës së komisionarëve deri në emërimin e anëtarëve të ri që do të formulohej</w:t>
      </w:r>
      <w:r w:rsidR="00016C55" w:rsidRPr="004979D2">
        <w:rPr>
          <w:rFonts w:ascii="Times New Roman" w:hAnsi="Times New Roman" w:cs="Times New Roman"/>
          <w:sz w:val="24"/>
          <w:szCs w:val="24"/>
        </w:rPr>
        <w:t>:</w:t>
      </w:r>
      <w:r w:rsidRPr="004979D2">
        <w:rPr>
          <w:rFonts w:ascii="Times New Roman" w:hAnsi="Times New Roman" w:cs="Times New Roman"/>
          <w:sz w:val="24"/>
          <w:szCs w:val="24"/>
        </w:rPr>
        <w:t xml:space="preserve"> </w:t>
      </w:r>
      <w:r w:rsidR="00016C55" w:rsidRPr="004979D2">
        <w:rPr>
          <w:rFonts w:ascii="Times New Roman" w:hAnsi="Times New Roman" w:cs="Times New Roman"/>
          <w:sz w:val="24"/>
          <w:szCs w:val="24"/>
        </w:rPr>
        <w:t>“</w:t>
      </w:r>
      <w:r w:rsidRPr="004979D2">
        <w:rPr>
          <w:rFonts w:ascii="Times New Roman" w:hAnsi="Times New Roman" w:cs="Times New Roman"/>
          <w:sz w:val="24"/>
          <w:szCs w:val="24"/>
        </w:rPr>
        <w:t>Në rast kur mandati i anëtarit të Komisionit ka përfunduar dhe nuk është realizuar emërimi i anëtarit të ri, anëtari i vjetër  qëndron në detyrë deri në zëvendësimin e tij.</w:t>
      </w:r>
      <w:r w:rsidR="00016C55" w:rsidRPr="004979D2">
        <w:rPr>
          <w:rFonts w:ascii="Times New Roman" w:hAnsi="Times New Roman" w:cs="Times New Roman"/>
          <w:sz w:val="24"/>
          <w:szCs w:val="24"/>
        </w:rPr>
        <w:t>”</w:t>
      </w:r>
      <w:r w:rsidRPr="004979D2">
        <w:rPr>
          <w:rFonts w:ascii="Times New Roman" w:hAnsi="Times New Roman" w:cs="Times New Roman"/>
          <w:sz w:val="24"/>
          <w:szCs w:val="24"/>
        </w:rPr>
        <w:t xml:space="preserve"> Kjo praktikë zbatohet edhe në shtetet e rajonit.</w:t>
      </w:r>
    </w:p>
    <w:p w14:paraId="612585A0" w14:textId="77777777" w:rsidR="007602F2" w:rsidRPr="004979D2" w:rsidRDefault="00B710AD" w:rsidP="002B1BC6">
      <w:pPr>
        <w:pStyle w:val="ListParagraph"/>
        <w:numPr>
          <w:ilvl w:val="0"/>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Bazuar ne analizën e Nenit 62, </w:t>
      </w:r>
      <w:r w:rsidR="007602F2" w:rsidRPr="004979D2">
        <w:rPr>
          <w:rFonts w:ascii="Times New Roman" w:hAnsi="Times New Roman" w:cs="Times New Roman"/>
          <w:sz w:val="24"/>
          <w:szCs w:val="24"/>
        </w:rPr>
        <w:t xml:space="preserve"> rekomandojmë se Vendimi i Autoritetit duhet të mbetet në fuqi dhe të ekzekutohet edhe nëse ka filluar konflikti administrativ derisa me vendim të gjykatës të dëshmohet e kundërta.</w:t>
      </w:r>
    </w:p>
    <w:p w14:paraId="77843705" w14:textId="77777777" w:rsidR="007602F2" w:rsidRPr="004979D2" w:rsidRDefault="007602F2" w:rsidP="002B1BC6">
      <w:pPr>
        <w:pStyle w:val="ListParagraph"/>
        <w:numPr>
          <w:ilvl w:val="1"/>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T</w:t>
      </w:r>
      <w:r w:rsidR="00071C60" w:rsidRPr="004979D2">
        <w:rPr>
          <w:rFonts w:ascii="Times New Roman" w:hAnsi="Times New Roman" w:cs="Times New Roman"/>
          <w:sz w:val="24"/>
          <w:szCs w:val="24"/>
        </w:rPr>
        <w:t>ë</w:t>
      </w:r>
      <w:r w:rsidRPr="004979D2">
        <w:rPr>
          <w:rFonts w:ascii="Times New Roman" w:hAnsi="Times New Roman" w:cs="Times New Roman"/>
          <w:sz w:val="24"/>
          <w:szCs w:val="24"/>
        </w:rPr>
        <w:t xml:space="preserve"> mbetet n</w:t>
      </w:r>
      <w:r w:rsidR="00071C60" w:rsidRPr="004979D2">
        <w:rPr>
          <w:rFonts w:ascii="Times New Roman" w:hAnsi="Times New Roman" w:cs="Times New Roman"/>
          <w:sz w:val="24"/>
          <w:szCs w:val="24"/>
        </w:rPr>
        <w:t>ë</w:t>
      </w:r>
      <w:r w:rsidRPr="004979D2">
        <w:rPr>
          <w:rFonts w:ascii="Times New Roman" w:hAnsi="Times New Roman" w:cs="Times New Roman"/>
          <w:sz w:val="24"/>
          <w:szCs w:val="24"/>
        </w:rPr>
        <w:t xml:space="preserve"> fuqi neni 62 paragrafi 4 si n</w:t>
      </w:r>
      <w:r w:rsidR="003161BB" w:rsidRPr="004979D2">
        <w:rPr>
          <w:rFonts w:ascii="Times New Roman" w:hAnsi="Times New Roman" w:cs="Times New Roman"/>
          <w:sz w:val="24"/>
          <w:szCs w:val="24"/>
        </w:rPr>
        <w:t>ë</w:t>
      </w:r>
      <w:r w:rsidRPr="004979D2">
        <w:rPr>
          <w:rFonts w:ascii="Times New Roman" w:hAnsi="Times New Roman" w:cs="Times New Roman"/>
          <w:sz w:val="24"/>
          <w:szCs w:val="24"/>
        </w:rPr>
        <w:t xml:space="preserve"> Ligjin baze për mbrojtjen e Konkurrencës Nr.03/L-229 si vijon:  Inicimi i konfliktit administrativ nuk e ndalon ekzekutimin e vendimit</w:t>
      </w:r>
      <w:r w:rsidR="008753CB" w:rsidRPr="004979D2">
        <w:rPr>
          <w:rFonts w:ascii="Times New Roman" w:hAnsi="Times New Roman" w:cs="Times New Roman"/>
          <w:sz w:val="24"/>
          <w:szCs w:val="24"/>
        </w:rPr>
        <w:t xml:space="preserve"> të </w:t>
      </w:r>
      <w:r w:rsidRPr="004979D2">
        <w:rPr>
          <w:rFonts w:ascii="Times New Roman" w:hAnsi="Times New Roman" w:cs="Times New Roman"/>
          <w:sz w:val="24"/>
          <w:szCs w:val="24"/>
        </w:rPr>
        <w:t xml:space="preserve">Komisionit -Autoritetit. Ndërsa </w:t>
      </w:r>
      <w:r w:rsidR="006F11C5" w:rsidRPr="004979D2">
        <w:rPr>
          <w:rFonts w:ascii="Times New Roman" w:hAnsi="Times New Roman" w:cs="Times New Roman"/>
          <w:sz w:val="24"/>
          <w:szCs w:val="24"/>
        </w:rPr>
        <w:t>n</w:t>
      </w:r>
      <w:r w:rsidRPr="004979D2">
        <w:rPr>
          <w:rFonts w:ascii="Times New Roman" w:hAnsi="Times New Roman" w:cs="Times New Roman"/>
          <w:sz w:val="24"/>
          <w:szCs w:val="24"/>
        </w:rPr>
        <w:t>eni 26 i Plotësim Ndryshimit</w:t>
      </w:r>
      <w:r w:rsidR="008753CB" w:rsidRPr="004979D2">
        <w:rPr>
          <w:rFonts w:ascii="Times New Roman" w:hAnsi="Times New Roman" w:cs="Times New Roman"/>
          <w:sz w:val="24"/>
          <w:szCs w:val="24"/>
        </w:rPr>
        <w:t xml:space="preserve"> të </w:t>
      </w:r>
      <w:r w:rsidRPr="004979D2">
        <w:rPr>
          <w:rFonts w:ascii="Times New Roman" w:hAnsi="Times New Roman" w:cs="Times New Roman"/>
          <w:sz w:val="24"/>
          <w:szCs w:val="24"/>
        </w:rPr>
        <w:t>Ligjit, paragrafi 4</w:t>
      </w:r>
      <w:r w:rsidR="008753CB" w:rsidRPr="004979D2">
        <w:rPr>
          <w:rFonts w:ascii="Times New Roman" w:hAnsi="Times New Roman" w:cs="Times New Roman"/>
          <w:sz w:val="24"/>
          <w:szCs w:val="24"/>
        </w:rPr>
        <w:t xml:space="preserve"> të </w:t>
      </w:r>
      <w:r w:rsidRPr="004979D2">
        <w:rPr>
          <w:rFonts w:ascii="Times New Roman" w:hAnsi="Times New Roman" w:cs="Times New Roman"/>
          <w:sz w:val="24"/>
          <w:szCs w:val="24"/>
        </w:rPr>
        <w:t xml:space="preserve"> riformulohet si ne Ligjin baz</w:t>
      </w:r>
      <w:r w:rsidR="003161BB" w:rsidRPr="004979D2">
        <w:rPr>
          <w:rFonts w:ascii="Times New Roman" w:hAnsi="Times New Roman" w:cs="Times New Roman"/>
          <w:sz w:val="24"/>
          <w:szCs w:val="24"/>
        </w:rPr>
        <w:t>ë</w:t>
      </w:r>
      <w:r w:rsidRPr="004979D2">
        <w:rPr>
          <w:rFonts w:ascii="Times New Roman" w:hAnsi="Times New Roman" w:cs="Times New Roman"/>
          <w:sz w:val="24"/>
          <w:szCs w:val="24"/>
        </w:rPr>
        <w:t>. Gjithashtu</w:t>
      </w:r>
      <w:r w:rsidR="008753CB" w:rsidRPr="004979D2">
        <w:rPr>
          <w:rFonts w:ascii="Times New Roman" w:hAnsi="Times New Roman" w:cs="Times New Roman"/>
          <w:sz w:val="24"/>
          <w:szCs w:val="24"/>
        </w:rPr>
        <w:t xml:space="preserve"> të </w:t>
      </w:r>
      <w:r w:rsidRPr="004979D2">
        <w:rPr>
          <w:rFonts w:ascii="Times New Roman" w:hAnsi="Times New Roman" w:cs="Times New Roman"/>
          <w:sz w:val="24"/>
          <w:szCs w:val="24"/>
        </w:rPr>
        <w:t xml:space="preserve">ndryshohet </w:t>
      </w:r>
      <w:r w:rsidR="006F11C5" w:rsidRPr="004979D2">
        <w:rPr>
          <w:rFonts w:ascii="Times New Roman" w:hAnsi="Times New Roman" w:cs="Times New Roman"/>
          <w:sz w:val="24"/>
          <w:szCs w:val="24"/>
        </w:rPr>
        <w:t>n</w:t>
      </w:r>
      <w:r w:rsidRPr="004979D2">
        <w:rPr>
          <w:rFonts w:ascii="Times New Roman" w:hAnsi="Times New Roman" w:cs="Times New Roman"/>
          <w:sz w:val="24"/>
          <w:szCs w:val="24"/>
        </w:rPr>
        <w:t>eni 63, paragrafi 2</w:t>
      </w:r>
      <w:r w:rsidR="006F11C5" w:rsidRPr="004979D2">
        <w:rPr>
          <w:rFonts w:ascii="Times New Roman" w:hAnsi="Times New Roman" w:cs="Times New Roman"/>
          <w:sz w:val="24"/>
          <w:szCs w:val="24"/>
        </w:rPr>
        <w:t>;</w:t>
      </w:r>
      <w:r w:rsidRPr="004979D2">
        <w:rPr>
          <w:rFonts w:ascii="Times New Roman" w:hAnsi="Times New Roman" w:cs="Times New Roman"/>
          <w:sz w:val="24"/>
          <w:szCs w:val="24"/>
        </w:rPr>
        <w:t xml:space="preserve"> </w:t>
      </w:r>
    </w:p>
    <w:p w14:paraId="263FAA3D" w14:textId="77777777" w:rsidR="007602F2" w:rsidRPr="004979D2" w:rsidRDefault="007602F2" w:rsidP="002B1BC6">
      <w:pPr>
        <w:pStyle w:val="ListParagraph"/>
        <w:numPr>
          <w:ilvl w:val="1"/>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N</w:t>
      </w:r>
      <w:r w:rsidR="006F11C5" w:rsidRPr="004979D2">
        <w:rPr>
          <w:rFonts w:ascii="Times New Roman" w:hAnsi="Times New Roman" w:cs="Times New Roman"/>
          <w:sz w:val="24"/>
          <w:szCs w:val="24"/>
        </w:rPr>
        <w:t>ë</w:t>
      </w:r>
      <w:r w:rsidRPr="004979D2">
        <w:rPr>
          <w:rFonts w:ascii="Times New Roman" w:hAnsi="Times New Roman" w:cs="Times New Roman"/>
          <w:sz w:val="24"/>
          <w:szCs w:val="24"/>
        </w:rPr>
        <w:t xml:space="preserve"> rast se vendoset se vendimet e Autoritetit t</w:t>
      </w:r>
      <w:r w:rsidR="006F11C5" w:rsidRPr="004979D2">
        <w:rPr>
          <w:rFonts w:ascii="Times New Roman" w:hAnsi="Times New Roman" w:cs="Times New Roman"/>
          <w:sz w:val="24"/>
          <w:szCs w:val="24"/>
        </w:rPr>
        <w:t>ë</w:t>
      </w:r>
      <w:r w:rsidRPr="004979D2">
        <w:rPr>
          <w:rFonts w:ascii="Times New Roman" w:hAnsi="Times New Roman" w:cs="Times New Roman"/>
          <w:sz w:val="24"/>
          <w:szCs w:val="24"/>
        </w:rPr>
        <w:t xml:space="preserve"> jen</w:t>
      </w:r>
      <w:r w:rsidR="003161BB" w:rsidRPr="004979D2">
        <w:rPr>
          <w:rFonts w:ascii="Times New Roman" w:hAnsi="Times New Roman" w:cs="Times New Roman"/>
          <w:sz w:val="24"/>
          <w:szCs w:val="24"/>
        </w:rPr>
        <w:t>ë</w:t>
      </w:r>
      <w:r w:rsidRPr="004979D2">
        <w:rPr>
          <w:rFonts w:ascii="Times New Roman" w:hAnsi="Times New Roman" w:cs="Times New Roman"/>
          <w:sz w:val="24"/>
          <w:szCs w:val="24"/>
        </w:rPr>
        <w:t xml:space="preserve"> t</w:t>
      </w:r>
      <w:r w:rsidR="006F11C5" w:rsidRPr="004979D2">
        <w:rPr>
          <w:rFonts w:ascii="Times New Roman" w:hAnsi="Times New Roman" w:cs="Times New Roman"/>
          <w:sz w:val="24"/>
          <w:szCs w:val="24"/>
        </w:rPr>
        <w:t>ë</w:t>
      </w:r>
      <w:r w:rsidRPr="004979D2">
        <w:rPr>
          <w:rFonts w:ascii="Times New Roman" w:hAnsi="Times New Roman" w:cs="Times New Roman"/>
          <w:sz w:val="24"/>
          <w:szCs w:val="24"/>
        </w:rPr>
        <w:t xml:space="preserve"> ekzekutueshme edhe nëse ka filluar konflikti administrativ, atëherë ligji duhet t</w:t>
      </w:r>
      <w:r w:rsidR="006F11C5" w:rsidRPr="004979D2">
        <w:rPr>
          <w:rFonts w:ascii="Times New Roman" w:hAnsi="Times New Roman" w:cs="Times New Roman"/>
          <w:sz w:val="24"/>
          <w:szCs w:val="24"/>
        </w:rPr>
        <w:t>ë</w:t>
      </w:r>
      <w:r w:rsidRPr="004979D2">
        <w:rPr>
          <w:rFonts w:ascii="Times New Roman" w:hAnsi="Times New Roman" w:cs="Times New Roman"/>
          <w:sz w:val="24"/>
          <w:szCs w:val="24"/>
        </w:rPr>
        <w:t xml:space="preserve"> përmbaje masa adekuate </w:t>
      </w:r>
      <w:proofErr w:type="spellStart"/>
      <w:r w:rsidRPr="004979D2">
        <w:rPr>
          <w:rFonts w:ascii="Times New Roman" w:hAnsi="Times New Roman" w:cs="Times New Roman"/>
          <w:sz w:val="24"/>
          <w:szCs w:val="24"/>
        </w:rPr>
        <w:t>kompenzuese</w:t>
      </w:r>
      <w:proofErr w:type="spellEnd"/>
      <w:r w:rsidRPr="004979D2">
        <w:rPr>
          <w:rFonts w:ascii="Times New Roman" w:hAnsi="Times New Roman" w:cs="Times New Roman"/>
          <w:sz w:val="24"/>
          <w:szCs w:val="24"/>
        </w:rPr>
        <w:t xml:space="preserve"> për palën e dëmtuar n</w:t>
      </w:r>
      <w:r w:rsidR="006F11C5" w:rsidRPr="004979D2">
        <w:rPr>
          <w:rFonts w:ascii="Times New Roman" w:hAnsi="Times New Roman" w:cs="Times New Roman"/>
          <w:sz w:val="24"/>
          <w:szCs w:val="24"/>
        </w:rPr>
        <w:t>ë</w:t>
      </w:r>
      <w:r w:rsidRPr="004979D2">
        <w:rPr>
          <w:rFonts w:ascii="Times New Roman" w:hAnsi="Times New Roman" w:cs="Times New Roman"/>
          <w:sz w:val="24"/>
          <w:szCs w:val="24"/>
        </w:rPr>
        <w:t xml:space="preserve"> rastet kur gjykata vendos n</w:t>
      </w:r>
      <w:r w:rsidR="006F11C5" w:rsidRPr="004979D2">
        <w:rPr>
          <w:rFonts w:ascii="Times New Roman" w:hAnsi="Times New Roman" w:cs="Times New Roman"/>
          <w:sz w:val="24"/>
          <w:szCs w:val="24"/>
        </w:rPr>
        <w:t>ë</w:t>
      </w:r>
      <w:r w:rsidRPr="004979D2">
        <w:rPr>
          <w:rFonts w:ascii="Times New Roman" w:hAnsi="Times New Roman" w:cs="Times New Roman"/>
          <w:sz w:val="24"/>
          <w:szCs w:val="24"/>
        </w:rPr>
        <w:t xml:space="preserve"> favor t</w:t>
      </w:r>
      <w:r w:rsidR="006F11C5" w:rsidRPr="004979D2">
        <w:rPr>
          <w:rFonts w:ascii="Times New Roman" w:hAnsi="Times New Roman" w:cs="Times New Roman"/>
          <w:sz w:val="24"/>
          <w:szCs w:val="24"/>
        </w:rPr>
        <w:t>ë</w:t>
      </w:r>
      <w:r w:rsidRPr="004979D2">
        <w:rPr>
          <w:rFonts w:ascii="Times New Roman" w:hAnsi="Times New Roman" w:cs="Times New Roman"/>
          <w:sz w:val="24"/>
          <w:szCs w:val="24"/>
        </w:rPr>
        <w:t xml:space="preserve"> palës ankuese</w:t>
      </w:r>
      <w:r w:rsidR="006F11C5" w:rsidRPr="004979D2">
        <w:rPr>
          <w:rFonts w:ascii="Times New Roman" w:hAnsi="Times New Roman" w:cs="Times New Roman"/>
          <w:sz w:val="24"/>
          <w:szCs w:val="24"/>
        </w:rPr>
        <w:t>;</w:t>
      </w:r>
    </w:p>
    <w:p w14:paraId="73729D88" w14:textId="77777777" w:rsidR="007602F2" w:rsidRPr="004979D2" w:rsidRDefault="007602F2" w:rsidP="002B1BC6">
      <w:pPr>
        <w:pStyle w:val="ListParagraph"/>
        <w:numPr>
          <w:ilvl w:val="1"/>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Shënim: N</w:t>
      </w:r>
      <w:r w:rsidR="006F11C5" w:rsidRPr="004979D2">
        <w:rPr>
          <w:rFonts w:ascii="Times New Roman" w:hAnsi="Times New Roman" w:cs="Times New Roman"/>
          <w:sz w:val="24"/>
          <w:szCs w:val="24"/>
        </w:rPr>
        <w:t>ë</w:t>
      </w:r>
      <w:r w:rsidRPr="004979D2">
        <w:rPr>
          <w:rFonts w:ascii="Times New Roman" w:hAnsi="Times New Roman" w:cs="Times New Roman"/>
          <w:sz w:val="24"/>
          <w:szCs w:val="24"/>
        </w:rPr>
        <w:t xml:space="preserve"> baz</w:t>
      </w:r>
      <w:r w:rsidR="006F11C5" w:rsidRPr="004979D2">
        <w:rPr>
          <w:rFonts w:ascii="Times New Roman" w:hAnsi="Times New Roman" w:cs="Times New Roman"/>
          <w:sz w:val="24"/>
          <w:szCs w:val="24"/>
        </w:rPr>
        <w:t>ë</w:t>
      </w:r>
      <w:r w:rsidRPr="004979D2">
        <w:rPr>
          <w:rFonts w:ascii="Times New Roman" w:hAnsi="Times New Roman" w:cs="Times New Roman"/>
          <w:sz w:val="24"/>
          <w:szCs w:val="24"/>
        </w:rPr>
        <w:t xml:space="preserve"> t</w:t>
      </w:r>
      <w:r w:rsidR="006F11C5" w:rsidRPr="004979D2">
        <w:rPr>
          <w:rFonts w:ascii="Times New Roman" w:hAnsi="Times New Roman" w:cs="Times New Roman"/>
          <w:sz w:val="24"/>
          <w:szCs w:val="24"/>
        </w:rPr>
        <w:t>ë</w:t>
      </w:r>
      <w:r w:rsidRPr="004979D2">
        <w:rPr>
          <w:rFonts w:ascii="Times New Roman" w:hAnsi="Times New Roman" w:cs="Times New Roman"/>
          <w:sz w:val="24"/>
          <w:szCs w:val="24"/>
        </w:rPr>
        <w:t xml:space="preserve"> analizës se </w:t>
      </w:r>
      <w:proofErr w:type="spellStart"/>
      <w:r w:rsidRPr="004979D2">
        <w:rPr>
          <w:rFonts w:ascii="Times New Roman" w:hAnsi="Times New Roman" w:cs="Times New Roman"/>
          <w:sz w:val="24"/>
          <w:szCs w:val="24"/>
        </w:rPr>
        <w:t>konkurueshmerise</w:t>
      </w:r>
      <w:proofErr w:type="spellEnd"/>
      <w:r w:rsidR="008753CB" w:rsidRPr="004979D2">
        <w:rPr>
          <w:rFonts w:ascii="Times New Roman" w:hAnsi="Times New Roman" w:cs="Times New Roman"/>
          <w:sz w:val="24"/>
          <w:szCs w:val="24"/>
        </w:rPr>
        <w:t xml:space="preserve"> të </w:t>
      </w:r>
      <w:r w:rsidRPr="004979D2">
        <w:rPr>
          <w:rFonts w:ascii="Times New Roman" w:hAnsi="Times New Roman" w:cs="Times New Roman"/>
          <w:sz w:val="24"/>
          <w:szCs w:val="24"/>
        </w:rPr>
        <w:t>konsiderohen edhe alternativat e vendeve</w:t>
      </w:r>
      <w:r w:rsidR="008753CB" w:rsidRPr="004979D2">
        <w:rPr>
          <w:rFonts w:ascii="Times New Roman" w:hAnsi="Times New Roman" w:cs="Times New Roman"/>
          <w:sz w:val="24"/>
          <w:szCs w:val="24"/>
        </w:rPr>
        <w:t xml:space="preserve"> të </w:t>
      </w:r>
      <w:r w:rsidRPr="004979D2">
        <w:rPr>
          <w:rFonts w:ascii="Times New Roman" w:hAnsi="Times New Roman" w:cs="Times New Roman"/>
          <w:sz w:val="24"/>
          <w:szCs w:val="24"/>
        </w:rPr>
        <w:t>rajonit</w:t>
      </w:r>
      <w:r w:rsidR="006F11C5" w:rsidRPr="004979D2">
        <w:rPr>
          <w:rFonts w:ascii="Times New Roman" w:hAnsi="Times New Roman" w:cs="Times New Roman"/>
          <w:sz w:val="24"/>
          <w:szCs w:val="24"/>
        </w:rPr>
        <w:t>.</w:t>
      </w:r>
    </w:p>
    <w:p w14:paraId="0F124D2A" w14:textId="77777777" w:rsidR="007602F2" w:rsidRPr="004979D2" w:rsidRDefault="007602F2" w:rsidP="002B1BC6">
      <w:pPr>
        <w:pStyle w:val="ListParagraph"/>
        <w:numPr>
          <w:ilvl w:val="0"/>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Të fshihet Neni 24. i Ligjit për Mbrojtjen e Konkurrencës pjesa që flet për Ndihmën shtetërore si  dhe kudo që rregullohet ndihma shtetërore.   </w:t>
      </w:r>
    </w:p>
    <w:p w14:paraId="4C270751" w14:textId="77777777" w:rsidR="007602F2" w:rsidRPr="004979D2" w:rsidRDefault="00B710AD" w:rsidP="002B1BC6">
      <w:pPr>
        <w:pStyle w:val="ListParagraph"/>
        <w:numPr>
          <w:ilvl w:val="0"/>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Ligji në fuqi ka në përbërje nene të cilat kanë probleme me terminologji dhe si pasojë shkaktojnë konfuzion në interpretime, andaj rekomandojmë që t</w:t>
      </w:r>
      <w:r w:rsidR="007602F2" w:rsidRPr="004979D2">
        <w:rPr>
          <w:rFonts w:ascii="Times New Roman" w:hAnsi="Times New Roman" w:cs="Times New Roman"/>
          <w:sz w:val="24"/>
          <w:szCs w:val="24"/>
        </w:rPr>
        <w:t>ermat</w:t>
      </w:r>
      <w:r w:rsidRPr="004979D2">
        <w:rPr>
          <w:rFonts w:ascii="Times New Roman" w:hAnsi="Times New Roman" w:cs="Times New Roman"/>
          <w:sz w:val="24"/>
          <w:szCs w:val="24"/>
        </w:rPr>
        <w:t xml:space="preserve"> e më poshtëm të zëvendësohen</w:t>
      </w:r>
      <w:r w:rsidR="007602F2" w:rsidRPr="004979D2">
        <w:rPr>
          <w:rFonts w:ascii="Times New Roman" w:hAnsi="Times New Roman" w:cs="Times New Roman"/>
          <w:sz w:val="24"/>
          <w:szCs w:val="24"/>
        </w:rPr>
        <w:t>:</w:t>
      </w:r>
    </w:p>
    <w:p w14:paraId="10509E12" w14:textId="77777777" w:rsidR="007602F2" w:rsidRPr="004979D2" w:rsidRDefault="007602F2" w:rsidP="002B1BC6">
      <w:pPr>
        <w:pStyle w:val="ListParagraph"/>
        <w:numPr>
          <w:ilvl w:val="1"/>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Termi ‘</w:t>
      </w:r>
      <w:proofErr w:type="spellStart"/>
      <w:r w:rsidRPr="004979D2">
        <w:rPr>
          <w:rFonts w:ascii="Times New Roman" w:hAnsi="Times New Roman" w:cs="Times New Roman"/>
          <w:sz w:val="24"/>
          <w:szCs w:val="24"/>
        </w:rPr>
        <w:t>temporary</w:t>
      </w:r>
      <w:proofErr w:type="spellEnd"/>
      <w:r w:rsidRPr="004979D2">
        <w:rPr>
          <w:rFonts w:ascii="Times New Roman" w:hAnsi="Times New Roman" w:cs="Times New Roman"/>
          <w:sz w:val="24"/>
          <w:szCs w:val="24"/>
        </w:rPr>
        <w:t xml:space="preserve"> </w:t>
      </w:r>
      <w:proofErr w:type="spellStart"/>
      <w:r w:rsidRPr="004979D2">
        <w:rPr>
          <w:rFonts w:ascii="Times New Roman" w:hAnsi="Times New Roman" w:cs="Times New Roman"/>
          <w:sz w:val="24"/>
          <w:szCs w:val="24"/>
        </w:rPr>
        <w:t>measure</w:t>
      </w:r>
      <w:proofErr w:type="spellEnd"/>
      <w:r w:rsidRPr="004979D2">
        <w:rPr>
          <w:rFonts w:ascii="Times New Roman" w:hAnsi="Times New Roman" w:cs="Times New Roman"/>
          <w:sz w:val="24"/>
          <w:szCs w:val="24"/>
        </w:rPr>
        <w:t>’ duhet të ndryshohet në ‘</w:t>
      </w:r>
      <w:proofErr w:type="spellStart"/>
      <w:r w:rsidRPr="004979D2">
        <w:rPr>
          <w:rFonts w:ascii="Times New Roman" w:hAnsi="Times New Roman" w:cs="Times New Roman"/>
          <w:sz w:val="24"/>
          <w:szCs w:val="24"/>
        </w:rPr>
        <w:t>interim</w:t>
      </w:r>
      <w:proofErr w:type="spellEnd"/>
      <w:r w:rsidRPr="004979D2">
        <w:rPr>
          <w:rFonts w:ascii="Times New Roman" w:hAnsi="Times New Roman" w:cs="Times New Roman"/>
          <w:sz w:val="24"/>
          <w:szCs w:val="24"/>
        </w:rPr>
        <w:t xml:space="preserve"> </w:t>
      </w:r>
      <w:proofErr w:type="spellStart"/>
      <w:r w:rsidRPr="004979D2">
        <w:rPr>
          <w:rFonts w:ascii="Times New Roman" w:hAnsi="Times New Roman" w:cs="Times New Roman"/>
          <w:sz w:val="24"/>
          <w:szCs w:val="24"/>
        </w:rPr>
        <w:t>measures</w:t>
      </w:r>
      <w:proofErr w:type="spellEnd"/>
      <w:r w:rsidRPr="004979D2">
        <w:rPr>
          <w:rFonts w:ascii="Times New Roman" w:hAnsi="Times New Roman" w:cs="Times New Roman"/>
          <w:sz w:val="24"/>
          <w:szCs w:val="24"/>
        </w:rPr>
        <w:t xml:space="preserve">’, </w:t>
      </w:r>
    </w:p>
    <w:p w14:paraId="7FCCE4BD" w14:textId="77777777" w:rsidR="007602F2" w:rsidRPr="004979D2" w:rsidRDefault="007602F2" w:rsidP="002B1BC6">
      <w:pPr>
        <w:pStyle w:val="ListParagraph"/>
        <w:numPr>
          <w:ilvl w:val="1"/>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lastRenderedPageBreak/>
        <w:t>Termi ‘</w:t>
      </w:r>
      <w:proofErr w:type="spellStart"/>
      <w:r w:rsidRPr="004979D2">
        <w:rPr>
          <w:rFonts w:ascii="Times New Roman" w:hAnsi="Times New Roman" w:cs="Times New Roman"/>
          <w:sz w:val="24"/>
          <w:szCs w:val="24"/>
        </w:rPr>
        <w:t>group</w:t>
      </w:r>
      <w:proofErr w:type="spellEnd"/>
      <w:r w:rsidRPr="004979D2">
        <w:rPr>
          <w:rFonts w:ascii="Times New Roman" w:hAnsi="Times New Roman" w:cs="Times New Roman"/>
          <w:sz w:val="24"/>
          <w:szCs w:val="24"/>
        </w:rPr>
        <w:t xml:space="preserve"> </w:t>
      </w:r>
      <w:proofErr w:type="spellStart"/>
      <w:r w:rsidRPr="004979D2">
        <w:rPr>
          <w:rFonts w:ascii="Times New Roman" w:hAnsi="Times New Roman" w:cs="Times New Roman"/>
          <w:sz w:val="24"/>
          <w:szCs w:val="24"/>
        </w:rPr>
        <w:t>exemptions</w:t>
      </w:r>
      <w:proofErr w:type="spellEnd"/>
      <w:r w:rsidRPr="004979D2">
        <w:rPr>
          <w:rFonts w:ascii="Times New Roman" w:hAnsi="Times New Roman" w:cs="Times New Roman"/>
          <w:sz w:val="24"/>
          <w:szCs w:val="24"/>
        </w:rPr>
        <w:t>’ (përjashtimet grupore) duhet të ndryshohet në ‘</w:t>
      </w:r>
      <w:proofErr w:type="spellStart"/>
      <w:r w:rsidRPr="004979D2">
        <w:rPr>
          <w:rFonts w:ascii="Times New Roman" w:hAnsi="Times New Roman" w:cs="Times New Roman"/>
          <w:sz w:val="24"/>
          <w:szCs w:val="24"/>
        </w:rPr>
        <w:t>block</w:t>
      </w:r>
      <w:proofErr w:type="spellEnd"/>
      <w:r w:rsidRPr="004979D2">
        <w:rPr>
          <w:rFonts w:ascii="Times New Roman" w:hAnsi="Times New Roman" w:cs="Times New Roman"/>
          <w:sz w:val="24"/>
          <w:szCs w:val="24"/>
        </w:rPr>
        <w:t xml:space="preserve"> </w:t>
      </w:r>
      <w:proofErr w:type="spellStart"/>
      <w:r w:rsidRPr="004979D2">
        <w:rPr>
          <w:rFonts w:ascii="Times New Roman" w:hAnsi="Times New Roman" w:cs="Times New Roman"/>
          <w:sz w:val="24"/>
          <w:szCs w:val="24"/>
        </w:rPr>
        <w:t>exemption</w:t>
      </w:r>
      <w:proofErr w:type="spellEnd"/>
      <w:r w:rsidRPr="004979D2">
        <w:rPr>
          <w:rFonts w:ascii="Times New Roman" w:hAnsi="Times New Roman" w:cs="Times New Roman"/>
          <w:sz w:val="24"/>
          <w:szCs w:val="24"/>
        </w:rPr>
        <w:t>’ (përjashtimet në bllok)</w:t>
      </w:r>
    </w:p>
    <w:p w14:paraId="72701C72" w14:textId="77777777" w:rsidR="007602F2" w:rsidRPr="004979D2" w:rsidRDefault="007602F2" w:rsidP="002B1BC6">
      <w:pPr>
        <w:pStyle w:val="ListParagraph"/>
        <w:numPr>
          <w:ilvl w:val="1"/>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Termi ‘</w:t>
      </w:r>
      <w:proofErr w:type="spellStart"/>
      <w:r w:rsidRPr="004979D2">
        <w:rPr>
          <w:rFonts w:ascii="Times New Roman" w:hAnsi="Times New Roman" w:cs="Times New Roman"/>
          <w:sz w:val="24"/>
          <w:szCs w:val="24"/>
        </w:rPr>
        <w:t>development</w:t>
      </w:r>
      <w:proofErr w:type="spellEnd"/>
      <w:r w:rsidRPr="004979D2">
        <w:rPr>
          <w:rFonts w:ascii="Times New Roman" w:hAnsi="Times New Roman" w:cs="Times New Roman"/>
          <w:sz w:val="24"/>
          <w:szCs w:val="24"/>
        </w:rPr>
        <w:t xml:space="preserve"> </w:t>
      </w:r>
      <w:proofErr w:type="spellStart"/>
      <w:r w:rsidRPr="004979D2">
        <w:rPr>
          <w:rFonts w:ascii="Times New Roman" w:hAnsi="Times New Roman" w:cs="Times New Roman"/>
          <w:sz w:val="24"/>
          <w:szCs w:val="24"/>
        </w:rPr>
        <w:t>procedures</w:t>
      </w:r>
      <w:proofErr w:type="spellEnd"/>
      <w:r w:rsidRPr="004979D2">
        <w:rPr>
          <w:rFonts w:ascii="Times New Roman" w:hAnsi="Times New Roman" w:cs="Times New Roman"/>
          <w:sz w:val="24"/>
          <w:szCs w:val="24"/>
        </w:rPr>
        <w:t xml:space="preserve">’ është i paqartë por duket se ndërlidhet me procedurat dhe hetimet që kryhen nga Autoriteti </w:t>
      </w:r>
    </w:p>
    <w:p w14:paraId="52002FEF" w14:textId="77777777" w:rsidR="007602F2" w:rsidRPr="004979D2" w:rsidRDefault="007602F2" w:rsidP="002B1BC6">
      <w:pPr>
        <w:pStyle w:val="ListParagraph"/>
        <w:numPr>
          <w:ilvl w:val="1"/>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Termi ‘</w:t>
      </w:r>
      <w:proofErr w:type="spellStart"/>
      <w:r w:rsidRPr="004979D2">
        <w:rPr>
          <w:rFonts w:ascii="Times New Roman" w:hAnsi="Times New Roman" w:cs="Times New Roman"/>
          <w:sz w:val="24"/>
          <w:szCs w:val="24"/>
        </w:rPr>
        <w:t>punitive</w:t>
      </w:r>
      <w:proofErr w:type="spellEnd"/>
      <w:r w:rsidRPr="004979D2">
        <w:rPr>
          <w:rFonts w:ascii="Times New Roman" w:hAnsi="Times New Roman" w:cs="Times New Roman"/>
          <w:sz w:val="24"/>
          <w:szCs w:val="24"/>
        </w:rPr>
        <w:t xml:space="preserve"> </w:t>
      </w:r>
      <w:proofErr w:type="spellStart"/>
      <w:r w:rsidRPr="004979D2">
        <w:rPr>
          <w:rFonts w:ascii="Times New Roman" w:hAnsi="Times New Roman" w:cs="Times New Roman"/>
          <w:sz w:val="24"/>
          <w:szCs w:val="24"/>
        </w:rPr>
        <w:t>measures</w:t>
      </w:r>
      <w:proofErr w:type="spellEnd"/>
      <w:r w:rsidRPr="004979D2">
        <w:rPr>
          <w:rFonts w:ascii="Times New Roman" w:hAnsi="Times New Roman" w:cs="Times New Roman"/>
          <w:sz w:val="24"/>
          <w:szCs w:val="24"/>
        </w:rPr>
        <w:t>’ (masa ndëshkuese) duhet të ndryshohet në ‘fines’ (gjobat) pasi që termi ‘</w:t>
      </w:r>
      <w:proofErr w:type="spellStart"/>
      <w:r w:rsidRPr="004979D2">
        <w:rPr>
          <w:rFonts w:ascii="Times New Roman" w:hAnsi="Times New Roman" w:cs="Times New Roman"/>
          <w:sz w:val="24"/>
          <w:szCs w:val="24"/>
        </w:rPr>
        <w:t>punitive</w:t>
      </w:r>
      <w:proofErr w:type="spellEnd"/>
      <w:r w:rsidRPr="004979D2">
        <w:rPr>
          <w:rFonts w:ascii="Times New Roman" w:hAnsi="Times New Roman" w:cs="Times New Roman"/>
          <w:sz w:val="24"/>
          <w:szCs w:val="24"/>
        </w:rPr>
        <w:t>’ i referohet më shumë sanksioneve penale</w:t>
      </w:r>
    </w:p>
    <w:p w14:paraId="6C3BBAAA" w14:textId="77777777" w:rsidR="007602F2" w:rsidRPr="004979D2" w:rsidRDefault="007602F2" w:rsidP="002B1BC6">
      <w:pPr>
        <w:pStyle w:val="ListParagraph"/>
        <w:numPr>
          <w:ilvl w:val="1"/>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Termi ‘legal </w:t>
      </w:r>
      <w:proofErr w:type="spellStart"/>
      <w:r w:rsidRPr="004979D2">
        <w:rPr>
          <w:rFonts w:ascii="Times New Roman" w:hAnsi="Times New Roman" w:cs="Times New Roman"/>
          <w:sz w:val="24"/>
          <w:szCs w:val="24"/>
        </w:rPr>
        <w:t>defence</w:t>
      </w:r>
      <w:proofErr w:type="spellEnd"/>
      <w:r w:rsidRPr="004979D2">
        <w:rPr>
          <w:rFonts w:ascii="Times New Roman" w:hAnsi="Times New Roman" w:cs="Times New Roman"/>
          <w:sz w:val="24"/>
          <w:szCs w:val="24"/>
        </w:rPr>
        <w:t>’ (</w:t>
      </w:r>
      <w:proofErr w:type="spellStart"/>
      <w:r w:rsidRPr="004979D2">
        <w:rPr>
          <w:rFonts w:ascii="Times New Roman" w:hAnsi="Times New Roman" w:cs="Times New Roman"/>
          <w:sz w:val="24"/>
          <w:szCs w:val="24"/>
        </w:rPr>
        <w:t>mbrotja</w:t>
      </w:r>
      <w:proofErr w:type="spellEnd"/>
      <w:r w:rsidRPr="004979D2">
        <w:rPr>
          <w:rFonts w:ascii="Times New Roman" w:hAnsi="Times New Roman" w:cs="Times New Roman"/>
          <w:sz w:val="24"/>
          <w:szCs w:val="24"/>
        </w:rPr>
        <w:t xml:space="preserve"> gjyqësore) në të drejtën e konkurrencës duhet të definohet si ‘</w:t>
      </w:r>
      <w:proofErr w:type="spellStart"/>
      <w:r w:rsidRPr="004979D2">
        <w:rPr>
          <w:rFonts w:ascii="Times New Roman" w:hAnsi="Times New Roman" w:cs="Times New Roman"/>
          <w:sz w:val="24"/>
          <w:szCs w:val="24"/>
        </w:rPr>
        <w:t>court</w:t>
      </w:r>
      <w:proofErr w:type="spellEnd"/>
      <w:r w:rsidRPr="004979D2">
        <w:rPr>
          <w:rFonts w:ascii="Times New Roman" w:hAnsi="Times New Roman" w:cs="Times New Roman"/>
          <w:sz w:val="24"/>
          <w:szCs w:val="24"/>
        </w:rPr>
        <w:t xml:space="preserve"> </w:t>
      </w:r>
      <w:proofErr w:type="spellStart"/>
      <w:r w:rsidRPr="004979D2">
        <w:rPr>
          <w:rFonts w:ascii="Times New Roman" w:hAnsi="Times New Roman" w:cs="Times New Roman"/>
          <w:sz w:val="24"/>
          <w:szCs w:val="24"/>
        </w:rPr>
        <w:t>review</w:t>
      </w:r>
      <w:proofErr w:type="spellEnd"/>
      <w:r w:rsidRPr="004979D2">
        <w:rPr>
          <w:rFonts w:ascii="Times New Roman" w:hAnsi="Times New Roman" w:cs="Times New Roman"/>
          <w:sz w:val="24"/>
          <w:szCs w:val="24"/>
        </w:rPr>
        <w:t xml:space="preserve">’ (shqyrtimi gjyqësor) </w:t>
      </w:r>
    </w:p>
    <w:p w14:paraId="4A74F99A" w14:textId="77777777" w:rsidR="0013265F" w:rsidRPr="004979D2" w:rsidRDefault="0013265F" w:rsidP="002B1BC6">
      <w:pPr>
        <w:pStyle w:val="ListParagraph"/>
        <w:numPr>
          <w:ilvl w:val="1"/>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Termi “Veprimtari ekonomike” duhet</w:t>
      </w:r>
      <w:r w:rsidR="008753CB" w:rsidRPr="004979D2">
        <w:rPr>
          <w:rFonts w:ascii="Times New Roman" w:hAnsi="Times New Roman" w:cs="Times New Roman"/>
          <w:sz w:val="24"/>
          <w:szCs w:val="24"/>
        </w:rPr>
        <w:t xml:space="preserve"> të </w:t>
      </w:r>
      <w:r w:rsidRPr="004979D2">
        <w:rPr>
          <w:rFonts w:ascii="Times New Roman" w:hAnsi="Times New Roman" w:cs="Times New Roman"/>
          <w:sz w:val="24"/>
          <w:szCs w:val="24"/>
        </w:rPr>
        <w:t>definohet: është veprimtari prodhuese, tregtare, financiare, ose profesionale, qe shoqërohet me blerjen dhe shitjen e mallrave dhe/ose me ofrimin apo përfitimin e shërbimeve.</w:t>
      </w:r>
    </w:p>
    <w:p w14:paraId="04986DE1" w14:textId="77777777" w:rsidR="007602F2" w:rsidRPr="004979D2" w:rsidRDefault="007602F2" w:rsidP="002B1BC6">
      <w:pPr>
        <w:pStyle w:val="ListParagraph"/>
        <w:numPr>
          <w:ilvl w:val="1"/>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Në paragrafin 1.1, termi joreal duhet të zëvendësohet me çmim të padrejtë për të qenë në përputhje me nenin 102 TFEU. Nuk është e qartë se çfarë është çmimi joreal.</w:t>
      </w:r>
    </w:p>
    <w:p w14:paraId="66BBF78D" w14:textId="77777777" w:rsidR="0013265F" w:rsidRPr="004979D2" w:rsidRDefault="007602F2" w:rsidP="002B1BC6">
      <w:pPr>
        <w:pStyle w:val="ListParagraph"/>
        <w:numPr>
          <w:ilvl w:val="1"/>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Në paragrafin 1.4. Pjesa e fundit e kësaj dispozite siç është në nenin 102 të TFBE mungon: detyrim shtesë që, sipas natyrës së tyre ose sipas përdorimit tregtar, nuk kanë lidhje me subjektin e këtyre kontratave.  </w:t>
      </w:r>
    </w:p>
    <w:p w14:paraId="5414B982" w14:textId="096AFC9A" w:rsidR="00C97256" w:rsidRPr="004979D2" w:rsidRDefault="00D975A5" w:rsidP="002B1BC6">
      <w:pPr>
        <w:pStyle w:val="ListParagraph"/>
        <w:numPr>
          <w:ilvl w:val="1"/>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Të shtohet </w:t>
      </w:r>
      <w:proofErr w:type="spellStart"/>
      <w:r w:rsidRPr="004979D2">
        <w:rPr>
          <w:rFonts w:ascii="Times New Roman" w:hAnsi="Times New Roman" w:cs="Times New Roman"/>
          <w:sz w:val="24"/>
          <w:szCs w:val="24"/>
        </w:rPr>
        <w:t>definimin</w:t>
      </w:r>
      <w:proofErr w:type="spellEnd"/>
      <w:r w:rsidRPr="004979D2">
        <w:rPr>
          <w:rFonts w:ascii="Times New Roman" w:hAnsi="Times New Roman" w:cs="Times New Roman"/>
          <w:sz w:val="24"/>
          <w:szCs w:val="24"/>
        </w:rPr>
        <w:t xml:space="preserve"> i</w:t>
      </w:r>
      <w:r w:rsidR="008753CB" w:rsidRPr="004979D2">
        <w:rPr>
          <w:rFonts w:ascii="Times New Roman" w:hAnsi="Times New Roman" w:cs="Times New Roman"/>
          <w:sz w:val="24"/>
          <w:szCs w:val="24"/>
        </w:rPr>
        <w:t xml:space="preserve"> </w:t>
      </w:r>
      <w:r w:rsidR="0013265F" w:rsidRPr="004979D2">
        <w:rPr>
          <w:rFonts w:ascii="Times New Roman" w:hAnsi="Times New Roman" w:cs="Times New Roman"/>
          <w:sz w:val="24"/>
          <w:szCs w:val="24"/>
        </w:rPr>
        <w:t>veçantë i cili e përcakton kuptimin e termit “ndërmarrje”.  Rekomandohet ky përkufizim: “Ndërm</w:t>
      </w:r>
      <w:r w:rsidRPr="004979D2">
        <w:rPr>
          <w:rFonts w:ascii="Times New Roman" w:hAnsi="Times New Roman" w:cs="Times New Roman"/>
          <w:sz w:val="24"/>
          <w:szCs w:val="24"/>
        </w:rPr>
        <w:t>a</w:t>
      </w:r>
      <w:r w:rsidR="0013265F" w:rsidRPr="004979D2">
        <w:rPr>
          <w:rFonts w:ascii="Times New Roman" w:hAnsi="Times New Roman" w:cs="Times New Roman"/>
          <w:sz w:val="24"/>
          <w:szCs w:val="24"/>
        </w:rPr>
        <w:t>rrje” – është çdo person fizik ose juridik, privat a publik, qe kryen veprimtari ekonomike. Si ndërmarrje konsiderohen edhe organet e administratës qendrore e vendore, si dhe entet ose institucionet publike, kur kryejnë veprimtari ekonomike. Ndërsa, n</w:t>
      </w:r>
      <w:r w:rsidR="007602F2" w:rsidRPr="004979D2">
        <w:rPr>
          <w:rFonts w:ascii="Times New Roman" w:hAnsi="Times New Roman" w:cs="Times New Roman"/>
          <w:sz w:val="24"/>
          <w:szCs w:val="24"/>
        </w:rPr>
        <w:t xml:space="preserve">eni 13 i Ligjit të Konkurrencës ka të bëjë me përkufizimin e përqendrimeve. Në pjesën më të madhe ky artikull është në përputhje me </w:t>
      </w:r>
      <w:proofErr w:type="spellStart"/>
      <w:r w:rsidR="007602F2" w:rsidRPr="004979D2">
        <w:rPr>
          <w:rFonts w:ascii="Times New Roman" w:hAnsi="Times New Roman" w:cs="Times New Roman"/>
          <w:sz w:val="24"/>
          <w:szCs w:val="24"/>
        </w:rPr>
        <w:t>acquis</w:t>
      </w:r>
      <w:proofErr w:type="spellEnd"/>
      <w:r w:rsidR="007602F2" w:rsidRPr="004979D2">
        <w:rPr>
          <w:rFonts w:ascii="Times New Roman" w:hAnsi="Times New Roman" w:cs="Times New Roman"/>
          <w:sz w:val="24"/>
          <w:szCs w:val="24"/>
        </w:rPr>
        <w:t xml:space="preserve"> të BE-së (Rregullorja e Bashkimeve), por; Në paragrafin e parë ajo duhet t'i referohet ndryshimit të kontrollit në një bazë të qëndrueshme dhe jo vetëm të kontrollit.</w:t>
      </w:r>
    </w:p>
    <w:p w14:paraId="3A1D8F89" w14:textId="77777777" w:rsidR="007602F2" w:rsidRPr="004979D2" w:rsidRDefault="007602F2" w:rsidP="002B1BC6">
      <w:pPr>
        <w:pStyle w:val="ListParagraph"/>
        <w:numPr>
          <w:ilvl w:val="1"/>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Paragrafi 1.2. dhe paragrafi 2 i referohen ndikimit në pozitën dominuese, nuk është e qartë nëse kjo përfshin ndikimin vendimtar të një ose më shumë ndërmarrjeve që është pjesë e përcaktimit të përqendrimit sipas ligjit të BE-së.</w:t>
      </w:r>
    </w:p>
    <w:p w14:paraId="1B185669" w14:textId="52E02DE1" w:rsidR="007602F2" w:rsidRPr="004979D2" w:rsidRDefault="00B35E96" w:rsidP="002B1BC6">
      <w:pPr>
        <w:pStyle w:val="ListParagraph"/>
        <w:numPr>
          <w:ilvl w:val="0"/>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Të definohen termat kyç në përputhshmëri me legjislacionin e BE-së. Termi ‘ndërmarrje’ .</w:t>
      </w:r>
      <w:r w:rsidR="00621153" w:rsidRPr="004979D2">
        <w:rPr>
          <w:rFonts w:ascii="Times New Roman" w:hAnsi="Times New Roman" w:cs="Times New Roman"/>
          <w:sz w:val="24"/>
          <w:szCs w:val="24"/>
        </w:rPr>
        <w:t xml:space="preserve">duhet të definohet në përputhje me praktikën gjyqësore të BE-së, dhe të </w:t>
      </w:r>
      <w:r w:rsidR="00621153" w:rsidRPr="004979D2">
        <w:rPr>
          <w:rFonts w:ascii="Times New Roman" w:hAnsi="Times New Roman" w:cs="Times New Roman"/>
          <w:sz w:val="24"/>
          <w:szCs w:val="24"/>
        </w:rPr>
        <w:lastRenderedPageBreak/>
        <w:t>shtohet termi për ndërmarrjet publike,</w:t>
      </w:r>
      <w:r w:rsidRPr="004979D2">
        <w:rPr>
          <w:rFonts w:ascii="Times New Roman" w:hAnsi="Times New Roman" w:cs="Times New Roman"/>
          <w:sz w:val="24"/>
          <w:szCs w:val="24"/>
        </w:rPr>
        <w:t xml:space="preserve"> ndërmarrjet të cilat janë të ngarkuara me funksionimin e shërbimeve me interes të përgjithshëm ekonomik</w:t>
      </w:r>
      <w:r w:rsidR="00621153" w:rsidRPr="004979D2">
        <w:rPr>
          <w:rFonts w:ascii="Times New Roman" w:hAnsi="Times New Roman" w:cs="Times New Roman"/>
          <w:sz w:val="24"/>
          <w:szCs w:val="24"/>
        </w:rPr>
        <w:t xml:space="preserve"> dhe ndërmarrjes së kontrolluar nga një ndërmarrje tjetër. </w:t>
      </w:r>
      <w:proofErr w:type="spellStart"/>
      <w:r w:rsidR="00621153" w:rsidRPr="004979D2">
        <w:rPr>
          <w:rFonts w:ascii="Times New Roman" w:hAnsi="Times New Roman" w:cs="Times New Roman"/>
          <w:sz w:val="24"/>
          <w:szCs w:val="24"/>
        </w:rPr>
        <w:t>Poashtu</w:t>
      </w:r>
      <w:proofErr w:type="spellEnd"/>
      <w:r w:rsidR="00621153" w:rsidRPr="004979D2">
        <w:rPr>
          <w:rFonts w:ascii="Times New Roman" w:hAnsi="Times New Roman" w:cs="Times New Roman"/>
          <w:sz w:val="24"/>
          <w:szCs w:val="24"/>
        </w:rPr>
        <w:t xml:space="preserve"> termi ‘treg relevant’ duhet të përkufizohet sipas </w:t>
      </w:r>
      <w:r w:rsidR="007602F2" w:rsidRPr="004979D2">
        <w:rPr>
          <w:rFonts w:ascii="Times New Roman" w:hAnsi="Times New Roman" w:cs="Times New Roman"/>
          <w:sz w:val="24"/>
          <w:szCs w:val="24"/>
        </w:rPr>
        <w:t>Njoftimi</w:t>
      </w:r>
      <w:r w:rsidR="00621153" w:rsidRPr="004979D2">
        <w:rPr>
          <w:rFonts w:ascii="Times New Roman" w:hAnsi="Times New Roman" w:cs="Times New Roman"/>
          <w:sz w:val="24"/>
          <w:szCs w:val="24"/>
        </w:rPr>
        <w:t>t</w:t>
      </w:r>
      <w:r w:rsidR="007602F2" w:rsidRPr="004979D2">
        <w:rPr>
          <w:rFonts w:ascii="Times New Roman" w:hAnsi="Times New Roman" w:cs="Times New Roman"/>
          <w:sz w:val="24"/>
          <w:szCs w:val="24"/>
        </w:rPr>
        <w:t xml:space="preserve"> </w:t>
      </w:r>
      <w:r w:rsidR="00621153" w:rsidRPr="004979D2">
        <w:rPr>
          <w:rFonts w:ascii="Times New Roman" w:hAnsi="Times New Roman" w:cs="Times New Roman"/>
          <w:sz w:val="24"/>
          <w:szCs w:val="24"/>
        </w:rPr>
        <w:t xml:space="preserve">të </w:t>
      </w:r>
      <w:r w:rsidR="007602F2" w:rsidRPr="004979D2">
        <w:rPr>
          <w:rFonts w:ascii="Times New Roman" w:hAnsi="Times New Roman" w:cs="Times New Roman"/>
          <w:sz w:val="24"/>
          <w:szCs w:val="24"/>
        </w:rPr>
        <w:t xml:space="preserve">BE-së </w:t>
      </w:r>
      <w:r w:rsidR="00621153" w:rsidRPr="004979D2">
        <w:rPr>
          <w:rFonts w:ascii="Times New Roman" w:hAnsi="Times New Roman" w:cs="Times New Roman"/>
          <w:sz w:val="24"/>
          <w:szCs w:val="24"/>
        </w:rPr>
        <w:t xml:space="preserve">që </w:t>
      </w:r>
      <w:r w:rsidR="007602F2" w:rsidRPr="004979D2">
        <w:rPr>
          <w:rFonts w:ascii="Times New Roman" w:hAnsi="Times New Roman" w:cs="Times New Roman"/>
          <w:sz w:val="24"/>
          <w:szCs w:val="24"/>
        </w:rPr>
        <w:t>përcakton tregun përkatës të produktit si: "treg që përfshin të gjitha ato produkte dhe / ose shërbime të cilat konsiderohen si të këmbyeshme ose të zëvendësueshme nga konsumatori, për shkak të karakteristikave të produkteve, çmimeve të tyre dhe përdorimit të tyre të synuar " dhe tregun gjeografik përkatës si: treg që përfshin zonën në të cilën ndërmarrjet në fjalë janë të përfshira në ofertën dhe kërkesën e produkteve ose shërbimeve, në të cilat kushtet e konkurrencës janë mjaft homogjene dhe që mund të dallohen nga zonat fqinje sepse kushtet e konkurrencës janë dukshëm të ndryshme në ato zona'.</w:t>
      </w:r>
    </w:p>
    <w:p w14:paraId="0FB7B33E" w14:textId="765E62B4" w:rsidR="007602F2" w:rsidRPr="004979D2" w:rsidRDefault="00621153" w:rsidP="002B1BC6">
      <w:pPr>
        <w:pStyle w:val="ListParagraph"/>
        <w:numPr>
          <w:ilvl w:val="0"/>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Neni 4 i Ligjit duhet të jetë në pë</w:t>
      </w:r>
      <w:r w:rsidR="0021705A" w:rsidRPr="004979D2">
        <w:rPr>
          <w:rFonts w:ascii="Times New Roman" w:hAnsi="Times New Roman" w:cs="Times New Roman"/>
          <w:sz w:val="24"/>
          <w:szCs w:val="24"/>
        </w:rPr>
        <w:t>rputhshmëri me Nenin 101 të TFEU</w:t>
      </w:r>
      <w:r w:rsidRPr="004979D2">
        <w:rPr>
          <w:rFonts w:ascii="Times New Roman" w:hAnsi="Times New Roman" w:cs="Times New Roman"/>
          <w:sz w:val="24"/>
          <w:szCs w:val="24"/>
        </w:rPr>
        <w:t xml:space="preserve">-së. Ndonëse, disa </w:t>
      </w:r>
      <w:r w:rsidR="007602F2" w:rsidRPr="004979D2">
        <w:rPr>
          <w:rFonts w:ascii="Times New Roman" w:hAnsi="Times New Roman" w:cs="Times New Roman"/>
          <w:sz w:val="24"/>
          <w:szCs w:val="24"/>
        </w:rPr>
        <w:t>nga elemente</w:t>
      </w:r>
      <w:r w:rsidRPr="004979D2">
        <w:rPr>
          <w:rFonts w:ascii="Times New Roman" w:hAnsi="Times New Roman" w:cs="Times New Roman"/>
          <w:sz w:val="24"/>
          <w:szCs w:val="24"/>
        </w:rPr>
        <w:t>t e nenin 101</w:t>
      </w:r>
      <w:r w:rsidR="007602F2" w:rsidRPr="004979D2">
        <w:rPr>
          <w:rFonts w:ascii="Times New Roman" w:hAnsi="Times New Roman" w:cs="Times New Roman"/>
          <w:sz w:val="24"/>
          <w:szCs w:val="24"/>
        </w:rPr>
        <w:t xml:space="preserve"> janë inkorporuar në </w:t>
      </w:r>
      <w:r w:rsidRPr="004979D2">
        <w:rPr>
          <w:rFonts w:ascii="Times New Roman" w:hAnsi="Times New Roman" w:cs="Times New Roman"/>
          <w:sz w:val="24"/>
          <w:szCs w:val="24"/>
        </w:rPr>
        <w:t xml:space="preserve">nenin 4 dhe </w:t>
      </w:r>
      <w:r w:rsidR="007602F2" w:rsidRPr="004979D2">
        <w:rPr>
          <w:rFonts w:ascii="Times New Roman" w:hAnsi="Times New Roman" w:cs="Times New Roman"/>
          <w:sz w:val="24"/>
          <w:szCs w:val="24"/>
        </w:rPr>
        <w:t>dispozita të mëtejshme për marrëveshjet e Ligjit të Konkurrencës</w:t>
      </w:r>
      <w:r w:rsidRPr="004979D2">
        <w:rPr>
          <w:rFonts w:ascii="Times New Roman" w:hAnsi="Times New Roman" w:cs="Times New Roman"/>
          <w:sz w:val="24"/>
          <w:szCs w:val="24"/>
        </w:rPr>
        <w:t>. M</w:t>
      </w:r>
      <w:r w:rsidR="007602F2" w:rsidRPr="004979D2">
        <w:rPr>
          <w:rFonts w:ascii="Times New Roman" w:hAnsi="Times New Roman" w:cs="Times New Roman"/>
          <w:sz w:val="24"/>
          <w:szCs w:val="24"/>
        </w:rPr>
        <w:t xml:space="preserve">egjithatë për këtë dispozitë të jetë plotësisht në përputhje me </w:t>
      </w:r>
      <w:r w:rsidR="006F11C5" w:rsidRPr="004979D2">
        <w:rPr>
          <w:rFonts w:ascii="Times New Roman" w:hAnsi="Times New Roman" w:cs="Times New Roman"/>
          <w:sz w:val="24"/>
          <w:szCs w:val="24"/>
        </w:rPr>
        <w:t>n</w:t>
      </w:r>
      <w:r w:rsidR="007602F2" w:rsidRPr="004979D2">
        <w:rPr>
          <w:rFonts w:ascii="Times New Roman" w:hAnsi="Times New Roman" w:cs="Times New Roman"/>
          <w:sz w:val="24"/>
          <w:szCs w:val="24"/>
        </w:rPr>
        <w:t>enin 101 TFEU dhe për qartësinë e kësaj dispozite, sugjerohet të shtohet një paragraf tjetër që korrespondon me nenin 101 paragrafi 3) TFEU.</w:t>
      </w:r>
    </w:p>
    <w:p w14:paraId="156414BD" w14:textId="77777777" w:rsidR="007602F2" w:rsidRPr="004979D2" w:rsidRDefault="007602F2" w:rsidP="002B1BC6">
      <w:pPr>
        <w:pStyle w:val="ListParagraph"/>
        <w:numPr>
          <w:ilvl w:val="0"/>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Sipas Njoftimit të BE-së për marrëveshjet me rëndësi të vogël që nuk kufizojnë ndjeshëm konkurrencën sipas </w:t>
      </w:r>
      <w:r w:rsidR="006F11C5" w:rsidRPr="004979D2">
        <w:rPr>
          <w:rFonts w:ascii="Times New Roman" w:hAnsi="Times New Roman" w:cs="Times New Roman"/>
          <w:sz w:val="24"/>
          <w:szCs w:val="24"/>
        </w:rPr>
        <w:t>n</w:t>
      </w:r>
      <w:r w:rsidRPr="004979D2">
        <w:rPr>
          <w:rFonts w:ascii="Times New Roman" w:hAnsi="Times New Roman" w:cs="Times New Roman"/>
          <w:sz w:val="24"/>
          <w:szCs w:val="24"/>
        </w:rPr>
        <w:t xml:space="preserve">enit 101 TFEU (De </w:t>
      </w:r>
      <w:proofErr w:type="spellStart"/>
      <w:r w:rsidRPr="004979D2">
        <w:rPr>
          <w:rFonts w:ascii="Times New Roman" w:hAnsi="Times New Roman" w:cs="Times New Roman"/>
          <w:sz w:val="24"/>
          <w:szCs w:val="24"/>
        </w:rPr>
        <w:t>Minimis</w:t>
      </w:r>
      <w:proofErr w:type="spellEnd"/>
      <w:r w:rsidRPr="004979D2">
        <w:rPr>
          <w:rFonts w:ascii="Times New Roman" w:hAnsi="Times New Roman" w:cs="Times New Roman"/>
          <w:sz w:val="24"/>
          <w:szCs w:val="24"/>
        </w:rPr>
        <w:t xml:space="preserve"> </w:t>
      </w:r>
      <w:proofErr w:type="spellStart"/>
      <w:r w:rsidRPr="004979D2">
        <w:rPr>
          <w:rFonts w:ascii="Times New Roman" w:hAnsi="Times New Roman" w:cs="Times New Roman"/>
          <w:sz w:val="24"/>
          <w:szCs w:val="24"/>
        </w:rPr>
        <w:t>Notice</w:t>
      </w:r>
      <w:proofErr w:type="spellEnd"/>
      <w:r w:rsidRPr="004979D2">
        <w:rPr>
          <w:rFonts w:ascii="Times New Roman" w:hAnsi="Times New Roman" w:cs="Times New Roman"/>
          <w:sz w:val="24"/>
          <w:szCs w:val="24"/>
        </w:rPr>
        <w:t xml:space="preserve">), marrëveshjet e tilla duhet të konsiderohen si marrëveshje </w:t>
      </w:r>
      <w:r w:rsidR="00D56EF5" w:rsidRPr="004979D2">
        <w:rPr>
          <w:rFonts w:ascii="Times New Roman" w:hAnsi="Times New Roman" w:cs="Times New Roman"/>
          <w:sz w:val="24"/>
          <w:szCs w:val="24"/>
        </w:rPr>
        <w:t xml:space="preserve">jo </w:t>
      </w:r>
      <w:r w:rsidRPr="004979D2">
        <w:rPr>
          <w:rFonts w:ascii="Times New Roman" w:hAnsi="Times New Roman" w:cs="Times New Roman"/>
          <w:sz w:val="24"/>
          <w:szCs w:val="24"/>
        </w:rPr>
        <w:t xml:space="preserve">të ndaluara. Paragrafi 13 i Njoftimit De </w:t>
      </w:r>
      <w:proofErr w:type="spellStart"/>
      <w:r w:rsidRPr="004979D2">
        <w:rPr>
          <w:rFonts w:ascii="Times New Roman" w:hAnsi="Times New Roman" w:cs="Times New Roman"/>
          <w:sz w:val="24"/>
          <w:szCs w:val="24"/>
        </w:rPr>
        <w:t>Minimis</w:t>
      </w:r>
      <w:proofErr w:type="spellEnd"/>
      <w:r w:rsidRPr="004979D2">
        <w:rPr>
          <w:rFonts w:ascii="Times New Roman" w:hAnsi="Times New Roman" w:cs="Times New Roman"/>
          <w:sz w:val="24"/>
          <w:szCs w:val="24"/>
        </w:rPr>
        <w:t xml:space="preserve"> thekson se Komisioni nuk do të zbatojë portin e sigurt të krijuar nga ato pragje të tregut për marrëveshjet që përmbajnë ndonjë nga kufizimet të cilat janë të renditura si kufizime të ashpra dhe të cilat konsiderohen nga Komisioni në përgjithësi përbëjnë kufizim nga objekti. Meqenëse kjo është një pikë shumë e rëndësishme për marrëveshjet e de </w:t>
      </w:r>
      <w:proofErr w:type="spellStart"/>
      <w:r w:rsidRPr="004979D2">
        <w:rPr>
          <w:rFonts w:ascii="Times New Roman" w:hAnsi="Times New Roman" w:cs="Times New Roman"/>
          <w:sz w:val="24"/>
          <w:szCs w:val="24"/>
        </w:rPr>
        <w:t>minis</w:t>
      </w:r>
      <w:proofErr w:type="spellEnd"/>
      <w:r w:rsidRPr="004979D2">
        <w:rPr>
          <w:rFonts w:ascii="Times New Roman" w:hAnsi="Times New Roman" w:cs="Times New Roman"/>
          <w:sz w:val="24"/>
          <w:szCs w:val="24"/>
        </w:rPr>
        <w:t>, do të ishte e dobishme që kjo dispozitë të jetë e qartë në Ligj edhe pse ajo është e rregulluar në legjislacionin sekondar.</w:t>
      </w:r>
    </w:p>
    <w:p w14:paraId="3B7C4784" w14:textId="2DAC61B2" w:rsidR="007602F2" w:rsidRPr="004979D2" w:rsidRDefault="007602F2" w:rsidP="002B1BC6">
      <w:pPr>
        <w:pStyle w:val="ListParagraph"/>
        <w:numPr>
          <w:ilvl w:val="0"/>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Me qëllim të forcimit të mëtejshëm të </w:t>
      </w:r>
      <w:proofErr w:type="spellStart"/>
      <w:r w:rsidRPr="004979D2">
        <w:rPr>
          <w:rFonts w:ascii="Times New Roman" w:hAnsi="Times New Roman" w:cs="Times New Roman"/>
          <w:sz w:val="24"/>
          <w:szCs w:val="24"/>
        </w:rPr>
        <w:t>avokimit</w:t>
      </w:r>
      <w:proofErr w:type="spellEnd"/>
      <w:r w:rsidRPr="004979D2">
        <w:rPr>
          <w:rFonts w:ascii="Times New Roman" w:hAnsi="Times New Roman" w:cs="Times New Roman"/>
          <w:sz w:val="24"/>
          <w:szCs w:val="24"/>
        </w:rPr>
        <w:t xml:space="preserve"> të konkurrencës, do të ishte e dobishme të shtohet në paragrafin 1 </w:t>
      </w:r>
      <w:r w:rsidR="00621153" w:rsidRPr="004979D2">
        <w:rPr>
          <w:rFonts w:ascii="Times New Roman" w:hAnsi="Times New Roman" w:cs="Times New Roman"/>
          <w:sz w:val="24"/>
          <w:szCs w:val="24"/>
        </w:rPr>
        <w:t xml:space="preserve">të Nenit 23 </w:t>
      </w:r>
      <w:r w:rsidRPr="004979D2">
        <w:rPr>
          <w:rFonts w:ascii="Times New Roman" w:hAnsi="Times New Roman" w:cs="Times New Roman"/>
          <w:sz w:val="24"/>
          <w:szCs w:val="24"/>
        </w:rPr>
        <w:t>se AKK me vet</w:t>
      </w:r>
      <w:r w:rsidR="00621153" w:rsidRPr="004979D2">
        <w:rPr>
          <w:rFonts w:ascii="Times New Roman" w:hAnsi="Times New Roman" w:cs="Times New Roman"/>
          <w:sz w:val="24"/>
          <w:szCs w:val="24"/>
        </w:rPr>
        <w:t>ë-</w:t>
      </w:r>
      <w:r w:rsidRPr="004979D2">
        <w:rPr>
          <w:rFonts w:ascii="Times New Roman" w:hAnsi="Times New Roman" w:cs="Times New Roman"/>
          <w:sz w:val="24"/>
          <w:szCs w:val="24"/>
        </w:rPr>
        <w:t>iniciativ</w:t>
      </w:r>
      <w:r w:rsidR="00921817" w:rsidRPr="004979D2">
        <w:rPr>
          <w:rFonts w:ascii="Times New Roman" w:hAnsi="Times New Roman" w:cs="Times New Roman"/>
          <w:sz w:val="24"/>
          <w:szCs w:val="24"/>
        </w:rPr>
        <w:t>ë</w:t>
      </w:r>
      <w:r w:rsidRPr="004979D2">
        <w:rPr>
          <w:rFonts w:ascii="Times New Roman" w:hAnsi="Times New Roman" w:cs="Times New Roman"/>
          <w:sz w:val="24"/>
          <w:szCs w:val="24"/>
        </w:rPr>
        <w:t xml:space="preserve"> ose me </w:t>
      </w:r>
      <w:r w:rsidR="006F11C5" w:rsidRPr="004979D2">
        <w:rPr>
          <w:rFonts w:ascii="Times New Roman" w:hAnsi="Times New Roman" w:cs="Times New Roman"/>
          <w:sz w:val="24"/>
          <w:szCs w:val="24"/>
        </w:rPr>
        <w:t>kërkesë</w:t>
      </w:r>
      <w:r w:rsidRPr="004979D2">
        <w:rPr>
          <w:rFonts w:ascii="Times New Roman" w:hAnsi="Times New Roman" w:cs="Times New Roman"/>
          <w:sz w:val="24"/>
          <w:szCs w:val="24"/>
        </w:rPr>
        <w:t xml:space="preserve"> mund të japë mendime edhe për projektligjet ose propozimet e ligjeve dhe rregulloreve të tjera.</w:t>
      </w:r>
    </w:p>
    <w:p w14:paraId="29D056EA" w14:textId="77777777" w:rsidR="007602F2" w:rsidRPr="004979D2" w:rsidRDefault="00D56EF5" w:rsidP="002B1BC6">
      <w:pPr>
        <w:pStyle w:val="ListParagraph"/>
        <w:numPr>
          <w:ilvl w:val="0"/>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Neni 54 i Ligjit nuk parasheh vendim për marrëveshjet e ndaluara dhe vendosjen e gjobës për shkeljen e nenit 4 të Ligjit të Konkurrencës. </w:t>
      </w:r>
      <w:r w:rsidR="007602F2" w:rsidRPr="004979D2">
        <w:rPr>
          <w:rFonts w:ascii="Times New Roman" w:hAnsi="Times New Roman" w:cs="Times New Roman"/>
          <w:sz w:val="24"/>
          <w:szCs w:val="24"/>
        </w:rPr>
        <w:t xml:space="preserve">Ky është hendek në ligj, sepse </w:t>
      </w:r>
      <w:r w:rsidR="007602F2" w:rsidRPr="004979D2">
        <w:rPr>
          <w:rFonts w:ascii="Times New Roman" w:hAnsi="Times New Roman" w:cs="Times New Roman"/>
          <w:sz w:val="24"/>
          <w:szCs w:val="24"/>
        </w:rPr>
        <w:lastRenderedPageBreak/>
        <w:t xml:space="preserve">marrëveshjet e ndaluara, veçanërisht marrëveshjet e ndaluara horizontale ndërmjet konkurrentëve që rregullojnë çmimet ose tregjet e aksioneve (kartelet) përfaqësojnë kufizime thelbësore të konkurrencës për të cilat mund të vendosen gjobat më të larta. Gjoba e tillë e lartë për marrëveshjet e ndaluara përcaktohet në </w:t>
      </w:r>
      <w:r w:rsidR="006F11C5" w:rsidRPr="004979D2">
        <w:rPr>
          <w:rFonts w:ascii="Times New Roman" w:hAnsi="Times New Roman" w:cs="Times New Roman"/>
          <w:sz w:val="24"/>
          <w:szCs w:val="24"/>
        </w:rPr>
        <w:t>n</w:t>
      </w:r>
      <w:r w:rsidR="007602F2" w:rsidRPr="004979D2">
        <w:rPr>
          <w:rFonts w:ascii="Times New Roman" w:hAnsi="Times New Roman" w:cs="Times New Roman"/>
          <w:sz w:val="24"/>
          <w:szCs w:val="24"/>
        </w:rPr>
        <w:t>enin 56, paragrafi 1.1. i Ligjit të Konkurrencës.</w:t>
      </w:r>
    </w:p>
    <w:p w14:paraId="38A31F2F" w14:textId="77777777" w:rsidR="007602F2" w:rsidRPr="004979D2" w:rsidRDefault="00D56EF5" w:rsidP="002B1BC6">
      <w:pPr>
        <w:pStyle w:val="ListParagraph"/>
        <w:numPr>
          <w:ilvl w:val="0"/>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Neni 57 duhet të ndryshohet. Vlera prej </w:t>
      </w:r>
      <w:r w:rsidR="007602F2" w:rsidRPr="004979D2">
        <w:rPr>
          <w:rFonts w:ascii="Times New Roman" w:hAnsi="Times New Roman" w:cs="Times New Roman"/>
          <w:sz w:val="24"/>
          <w:szCs w:val="24"/>
        </w:rPr>
        <w:t>2% duket të jetë shumë e lartë duke pasur parasysh se zakonisht shumica e BE-së vendosin gjobën për shkeljet e vogla deri në 1% të totalit të xhiros së ndërmarrjes.</w:t>
      </w:r>
    </w:p>
    <w:p w14:paraId="64F00F2F" w14:textId="492CA408" w:rsidR="007602F2" w:rsidRPr="004979D2" w:rsidRDefault="00D56EF5" w:rsidP="002B1BC6">
      <w:pPr>
        <w:pStyle w:val="ListParagraph"/>
        <w:numPr>
          <w:ilvl w:val="0"/>
          <w:numId w:val="35"/>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Neni 24 i ligjit 04/L-226 plotëson Nenin 57 të ligjit bazik sa i përket masave ndëshkuese për shkeljet e lehta, duke paraparë masa edhe për autoritet shtetërore. Mirëpo, si dispozitë është e paqartë.. A</w:t>
      </w:r>
      <w:r w:rsidR="007602F2" w:rsidRPr="004979D2">
        <w:rPr>
          <w:rFonts w:ascii="Times New Roman" w:hAnsi="Times New Roman" w:cs="Times New Roman"/>
          <w:sz w:val="24"/>
          <w:szCs w:val="24"/>
        </w:rPr>
        <w:t>utoritetet shtetërore u nënshtrohen rregullave të konkurrencës vetëm nëse ata marrin pjesë në treg dhe madje edhe atëherë, do të jenë personat juridikë që gjobiten dhe jo personat përgjegjës. Nëse kjo dispozitë i referohet kompanive shtetërore, atëherë kjo do të mbulohet nga paragrafi 1 i këtij neni. Për më tepër, shoqatat si shoqatat profesionale (odat ekonomike, shoqatat sportive etj.) mund të jenë subjekt i rregullave të konkurrencës dhe gjobiten për shkelje të Ligjit të Konkurrencës nëse konsiderohen si ndërmarrje. Për shembull, përkufizimi i marrëveshjeve të ndaluara në ligjin e konkurrencës së BE-së dhe në nenin 4 të Ligjit mbi Konkurrencën në Kosovë përfshijnë vendimet e shoqatave të ndërmarrjeve.</w:t>
      </w:r>
    </w:p>
    <w:p w14:paraId="6883785B" w14:textId="77777777" w:rsidR="007602F2" w:rsidRPr="004979D2" w:rsidRDefault="00D2733C" w:rsidP="002B1BC6">
      <w:pPr>
        <w:pStyle w:val="ListParagraph"/>
        <w:numPr>
          <w:ilvl w:val="0"/>
          <w:numId w:val="35"/>
        </w:numPr>
        <w:spacing w:after="0" w:line="360" w:lineRule="auto"/>
        <w:jc w:val="both"/>
        <w:rPr>
          <w:rFonts w:ascii="Times New Roman" w:hAnsi="Times New Roman" w:cs="Times New Roman"/>
          <w:sz w:val="24"/>
          <w:szCs w:val="24"/>
        </w:rPr>
      </w:pPr>
      <w:r w:rsidRPr="004979D2">
        <w:rPr>
          <w:rFonts w:ascii="Times New Roman" w:hAnsi="Times New Roman" w:cs="Times New Roman"/>
          <w:sz w:val="24"/>
          <w:szCs w:val="24"/>
        </w:rPr>
        <w:t>Neni 66</w:t>
      </w:r>
      <w:r w:rsidR="007602F2" w:rsidRPr="004979D2">
        <w:rPr>
          <w:rFonts w:ascii="Times New Roman" w:hAnsi="Times New Roman" w:cs="Times New Roman"/>
          <w:sz w:val="24"/>
          <w:szCs w:val="24"/>
        </w:rPr>
        <w:t xml:space="preserve"> duhet të ndryshohet dhe të përfshihet legjislacioni i BE-së në kuptim më të gjerë, i cili do të përfshijë jo vetëm direktivat, por edhe rregulloret, njoftimet e komisionit dhe udhëzimet. Për më tepër, bazuar në MSA, do të ishte e dobishme të shtohet referenca për zbatimin e kritereve të legjislacionit të BE-së për konkurrencën në zbatimin e ligjit nga ana e AKK-së sidomos në rastin e zbrazëtirave ligjore ose pasigurive. Në Ligjin e Konkurrencës nuk ka asnjë nen që rregullon kërkesat për dëmshpërblim për shkelje të ligjit të konkurrencës. Duke pasur parasysh se ekziston një Direktivë e BE-së 2014/104 për dëmet, do të ishte e dobishme që të ketë një nen të veçantë në ligjin e konkurrencës, që thotë se palët e dëmtuara mund të paraqesin kërkesa për dëmshpërblim për dëmin e shkaktuar nga shkelja e ligjit të konkurrencës nga vendimi i autoritetit të konkurrencës. Ky nen gjithashtu do të theksojë se cilat gjykata janë kompetente (zakonisht, gjykatat tregtare). Si një referencë </w:t>
      </w:r>
      <w:r w:rsidR="006F11C5" w:rsidRPr="004979D2">
        <w:rPr>
          <w:rFonts w:ascii="Times New Roman" w:hAnsi="Times New Roman" w:cs="Times New Roman"/>
          <w:sz w:val="24"/>
          <w:szCs w:val="24"/>
        </w:rPr>
        <w:t>n</w:t>
      </w:r>
      <w:r w:rsidR="007602F2" w:rsidRPr="004979D2">
        <w:rPr>
          <w:rFonts w:ascii="Times New Roman" w:hAnsi="Times New Roman" w:cs="Times New Roman"/>
          <w:sz w:val="24"/>
          <w:szCs w:val="24"/>
        </w:rPr>
        <w:t xml:space="preserve">eni 69a i Aktit </w:t>
      </w:r>
      <w:r w:rsidR="007602F2" w:rsidRPr="004979D2">
        <w:rPr>
          <w:rFonts w:ascii="Times New Roman" w:hAnsi="Times New Roman" w:cs="Times New Roman"/>
          <w:sz w:val="24"/>
          <w:szCs w:val="24"/>
        </w:rPr>
        <w:lastRenderedPageBreak/>
        <w:t>të Konkurrencës Kroate mund të shërbejë edhe pse ekziston edhe Ligji i veçantë për kërkesat e dëmeve për shkeljen e rregullave të konkurrencës në Kroaci.</w:t>
      </w:r>
    </w:p>
    <w:p w14:paraId="16AD25AF" w14:textId="509DB3DA" w:rsidR="00D2733C" w:rsidRPr="004979D2" w:rsidRDefault="00D2733C" w:rsidP="002B1BC6">
      <w:pPr>
        <w:pStyle w:val="CommentText"/>
        <w:numPr>
          <w:ilvl w:val="0"/>
          <w:numId w:val="35"/>
        </w:numPr>
        <w:spacing w:after="0" w:line="360" w:lineRule="auto"/>
        <w:jc w:val="both"/>
        <w:rPr>
          <w:rFonts w:ascii="Times New Roman" w:hAnsi="Times New Roman" w:cs="Times New Roman"/>
          <w:sz w:val="24"/>
          <w:szCs w:val="24"/>
        </w:rPr>
      </w:pPr>
      <w:r w:rsidRPr="004979D2">
        <w:rPr>
          <w:rFonts w:ascii="Times New Roman" w:hAnsi="Times New Roman" w:cs="Times New Roman"/>
          <w:sz w:val="24"/>
          <w:szCs w:val="24"/>
        </w:rPr>
        <w:t>Neni 28</w:t>
      </w:r>
      <w:r w:rsidR="008753CB" w:rsidRPr="004979D2">
        <w:rPr>
          <w:rFonts w:ascii="Times New Roman" w:hAnsi="Times New Roman" w:cs="Times New Roman"/>
          <w:sz w:val="24"/>
          <w:szCs w:val="24"/>
        </w:rPr>
        <w:t xml:space="preserve"> të </w:t>
      </w:r>
      <w:r w:rsidRPr="004979D2">
        <w:rPr>
          <w:rFonts w:ascii="Times New Roman" w:hAnsi="Times New Roman" w:cs="Times New Roman"/>
          <w:sz w:val="24"/>
          <w:szCs w:val="24"/>
        </w:rPr>
        <w:t>shtohet një paragraf i ri ku parashihet</w:t>
      </w:r>
      <w:r w:rsidR="00D56EF5" w:rsidRPr="004979D2">
        <w:rPr>
          <w:rFonts w:ascii="Times New Roman" w:hAnsi="Times New Roman" w:cs="Times New Roman"/>
          <w:sz w:val="24"/>
          <w:szCs w:val="24"/>
        </w:rPr>
        <w:t xml:space="preserve"> e drejta e AKK-së që të ofroj</w:t>
      </w:r>
      <w:r w:rsidRPr="004979D2">
        <w:rPr>
          <w:rFonts w:ascii="Times New Roman" w:hAnsi="Times New Roman" w:cs="Times New Roman"/>
          <w:sz w:val="24"/>
          <w:szCs w:val="24"/>
        </w:rPr>
        <w:t xml:space="preserve"> vlerësime dhe rekomandime organeve të administratës qendrore e vendore dhe institucioneve të tjera publike, shoqatave tregtare, sindikatave, shoqatave të konsumatorit, dhomave të tregtisë dhe të industrisë, për çështjet që lidhen me konkurrencën; </w:t>
      </w:r>
    </w:p>
    <w:p w14:paraId="1DFD92B2" w14:textId="77777777" w:rsidR="0021705A" w:rsidRPr="004979D2" w:rsidRDefault="0021705A" w:rsidP="002B1BC6">
      <w:pPr>
        <w:pStyle w:val="CommentText"/>
        <w:spacing w:after="0" w:line="360" w:lineRule="auto"/>
        <w:ind w:left="720"/>
        <w:jc w:val="both"/>
        <w:rPr>
          <w:rFonts w:ascii="Times New Roman" w:hAnsi="Times New Roman" w:cs="Times New Roman"/>
          <w:sz w:val="24"/>
          <w:szCs w:val="24"/>
        </w:rPr>
      </w:pPr>
    </w:p>
    <w:p w14:paraId="7F5E6AF7" w14:textId="58D0CB07" w:rsidR="00D2733C" w:rsidRPr="004979D2" w:rsidRDefault="00D56EF5" w:rsidP="002B1BC6">
      <w:pPr>
        <w:pStyle w:val="CommentText"/>
        <w:spacing w:after="0" w:line="360" w:lineRule="auto"/>
        <w:ind w:left="720"/>
        <w:jc w:val="both"/>
        <w:rPr>
          <w:rFonts w:ascii="Times New Roman" w:hAnsi="Times New Roman" w:cs="Times New Roman"/>
          <w:sz w:val="24"/>
          <w:szCs w:val="24"/>
        </w:rPr>
      </w:pPr>
      <w:r w:rsidRPr="004979D2">
        <w:rPr>
          <w:rFonts w:ascii="Times New Roman" w:hAnsi="Times New Roman" w:cs="Times New Roman"/>
          <w:sz w:val="24"/>
          <w:szCs w:val="24"/>
        </w:rPr>
        <w:t>Në nenin 61 të Ligjit 03/L-229 të shtohen tre (3) paragrafë të rinj, përkatësisht:</w:t>
      </w:r>
      <w:r w:rsidRPr="004979D2" w:rsidDel="00D56EF5">
        <w:rPr>
          <w:rFonts w:ascii="Times New Roman" w:hAnsi="Times New Roman" w:cs="Times New Roman"/>
          <w:sz w:val="24"/>
          <w:szCs w:val="24"/>
        </w:rPr>
        <w:t xml:space="preserve"> </w:t>
      </w:r>
    </w:p>
    <w:p w14:paraId="643A8183" w14:textId="5D09ADD9" w:rsidR="00D2733C" w:rsidRPr="004979D2" w:rsidRDefault="00D2733C" w:rsidP="002B1BC6">
      <w:pPr>
        <w:pStyle w:val="CommentText"/>
        <w:spacing w:line="360" w:lineRule="auto"/>
        <w:ind w:left="720"/>
        <w:jc w:val="both"/>
        <w:rPr>
          <w:rFonts w:ascii="Times New Roman" w:hAnsi="Times New Roman" w:cs="Times New Roman"/>
          <w:sz w:val="24"/>
          <w:szCs w:val="24"/>
        </w:rPr>
      </w:pPr>
      <w:r w:rsidRPr="004979D2">
        <w:rPr>
          <w:rFonts w:ascii="Times New Roman" w:hAnsi="Times New Roman" w:cs="Times New Roman"/>
          <w:sz w:val="24"/>
          <w:szCs w:val="24"/>
        </w:rPr>
        <w:t xml:space="preserve">Paragrafi 4 : </w:t>
      </w:r>
      <w:r w:rsidR="00D56EF5" w:rsidRPr="004979D2">
        <w:rPr>
          <w:rFonts w:ascii="Times New Roman" w:hAnsi="Times New Roman" w:cs="Times New Roman"/>
          <w:sz w:val="24"/>
          <w:szCs w:val="24"/>
        </w:rPr>
        <w:t>“</w:t>
      </w:r>
      <w:r w:rsidRPr="004979D2">
        <w:rPr>
          <w:rFonts w:ascii="Times New Roman" w:hAnsi="Times New Roman" w:cs="Times New Roman"/>
          <w:sz w:val="24"/>
          <w:szCs w:val="24"/>
        </w:rPr>
        <w:t xml:space="preserve">Autoritetet e administratës qendrore dhe vendore, entet dhe institucionet e tjera </w:t>
      </w:r>
      <w:proofErr w:type="spellStart"/>
      <w:r w:rsidRPr="004979D2">
        <w:rPr>
          <w:rFonts w:ascii="Times New Roman" w:hAnsi="Times New Roman" w:cs="Times New Roman"/>
          <w:sz w:val="24"/>
          <w:szCs w:val="24"/>
        </w:rPr>
        <w:t>rregullator</w:t>
      </w:r>
      <w:r w:rsidR="00D56EF5" w:rsidRPr="004979D2">
        <w:rPr>
          <w:rFonts w:ascii="Times New Roman" w:hAnsi="Times New Roman" w:cs="Times New Roman"/>
          <w:sz w:val="24"/>
          <w:szCs w:val="24"/>
        </w:rPr>
        <w:t>e</w:t>
      </w:r>
      <w:proofErr w:type="spellEnd"/>
      <w:r w:rsidRPr="004979D2">
        <w:rPr>
          <w:rFonts w:ascii="Times New Roman" w:hAnsi="Times New Roman" w:cs="Times New Roman"/>
          <w:sz w:val="24"/>
          <w:szCs w:val="24"/>
        </w:rPr>
        <w:t>, gjatë kryerjes së detyrave për rregullimin e veprimtarisë ekonomike në territorin e Republikës së Kosovës, janë të detyruara të zbatojnë dispozitat e këtij ligji dhe të sigurojnë një konkurrencë të ndershme dhe efektive.</w:t>
      </w:r>
      <w:r w:rsidR="00D56EF5" w:rsidRPr="004979D2">
        <w:rPr>
          <w:rFonts w:ascii="Times New Roman" w:hAnsi="Times New Roman" w:cs="Times New Roman"/>
          <w:sz w:val="24"/>
          <w:szCs w:val="24"/>
        </w:rPr>
        <w:t>”</w:t>
      </w:r>
    </w:p>
    <w:p w14:paraId="33875B21" w14:textId="575F43A9" w:rsidR="00D2733C" w:rsidRPr="004979D2" w:rsidRDefault="00D2733C" w:rsidP="002B1BC6">
      <w:pPr>
        <w:pStyle w:val="CommentText"/>
        <w:spacing w:line="360" w:lineRule="auto"/>
        <w:ind w:left="720"/>
        <w:jc w:val="both"/>
        <w:rPr>
          <w:rFonts w:ascii="Times New Roman" w:hAnsi="Times New Roman" w:cs="Times New Roman"/>
          <w:sz w:val="24"/>
          <w:szCs w:val="24"/>
        </w:rPr>
      </w:pPr>
      <w:r w:rsidRPr="004979D2">
        <w:rPr>
          <w:rFonts w:ascii="Times New Roman" w:hAnsi="Times New Roman" w:cs="Times New Roman"/>
          <w:sz w:val="24"/>
          <w:szCs w:val="24"/>
        </w:rPr>
        <w:t xml:space="preserve">Paragrafi 5: </w:t>
      </w:r>
      <w:r w:rsidR="00D56EF5" w:rsidRPr="004979D2">
        <w:rPr>
          <w:rFonts w:ascii="Times New Roman" w:hAnsi="Times New Roman" w:cs="Times New Roman"/>
          <w:sz w:val="24"/>
          <w:szCs w:val="24"/>
        </w:rPr>
        <w:t>“</w:t>
      </w:r>
      <w:r w:rsidRPr="004979D2">
        <w:rPr>
          <w:rFonts w:ascii="Times New Roman" w:hAnsi="Times New Roman" w:cs="Times New Roman"/>
          <w:sz w:val="24"/>
          <w:szCs w:val="24"/>
        </w:rPr>
        <w:t>Autoriteti, për arsye të interesit të përgjithshëm, vlerëson, në veçanti, barrierat rregulluese të konkurrencës, të përfshira në rregullimin ekonomik dhe administrativ. Në  këto raste Autoriteti bën rekomandimet përkatëse</w:t>
      </w:r>
      <w:r w:rsidR="00D56EF5" w:rsidRPr="004979D2">
        <w:rPr>
          <w:rFonts w:ascii="Times New Roman" w:hAnsi="Times New Roman" w:cs="Times New Roman"/>
          <w:sz w:val="24"/>
          <w:szCs w:val="24"/>
        </w:rPr>
        <w:t>.”</w:t>
      </w:r>
      <w:r w:rsidRPr="004979D2">
        <w:rPr>
          <w:rFonts w:ascii="Times New Roman" w:hAnsi="Times New Roman" w:cs="Times New Roman"/>
          <w:sz w:val="24"/>
          <w:szCs w:val="24"/>
        </w:rPr>
        <w:t>.</w:t>
      </w:r>
    </w:p>
    <w:p w14:paraId="6ABFC0FA" w14:textId="7CB37E76" w:rsidR="00D2733C" w:rsidRPr="004979D2" w:rsidRDefault="00D2733C" w:rsidP="002B1BC6">
      <w:pPr>
        <w:pStyle w:val="CommentText"/>
        <w:spacing w:line="360" w:lineRule="auto"/>
        <w:ind w:left="720"/>
        <w:jc w:val="both"/>
        <w:rPr>
          <w:rFonts w:ascii="Times New Roman" w:hAnsi="Times New Roman" w:cs="Times New Roman"/>
          <w:sz w:val="24"/>
          <w:szCs w:val="24"/>
        </w:rPr>
      </w:pPr>
      <w:r w:rsidRPr="004979D2">
        <w:rPr>
          <w:rFonts w:ascii="Times New Roman" w:hAnsi="Times New Roman" w:cs="Times New Roman"/>
          <w:sz w:val="24"/>
          <w:szCs w:val="24"/>
        </w:rPr>
        <w:t>Par</w:t>
      </w:r>
      <w:r w:rsidR="00D56EF5" w:rsidRPr="004979D2">
        <w:rPr>
          <w:rFonts w:ascii="Times New Roman" w:hAnsi="Times New Roman" w:cs="Times New Roman"/>
          <w:sz w:val="24"/>
          <w:szCs w:val="24"/>
        </w:rPr>
        <w:t xml:space="preserve">agrafi </w:t>
      </w:r>
      <w:r w:rsidRPr="004979D2">
        <w:rPr>
          <w:rFonts w:ascii="Times New Roman" w:hAnsi="Times New Roman" w:cs="Times New Roman"/>
          <w:sz w:val="24"/>
          <w:szCs w:val="24"/>
        </w:rPr>
        <w:t>6</w:t>
      </w:r>
      <w:r w:rsidR="00D56EF5" w:rsidRPr="004979D2">
        <w:rPr>
          <w:rFonts w:ascii="Times New Roman" w:hAnsi="Times New Roman" w:cs="Times New Roman"/>
          <w:sz w:val="24"/>
          <w:szCs w:val="24"/>
        </w:rPr>
        <w:t>:</w:t>
      </w:r>
      <w:r w:rsidRPr="004979D2">
        <w:rPr>
          <w:rFonts w:ascii="Times New Roman" w:hAnsi="Times New Roman" w:cs="Times New Roman"/>
          <w:sz w:val="24"/>
          <w:szCs w:val="24"/>
        </w:rPr>
        <w:t xml:space="preserve">  </w:t>
      </w:r>
      <w:r w:rsidR="00D56EF5" w:rsidRPr="004979D2">
        <w:rPr>
          <w:rFonts w:ascii="Times New Roman" w:hAnsi="Times New Roman" w:cs="Times New Roman"/>
          <w:sz w:val="24"/>
          <w:szCs w:val="24"/>
        </w:rPr>
        <w:t>“</w:t>
      </w:r>
      <w:r w:rsidRPr="004979D2">
        <w:rPr>
          <w:rFonts w:ascii="Times New Roman" w:hAnsi="Times New Roman" w:cs="Times New Roman"/>
          <w:sz w:val="24"/>
          <w:szCs w:val="24"/>
        </w:rPr>
        <w:t xml:space="preserve">Autoriteti, për zbatimin e këtij ligji në sektorët e rregulluar, bashkëpunon me entet dhe institucionet e tjera </w:t>
      </w:r>
      <w:r w:rsidR="00EF3D1F" w:rsidRPr="004979D2">
        <w:rPr>
          <w:rFonts w:ascii="Times New Roman" w:hAnsi="Times New Roman" w:cs="Times New Roman"/>
          <w:sz w:val="24"/>
          <w:szCs w:val="24"/>
        </w:rPr>
        <w:t>rregullatorë</w:t>
      </w:r>
      <w:r w:rsidRPr="004979D2">
        <w:rPr>
          <w:rFonts w:ascii="Times New Roman" w:hAnsi="Times New Roman" w:cs="Times New Roman"/>
          <w:sz w:val="24"/>
          <w:szCs w:val="24"/>
        </w:rPr>
        <w:t>.</w:t>
      </w:r>
      <w:r w:rsidR="00D56EF5" w:rsidRPr="004979D2">
        <w:rPr>
          <w:rFonts w:ascii="Times New Roman" w:hAnsi="Times New Roman" w:cs="Times New Roman"/>
          <w:sz w:val="24"/>
          <w:szCs w:val="24"/>
        </w:rPr>
        <w:t>”</w:t>
      </w:r>
    </w:p>
    <w:p w14:paraId="595B154E" w14:textId="77777777" w:rsidR="00D2733C" w:rsidRPr="004979D2" w:rsidRDefault="00D56EF5" w:rsidP="002B1BC6">
      <w:pPr>
        <w:pStyle w:val="CommentText"/>
        <w:spacing w:line="360" w:lineRule="auto"/>
        <w:ind w:left="720"/>
        <w:jc w:val="both"/>
        <w:rPr>
          <w:rFonts w:ascii="Times New Roman" w:hAnsi="Times New Roman" w:cs="Times New Roman"/>
          <w:sz w:val="24"/>
          <w:szCs w:val="24"/>
        </w:rPr>
      </w:pPr>
      <w:r w:rsidRPr="004979D2">
        <w:rPr>
          <w:rFonts w:ascii="Times New Roman" w:hAnsi="Times New Roman" w:cs="Times New Roman"/>
          <w:sz w:val="24"/>
          <w:szCs w:val="24"/>
        </w:rPr>
        <w:t xml:space="preserve">Gjithashtu, </w:t>
      </w:r>
      <w:r w:rsidR="00D2733C" w:rsidRPr="004979D2">
        <w:rPr>
          <w:rFonts w:ascii="Times New Roman" w:hAnsi="Times New Roman" w:cs="Times New Roman"/>
          <w:sz w:val="24"/>
          <w:szCs w:val="24"/>
        </w:rPr>
        <w:t>Nenit  35  ti shtohet një paragraf i ri si n</w:t>
      </w:r>
      <w:r w:rsidR="007F6086" w:rsidRPr="004979D2">
        <w:rPr>
          <w:rFonts w:ascii="Times New Roman" w:hAnsi="Times New Roman" w:cs="Times New Roman"/>
          <w:sz w:val="24"/>
          <w:szCs w:val="24"/>
        </w:rPr>
        <w:t>ë</w:t>
      </w:r>
      <w:r w:rsidR="00D2733C" w:rsidRPr="004979D2">
        <w:rPr>
          <w:rFonts w:ascii="Times New Roman" w:hAnsi="Times New Roman" w:cs="Times New Roman"/>
          <w:sz w:val="24"/>
          <w:szCs w:val="24"/>
        </w:rPr>
        <w:t xml:space="preserve"> vijim: </w:t>
      </w:r>
    </w:p>
    <w:p w14:paraId="40869CA8" w14:textId="50171C2E" w:rsidR="007136DD" w:rsidRPr="004979D2" w:rsidRDefault="00D56EF5" w:rsidP="002B1BC6">
      <w:pPr>
        <w:spacing w:line="360" w:lineRule="auto"/>
        <w:ind w:left="720"/>
        <w:jc w:val="both"/>
        <w:rPr>
          <w:rFonts w:ascii="Times New Roman" w:hAnsi="Times New Roman" w:cs="Times New Roman"/>
          <w:sz w:val="24"/>
          <w:szCs w:val="24"/>
        </w:rPr>
      </w:pPr>
      <w:r w:rsidRPr="004979D2">
        <w:rPr>
          <w:rFonts w:ascii="Times New Roman" w:hAnsi="Times New Roman" w:cs="Times New Roman"/>
          <w:sz w:val="24"/>
          <w:szCs w:val="24"/>
        </w:rPr>
        <w:t>“</w:t>
      </w:r>
      <w:r w:rsidR="00D2733C" w:rsidRPr="004979D2">
        <w:rPr>
          <w:rFonts w:ascii="Times New Roman" w:hAnsi="Times New Roman" w:cs="Times New Roman"/>
          <w:sz w:val="24"/>
          <w:szCs w:val="24"/>
        </w:rPr>
        <w:t xml:space="preserve">Autoriteti </w:t>
      </w:r>
      <w:r w:rsidRPr="004979D2">
        <w:rPr>
          <w:rFonts w:ascii="Times New Roman" w:hAnsi="Times New Roman" w:cs="Times New Roman"/>
          <w:sz w:val="24"/>
          <w:szCs w:val="24"/>
        </w:rPr>
        <w:t>me vetë-iniciativë, në bazë të</w:t>
      </w:r>
      <w:r w:rsidR="00D2733C" w:rsidRPr="004979D2">
        <w:rPr>
          <w:rFonts w:ascii="Times New Roman" w:hAnsi="Times New Roman" w:cs="Times New Roman"/>
          <w:sz w:val="24"/>
          <w:szCs w:val="24"/>
        </w:rPr>
        <w:t xml:space="preserve"> kërkesës dhe sipas detyrës zyrtare nxjerr </w:t>
      </w:r>
      <w:r w:rsidRPr="004979D2">
        <w:rPr>
          <w:rFonts w:ascii="Times New Roman" w:hAnsi="Times New Roman" w:cs="Times New Roman"/>
          <w:sz w:val="24"/>
          <w:szCs w:val="24"/>
        </w:rPr>
        <w:t xml:space="preserve">rekomandime </w:t>
      </w:r>
      <w:r w:rsidR="00D2733C" w:rsidRPr="004979D2">
        <w:rPr>
          <w:rFonts w:ascii="Times New Roman" w:hAnsi="Times New Roman" w:cs="Times New Roman"/>
          <w:sz w:val="24"/>
          <w:szCs w:val="24"/>
        </w:rPr>
        <w:t>ndaj Organeve  Qendrore</w:t>
      </w:r>
      <w:r w:rsidR="008753CB" w:rsidRPr="004979D2">
        <w:rPr>
          <w:rFonts w:ascii="Times New Roman" w:hAnsi="Times New Roman" w:cs="Times New Roman"/>
          <w:sz w:val="24"/>
          <w:szCs w:val="24"/>
        </w:rPr>
        <w:t xml:space="preserve"> të </w:t>
      </w:r>
      <w:r w:rsidR="00D2733C" w:rsidRPr="004979D2">
        <w:rPr>
          <w:rFonts w:ascii="Times New Roman" w:hAnsi="Times New Roman" w:cs="Times New Roman"/>
          <w:sz w:val="24"/>
          <w:szCs w:val="24"/>
        </w:rPr>
        <w:t>administratës publike dhe Lokale, personave juridik me autoritet publik,</w:t>
      </w:r>
      <w:r w:rsidR="00F41BCB" w:rsidRPr="004979D2">
        <w:rPr>
          <w:rFonts w:ascii="Times New Roman" w:hAnsi="Times New Roman" w:cs="Times New Roman"/>
          <w:sz w:val="24"/>
          <w:szCs w:val="24"/>
        </w:rPr>
        <w:t xml:space="preserve"> me qëllim të mbrojtjes së konkurrencës së lirë dhe efektive në treg.”</w:t>
      </w:r>
    </w:p>
    <w:p w14:paraId="0C9C3CBB" w14:textId="77777777" w:rsidR="007136DD" w:rsidRPr="004979D2" w:rsidRDefault="007136DD" w:rsidP="002B1BC6">
      <w:pPr>
        <w:spacing w:line="360" w:lineRule="auto"/>
        <w:ind w:left="720"/>
        <w:jc w:val="both"/>
        <w:rPr>
          <w:rFonts w:ascii="Times New Roman" w:hAnsi="Times New Roman" w:cs="Times New Roman"/>
          <w:sz w:val="24"/>
          <w:szCs w:val="24"/>
        </w:rPr>
      </w:pPr>
    </w:p>
    <w:p w14:paraId="164D2D0D" w14:textId="7B2E2CD6" w:rsidR="00D2733C" w:rsidRPr="004979D2" w:rsidRDefault="00D2733C" w:rsidP="002B1BC6">
      <w:pPr>
        <w:spacing w:line="360" w:lineRule="auto"/>
        <w:ind w:left="720"/>
        <w:jc w:val="both"/>
        <w:rPr>
          <w:rFonts w:ascii="Times New Roman" w:hAnsi="Times New Roman" w:cs="Times New Roman"/>
          <w:sz w:val="24"/>
          <w:szCs w:val="24"/>
        </w:rPr>
      </w:pPr>
    </w:p>
    <w:p w14:paraId="29C60BCA" w14:textId="77777777" w:rsidR="00653323" w:rsidRPr="004979D2" w:rsidRDefault="00653323" w:rsidP="002B1BC6">
      <w:pPr>
        <w:pStyle w:val="Heading2"/>
        <w:spacing w:line="360" w:lineRule="auto"/>
        <w:rPr>
          <w:rFonts w:cs="Times New Roman"/>
          <w:szCs w:val="24"/>
        </w:rPr>
      </w:pPr>
    </w:p>
    <w:p w14:paraId="5893FE10" w14:textId="71C695B5" w:rsidR="007136DD" w:rsidRPr="004979D2" w:rsidRDefault="00A46D67" w:rsidP="002B1BC6">
      <w:pPr>
        <w:pStyle w:val="Heading2"/>
        <w:spacing w:line="360" w:lineRule="auto"/>
        <w:rPr>
          <w:rFonts w:cs="Times New Roman"/>
          <w:szCs w:val="24"/>
        </w:rPr>
      </w:pPr>
      <w:bookmarkStart w:id="44" w:name="_Toc1114328"/>
      <w:r w:rsidRPr="004979D2">
        <w:rPr>
          <w:rFonts w:eastAsiaTheme="minorHAnsi" w:cs="Times New Roman"/>
          <w:szCs w:val="24"/>
        </w:rPr>
        <w:t xml:space="preserve">3.3 </w:t>
      </w:r>
      <w:r w:rsidR="00E32968" w:rsidRPr="004979D2">
        <w:rPr>
          <w:rFonts w:eastAsiaTheme="minorHAnsi" w:cs="Times New Roman"/>
          <w:szCs w:val="24"/>
        </w:rPr>
        <w:t>Opsioni</w:t>
      </w:r>
      <w:r w:rsidR="00B675A8" w:rsidRPr="004979D2">
        <w:rPr>
          <w:rFonts w:eastAsiaTheme="minorHAnsi" w:cs="Times New Roman"/>
          <w:szCs w:val="24"/>
        </w:rPr>
        <w:t xml:space="preserve"> 3 – Ngritja </w:t>
      </w:r>
      <w:r w:rsidR="0019201A" w:rsidRPr="004979D2">
        <w:rPr>
          <w:rFonts w:eastAsiaTheme="minorHAnsi" w:cs="Times New Roman"/>
          <w:szCs w:val="24"/>
        </w:rPr>
        <w:t>e kapaciteteve profesionale</w:t>
      </w:r>
      <w:r w:rsidR="008753CB" w:rsidRPr="004979D2">
        <w:rPr>
          <w:rFonts w:eastAsiaTheme="minorHAnsi" w:cs="Times New Roman"/>
          <w:szCs w:val="24"/>
        </w:rPr>
        <w:t xml:space="preserve"> të </w:t>
      </w:r>
      <w:r w:rsidR="0019201A" w:rsidRPr="004979D2">
        <w:rPr>
          <w:rFonts w:eastAsiaTheme="minorHAnsi" w:cs="Times New Roman"/>
          <w:szCs w:val="24"/>
        </w:rPr>
        <w:t>AKK</w:t>
      </w:r>
      <w:r w:rsidR="00B675A8" w:rsidRPr="004979D2">
        <w:rPr>
          <w:rFonts w:eastAsiaTheme="minorHAnsi" w:cs="Times New Roman"/>
          <w:szCs w:val="24"/>
        </w:rPr>
        <w:t>-së</w:t>
      </w:r>
      <w:bookmarkEnd w:id="44"/>
    </w:p>
    <w:p w14:paraId="3B88B1A9" w14:textId="1672C01F" w:rsidR="009A19F9" w:rsidRPr="004979D2" w:rsidRDefault="00DC6579"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Opsioni i </w:t>
      </w:r>
      <w:r w:rsidR="00653323" w:rsidRPr="004979D2">
        <w:rPr>
          <w:rFonts w:ascii="Times New Roman" w:hAnsi="Times New Roman" w:cs="Times New Roman"/>
          <w:sz w:val="24"/>
          <w:szCs w:val="24"/>
        </w:rPr>
        <w:t xml:space="preserve">tretë </w:t>
      </w:r>
      <w:r w:rsidR="00616EFF" w:rsidRPr="004979D2">
        <w:rPr>
          <w:rFonts w:ascii="Times New Roman" w:hAnsi="Times New Roman" w:cs="Times New Roman"/>
          <w:sz w:val="24"/>
          <w:szCs w:val="24"/>
        </w:rPr>
        <w:t xml:space="preserve">(3) </w:t>
      </w:r>
      <w:r w:rsidRPr="004979D2">
        <w:rPr>
          <w:rFonts w:ascii="Times New Roman" w:hAnsi="Times New Roman" w:cs="Times New Roman"/>
          <w:sz w:val="24"/>
          <w:szCs w:val="24"/>
        </w:rPr>
        <w:t>për ngritjen e kapaciteteve profesionale</w:t>
      </w:r>
      <w:r w:rsidR="008753CB" w:rsidRPr="004979D2">
        <w:rPr>
          <w:rFonts w:ascii="Times New Roman" w:hAnsi="Times New Roman" w:cs="Times New Roman"/>
          <w:sz w:val="24"/>
          <w:szCs w:val="24"/>
        </w:rPr>
        <w:t xml:space="preserve"> të </w:t>
      </w:r>
      <w:r w:rsidRPr="004979D2">
        <w:rPr>
          <w:rFonts w:ascii="Times New Roman" w:hAnsi="Times New Roman" w:cs="Times New Roman"/>
          <w:sz w:val="24"/>
          <w:szCs w:val="24"/>
        </w:rPr>
        <w:t>AKK</w:t>
      </w:r>
      <w:r w:rsidR="00E272AD" w:rsidRPr="004979D2">
        <w:rPr>
          <w:rFonts w:ascii="Times New Roman" w:hAnsi="Times New Roman" w:cs="Times New Roman"/>
          <w:sz w:val="24"/>
          <w:szCs w:val="24"/>
        </w:rPr>
        <w:t>-së</w:t>
      </w:r>
      <w:r w:rsidRPr="004979D2">
        <w:rPr>
          <w:rFonts w:ascii="Times New Roman" w:hAnsi="Times New Roman" w:cs="Times New Roman"/>
          <w:sz w:val="24"/>
          <w:szCs w:val="24"/>
        </w:rPr>
        <w:t xml:space="preserve"> </w:t>
      </w:r>
      <w:r w:rsidR="007A22F0" w:rsidRPr="004979D2">
        <w:rPr>
          <w:rFonts w:ascii="Times New Roman" w:hAnsi="Times New Roman" w:cs="Times New Roman"/>
          <w:sz w:val="24"/>
          <w:szCs w:val="24"/>
        </w:rPr>
        <w:t>për</w:t>
      </w:r>
      <w:r w:rsidRPr="004979D2">
        <w:rPr>
          <w:rFonts w:ascii="Times New Roman" w:hAnsi="Times New Roman" w:cs="Times New Roman"/>
          <w:sz w:val="24"/>
          <w:szCs w:val="24"/>
        </w:rPr>
        <w:t xml:space="preserve"> adresimin e problemit pa përdorur </w:t>
      </w:r>
      <w:r w:rsidR="007A22F0" w:rsidRPr="004979D2">
        <w:rPr>
          <w:rFonts w:ascii="Times New Roman" w:hAnsi="Times New Roman" w:cs="Times New Roman"/>
          <w:sz w:val="24"/>
          <w:szCs w:val="24"/>
        </w:rPr>
        <w:t>legjislacionin</w:t>
      </w:r>
      <w:r w:rsidRPr="004979D2">
        <w:rPr>
          <w:rFonts w:ascii="Times New Roman" w:hAnsi="Times New Roman" w:cs="Times New Roman"/>
          <w:sz w:val="24"/>
          <w:szCs w:val="24"/>
        </w:rPr>
        <w:t xml:space="preserve"> </w:t>
      </w:r>
      <w:r w:rsidR="007A22F0" w:rsidRPr="004979D2">
        <w:rPr>
          <w:rFonts w:ascii="Times New Roman" w:hAnsi="Times New Roman" w:cs="Times New Roman"/>
          <w:sz w:val="24"/>
          <w:szCs w:val="24"/>
        </w:rPr>
        <w:t>është</w:t>
      </w:r>
      <w:r w:rsidRPr="004979D2">
        <w:rPr>
          <w:rFonts w:ascii="Times New Roman" w:hAnsi="Times New Roman" w:cs="Times New Roman"/>
          <w:sz w:val="24"/>
          <w:szCs w:val="24"/>
        </w:rPr>
        <w:t xml:space="preserve"> </w:t>
      </w:r>
      <w:r w:rsidR="007A22F0" w:rsidRPr="004979D2">
        <w:rPr>
          <w:rFonts w:ascii="Times New Roman" w:hAnsi="Times New Roman" w:cs="Times New Roman"/>
          <w:sz w:val="24"/>
          <w:szCs w:val="24"/>
        </w:rPr>
        <w:t>një mundësi</w:t>
      </w:r>
      <w:r w:rsidRPr="004979D2">
        <w:rPr>
          <w:rFonts w:ascii="Times New Roman" w:hAnsi="Times New Roman" w:cs="Times New Roman"/>
          <w:sz w:val="24"/>
          <w:szCs w:val="24"/>
        </w:rPr>
        <w:t xml:space="preserve"> q</w:t>
      </w:r>
      <w:r w:rsidR="007F6086" w:rsidRPr="004979D2">
        <w:rPr>
          <w:rFonts w:ascii="Times New Roman" w:hAnsi="Times New Roman" w:cs="Times New Roman"/>
          <w:sz w:val="24"/>
          <w:szCs w:val="24"/>
        </w:rPr>
        <w:t>ë</w:t>
      </w:r>
      <w:r w:rsidRPr="004979D2">
        <w:rPr>
          <w:rFonts w:ascii="Times New Roman" w:hAnsi="Times New Roman" w:cs="Times New Roman"/>
          <w:sz w:val="24"/>
          <w:szCs w:val="24"/>
        </w:rPr>
        <w:t xml:space="preserve"> mund</w:t>
      </w:r>
      <w:r w:rsidR="008753CB" w:rsidRPr="004979D2">
        <w:rPr>
          <w:rFonts w:ascii="Times New Roman" w:hAnsi="Times New Roman" w:cs="Times New Roman"/>
          <w:sz w:val="24"/>
          <w:szCs w:val="24"/>
        </w:rPr>
        <w:t xml:space="preserve"> të </w:t>
      </w:r>
      <w:proofErr w:type="spellStart"/>
      <w:r w:rsidRPr="004979D2">
        <w:rPr>
          <w:rFonts w:ascii="Times New Roman" w:hAnsi="Times New Roman" w:cs="Times New Roman"/>
          <w:sz w:val="24"/>
          <w:szCs w:val="24"/>
        </w:rPr>
        <w:t>implementohet</w:t>
      </w:r>
      <w:proofErr w:type="spellEnd"/>
      <w:r w:rsidRPr="004979D2">
        <w:rPr>
          <w:rFonts w:ascii="Times New Roman" w:hAnsi="Times New Roman" w:cs="Times New Roman"/>
          <w:sz w:val="24"/>
          <w:szCs w:val="24"/>
        </w:rPr>
        <w:t xml:space="preserve"> shpejt</w:t>
      </w:r>
      <w:r w:rsidR="007F6086" w:rsidRPr="004979D2">
        <w:rPr>
          <w:rFonts w:ascii="Times New Roman" w:hAnsi="Times New Roman" w:cs="Times New Roman"/>
          <w:sz w:val="24"/>
          <w:szCs w:val="24"/>
        </w:rPr>
        <w:t>ë</w:t>
      </w:r>
      <w:r w:rsidRPr="004979D2">
        <w:rPr>
          <w:rFonts w:ascii="Times New Roman" w:hAnsi="Times New Roman" w:cs="Times New Roman"/>
          <w:sz w:val="24"/>
          <w:szCs w:val="24"/>
        </w:rPr>
        <w:t xml:space="preserve"> </w:t>
      </w:r>
      <w:r w:rsidR="007A22F0" w:rsidRPr="004979D2">
        <w:rPr>
          <w:rFonts w:ascii="Times New Roman" w:hAnsi="Times New Roman" w:cs="Times New Roman"/>
          <w:sz w:val="24"/>
          <w:szCs w:val="24"/>
        </w:rPr>
        <w:t>pasi</w:t>
      </w:r>
      <w:r w:rsidR="000D79D4" w:rsidRPr="004979D2">
        <w:rPr>
          <w:rFonts w:ascii="Times New Roman" w:hAnsi="Times New Roman" w:cs="Times New Roman"/>
          <w:sz w:val="24"/>
          <w:szCs w:val="24"/>
        </w:rPr>
        <w:t xml:space="preserve"> </w:t>
      </w:r>
      <w:r w:rsidR="007A22F0" w:rsidRPr="004979D2">
        <w:rPr>
          <w:rFonts w:ascii="Times New Roman" w:hAnsi="Times New Roman" w:cs="Times New Roman"/>
          <w:sz w:val="24"/>
          <w:szCs w:val="24"/>
        </w:rPr>
        <w:t>q</w:t>
      </w:r>
      <w:r w:rsidR="007F6086" w:rsidRPr="004979D2">
        <w:rPr>
          <w:rFonts w:ascii="Times New Roman" w:hAnsi="Times New Roman" w:cs="Times New Roman"/>
          <w:sz w:val="24"/>
          <w:szCs w:val="24"/>
        </w:rPr>
        <w:t>ë</w:t>
      </w:r>
      <w:r w:rsidRPr="004979D2">
        <w:rPr>
          <w:rFonts w:ascii="Times New Roman" w:hAnsi="Times New Roman" w:cs="Times New Roman"/>
          <w:sz w:val="24"/>
          <w:szCs w:val="24"/>
        </w:rPr>
        <w:t xml:space="preserve"> nuk ka </w:t>
      </w:r>
      <w:r w:rsidR="007A22F0" w:rsidRPr="004979D2">
        <w:rPr>
          <w:rFonts w:ascii="Times New Roman" w:hAnsi="Times New Roman" w:cs="Times New Roman"/>
          <w:sz w:val="24"/>
          <w:szCs w:val="24"/>
        </w:rPr>
        <w:t>nevojë</w:t>
      </w:r>
      <w:r w:rsidRPr="004979D2">
        <w:rPr>
          <w:rFonts w:ascii="Times New Roman" w:hAnsi="Times New Roman" w:cs="Times New Roman"/>
          <w:sz w:val="24"/>
          <w:szCs w:val="24"/>
        </w:rPr>
        <w:t xml:space="preserve"> </w:t>
      </w:r>
      <w:r w:rsidR="007A22F0" w:rsidRPr="004979D2">
        <w:rPr>
          <w:rFonts w:ascii="Times New Roman" w:hAnsi="Times New Roman" w:cs="Times New Roman"/>
          <w:sz w:val="24"/>
          <w:szCs w:val="24"/>
        </w:rPr>
        <w:t>për</w:t>
      </w:r>
      <w:r w:rsidRPr="004979D2">
        <w:rPr>
          <w:rFonts w:ascii="Times New Roman" w:hAnsi="Times New Roman" w:cs="Times New Roman"/>
          <w:sz w:val="24"/>
          <w:szCs w:val="24"/>
        </w:rPr>
        <w:t xml:space="preserve"> ndryshime ligjore. </w:t>
      </w:r>
      <w:r w:rsidR="007A22F0" w:rsidRPr="004979D2">
        <w:rPr>
          <w:rFonts w:ascii="Times New Roman" w:hAnsi="Times New Roman" w:cs="Times New Roman"/>
          <w:sz w:val="24"/>
          <w:szCs w:val="24"/>
        </w:rPr>
        <w:t>Mirëpo</w:t>
      </w:r>
      <w:r w:rsidRPr="004979D2">
        <w:rPr>
          <w:rFonts w:ascii="Times New Roman" w:hAnsi="Times New Roman" w:cs="Times New Roman"/>
          <w:sz w:val="24"/>
          <w:szCs w:val="24"/>
        </w:rPr>
        <w:t>, ky opsion do t</w:t>
      </w:r>
      <w:r w:rsidR="00E272AD" w:rsidRPr="004979D2">
        <w:rPr>
          <w:rFonts w:ascii="Times New Roman" w:hAnsi="Times New Roman" w:cs="Times New Roman"/>
          <w:sz w:val="24"/>
          <w:szCs w:val="24"/>
        </w:rPr>
        <w:t>’</w:t>
      </w:r>
      <w:r w:rsidRPr="004979D2">
        <w:rPr>
          <w:rFonts w:ascii="Times New Roman" w:hAnsi="Times New Roman" w:cs="Times New Roman"/>
          <w:sz w:val="24"/>
          <w:szCs w:val="24"/>
        </w:rPr>
        <w:t>i adresonte deri n</w:t>
      </w:r>
      <w:r w:rsidR="007F6086" w:rsidRPr="004979D2">
        <w:rPr>
          <w:rFonts w:ascii="Times New Roman" w:hAnsi="Times New Roman" w:cs="Times New Roman"/>
          <w:sz w:val="24"/>
          <w:szCs w:val="24"/>
        </w:rPr>
        <w:t>ë</w:t>
      </w:r>
      <w:r w:rsidRPr="004979D2">
        <w:rPr>
          <w:rFonts w:ascii="Times New Roman" w:hAnsi="Times New Roman" w:cs="Times New Roman"/>
          <w:sz w:val="24"/>
          <w:szCs w:val="24"/>
        </w:rPr>
        <w:t xml:space="preserve"> </w:t>
      </w:r>
      <w:r w:rsidR="007A22F0" w:rsidRPr="004979D2">
        <w:rPr>
          <w:rFonts w:ascii="Times New Roman" w:hAnsi="Times New Roman" w:cs="Times New Roman"/>
          <w:sz w:val="24"/>
          <w:szCs w:val="24"/>
        </w:rPr>
        <w:t>një</w:t>
      </w:r>
      <w:r w:rsidRPr="004979D2">
        <w:rPr>
          <w:rFonts w:ascii="Times New Roman" w:hAnsi="Times New Roman" w:cs="Times New Roman"/>
          <w:sz w:val="24"/>
          <w:szCs w:val="24"/>
        </w:rPr>
        <w:t xml:space="preserve"> </w:t>
      </w:r>
      <w:r w:rsidR="007A22F0" w:rsidRPr="004979D2">
        <w:rPr>
          <w:rFonts w:ascii="Times New Roman" w:hAnsi="Times New Roman" w:cs="Times New Roman"/>
          <w:sz w:val="24"/>
          <w:szCs w:val="24"/>
        </w:rPr>
        <w:t>masë</w:t>
      </w:r>
      <w:r w:rsidRPr="004979D2">
        <w:rPr>
          <w:rFonts w:ascii="Times New Roman" w:hAnsi="Times New Roman" w:cs="Times New Roman"/>
          <w:sz w:val="24"/>
          <w:szCs w:val="24"/>
        </w:rPr>
        <w:t xml:space="preserve"> efektet dhe shkaqet</w:t>
      </w:r>
      <w:r w:rsidR="008753CB" w:rsidRPr="004979D2">
        <w:rPr>
          <w:rFonts w:ascii="Times New Roman" w:hAnsi="Times New Roman" w:cs="Times New Roman"/>
          <w:sz w:val="24"/>
          <w:szCs w:val="24"/>
        </w:rPr>
        <w:t xml:space="preserve"> të </w:t>
      </w:r>
      <w:r w:rsidRPr="004979D2">
        <w:rPr>
          <w:rFonts w:ascii="Times New Roman" w:hAnsi="Times New Roman" w:cs="Times New Roman"/>
          <w:sz w:val="24"/>
          <w:szCs w:val="24"/>
        </w:rPr>
        <w:t>cilat shpien tek problemi kryesor q</w:t>
      </w:r>
      <w:r w:rsidR="006F11C5" w:rsidRPr="004979D2">
        <w:rPr>
          <w:rFonts w:ascii="Times New Roman" w:hAnsi="Times New Roman" w:cs="Times New Roman"/>
          <w:sz w:val="24"/>
          <w:szCs w:val="24"/>
        </w:rPr>
        <w:t>ë</w:t>
      </w:r>
      <w:r w:rsidRPr="004979D2">
        <w:rPr>
          <w:rFonts w:ascii="Times New Roman" w:hAnsi="Times New Roman" w:cs="Times New Roman"/>
          <w:sz w:val="24"/>
          <w:szCs w:val="24"/>
        </w:rPr>
        <w:t xml:space="preserve"> po analizohet n</w:t>
      </w:r>
      <w:r w:rsidR="006F11C5" w:rsidRPr="004979D2">
        <w:rPr>
          <w:rFonts w:ascii="Times New Roman" w:hAnsi="Times New Roman" w:cs="Times New Roman"/>
          <w:sz w:val="24"/>
          <w:szCs w:val="24"/>
        </w:rPr>
        <w:t>ë</w:t>
      </w:r>
      <w:r w:rsidRPr="004979D2">
        <w:rPr>
          <w:rFonts w:ascii="Times New Roman" w:hAnsi="Times New Roman" w:cs="Times New Roman"/>
          <w:sz w:val="24"/>
          <w:szCs w:val="24"/>
        </w:rPr>
        <w:t xml:space="preserve"> </w:t>
      </w:r>
      <w:r w:rsidR="007A22F0" w:rsidRPr="004979D2">
        <w:rPr>
          <w:rFonts w:ascii="Times New Roman" w:hAnsi="Times New Roman" w:cs="Times New Roman"/>
          <w:sz w:val="24"/>
          <w:szCs w:val="24"/>
        </w:rPr>
        <w:t>këtë</w:t>
      </w:r>
      <w:r w:rsidRPr="004979D2">
        <w:rPr>
          <w:rFonts w:ascii="Times New Roman" w:hAnsi="Times New Roman" w:cs="Times New Roman"/>
          <w:sz w:val="24"/>
          <w:szCs w:val="24"/>
        </w:rPr>
        <w:t xml:space="preserve"> Koncept Dokument. </w:t>
      </w:r>
      <w:r w:rsidR="007A22F0" w:rsidRPr="004979D2">
        <w:rPr>
          <w:rFonts w:ascii="Times New Roman" w:hAnsi="Times New Roman" w:cs="Times New Roman"/>
          <w:sz w:val="24"/>
          <w:szCs w:val="24"/>
        </w:rPr>
        <w:t>Meqenëse</w:t>
      </w:r>
      <w:r w:rsidRPr="004979D2">
        <w:rPr>
          <w:rFonts w:ascii="Times New Roman" w:hAnsi="Times New Roman" w:cs="Times New Roman"/>
          <w:sz w:val="24"/>
          <w:szCs w:val="24"/>
        </w:rPr>
        <w:t xml:space="preserve">, problemet </w:t>
      </w:r>
      <w:r w:rsidR="000D79D4" w:rsidRPr="004979D2">
        <w:rPr>
          <w:rFonts w:ascii="Times New Roman" w:hAnsi="Times New Roman" w:cs="Times New Roman"/>
          <w:sz w:val="24"/>
          <w:szCs w:val="24"/>
        </w:rPr>
        <w:t>e</w:t>
      </w:r>
      <w:r w:rsidRPr="004979D2">
        <w:rPr>
          <w:rFonts w:ascii="Times New Roman" w:hAnsi="Times New Roman" w:cs="Times New Roman"/>
          <w:sz w:val="24"/>
          <w:szCs w:val="24"/>
        </w:rPr>
        <w:t xml:space="preserve"> identifikuar</w:t>
      </w:r>
      <w:r w:rsidR="000D79D4" w:rsidRPr="004979D2">
        <w:rPr>
          <w:rFonts w:ascii="Times New Roman" w:hAnsi="Times New Roman" w:cs="Times New Roman"/>
          <w:sz w:val="24"/>
          <w:szCs w:val="24"/>
        </w:rPr>
        <w:t>a</w:t>
      </w:r>
      <w:r w:rsidRPr="004979D2">
        <w:rPr>
          <w:rFonts w:ascii="Times New Roman" w:hAnsi="Times New Roman" w:cs="Times New Roman"/>
          <w:sz w:val="24"/>
          <w:szCs w:val="24"/>
        </w:rPr>
        <w:t xml:space="preserve"> </w:t>
      </w:r>
      <w:r w:rsidR="007A22F0" w:rsidRPr="004979D2">
        <w:rPr>
          <w:rFonts w:ascii="Times New Roman" w:hAnsi="Times New Roman" w:cs="Times New Roman"/>
          <w:sz w:val="24"/>
          <w:szCs w:val="24"/>
        </w:rPr>
        <w:t>janë</w:t>
      </w:r>
      <w:r w:rsidRPr="004979D2">
        <w:rPr>
          <w:rFonts w:ascii="Times New Roman" w:hAnsi="Times New Roman" w:cs="Times New Roman"/>
          <w:sz w:val="24"/>
          <w:szCs w:val="24"/>
        </w:rPr>
        <w:t xml:space="preserve"> </w:t>
      </w:r>
      <w:r w:rsidR="007A22F0" w:rsidRPr="004979D2">
        <w:rPr>
          <w:rFonts w:ascii="Times New Roman" w:hAnsi="Times New Roman" w:cs="Times New Roman"/>
          <w:sz w:val="24"/>
          <w:szCs w:val="24"/>
        </w:rPr>
        <w:t>kryesisht</w:t>
      </w:r>
      <w:r w:rsidRPr="004979D2">
        <w:rPr>
          <w:rFonts w:ascii="Times New Roman" w:hAnsi="Times New Roman" w:cs="Times New Roman"/>
          <w:sz w:val="24"/>
          <w:szCs w:val="24"/>
        </w:rPr>
        <w:t xml:space="preserve"> t</w:t>
      </w:r>
      <w:r w:rsidR="006F11C5" w:rsidRPr="004979D2">
        <w:rPr>
          <w:rFonts w:ascii="Times New Roman" w:hAnsi="Times New Roman" w:cs="Times New Roman"/>
          <w:sz w:val="24"/>
          <w:szCs w:val="24"/>
        </w:rPr>
        <w:t>ë</w:t>
      </w:r>
      <w:r w:rsidRPr="004979D2">
        <w:rPr>
          <w:rFonts w:ascii="Times New Roman" w:hAnsi="Times New Roman" w:cs="Times New Roman"/>
          <w:sz w:val="24"/>
          <w:szCs w:val="24"/>
        </w:rPr>
        <w:t xml:space="preserve"> ndërlidhura me bazën aktuale ligjore</w:t>
      </w:r>
      <w:r w:rsidR="000D79D4" w:rsidRPr="004979D2">
        <w:rPr>
          <w:rFonts w:ascii="Times New Roman" w:hAnsi="Times New Roman" w:cs="Times New Roman"/>
          <w:sz w:val="24"/>
          <w:szCs w:val="24"/>
        </w:rPr>
        <w:t>,</w:t>
      </w:r>
      <w:r w:rsidRPr="004979D2">
        <w:rPr>
          <w:rFonts w:ascii="Times New Roman" w:hAnsi="Times New Roman" w:cs="Times New Roman"/>
          <w:sz w:val="24"/>
          <w:szCs w:val="24"/>
        </w:rPr>
        <w:t xml:space="preserve"> </w:t>
      </w:r>
      <w:r w:rsidR="007A22F0" w:rsidRPr="004979D2">
        <w:rPr>
          <w:rFonts w:ascii="Times New Roman" w:hAnsi="Times New Roman" w:cs="Times New Roman"/>
          <w:sz w:val="24"/>
          <w:szCs w:val="24"/>
        </w:rPr>
        <w:t>atëherë</w:t>
      </w:r>
      <w:r w:rsidRPr="004979D2">
        <w:rPr>
          <w:rFonts w:ascii="Times New Roman" w:hAnsi="Times New Roman" w:cs="Times New Roman"/>
          <w:sz w:val="24"/>
          <w:szCs w:val="24"/>
        </w:rPr>
        <w:t xml:space="preserve"> kemi ardhur n</w:t>
      </w:r>
      <w:r w:rsidR="006F11C5" w:rsidRPr="004979D2">
        <w:rPr>
          <w:rFonts w:ascii="Times New Roman" w:hAnsi="Times New Roman" w:cs="Times New Roman"/>
          <w:sz w:val="24"/>
          <w:szCs w:val="24"/>
        </w:rPr>
        <w:t>ë</w:t>
      </w:r>
      <w:r w:rsidRPr="004979D2">
        <w:rPr>
          <w:rFonts w:ascii="Times New Roman" w:hAnsi="Times New Roman" w:cs="Times New Roman"/>
          <w:sz w:val="24"/>
          <w:szCs w:val="24"/>
        </w:rPr>
        <w:t xml:space="preserve"> konkluzion se opsioni i tret</w:t>
      </w:r>
      <w:r w:rsidR="007F6086" w:rsidRPr="004979D2">
        <w:rPr>
          <w:rFonts w:ascii="Times New Roman" w:hAnsi="Times New Roman" w:cs="Times New Roman"/>
          <w:sz w:val="24"/>
          <w:szCs w:val="24"/>
        </w:rPr>
        <w:t>ë</w:t>
      </w:r>
      <w:r w:rsidRPr="004979D2">
        <w:rPr>
          <w:rFonts w:ascii="Times New Roman" w:hAnsi="Times New Roman" w:cs="Times New Roman"/>
          <w:sz w:val="24"/>
          <w:szCs w:val="24"/>
        </w:rPr>
        <w:t xml:space="preserve"> nuk mund t</w:t>
      </w:r>
      <w:r w:rsidR="006F11C5" w:rsidRPr="004979D2">
        <w:rPr>
          <w:rFonts w:ascii="Times New Roman" w:hAnsi="Times New Roman" w:cs="Times New Roman"/>
          <w:sz w:val="24"/>
          <w:szCs w:val="24"/>
        </w:rPr>
        <w:t>ë</w:t>
      </w:r>
      <w:r w:rsidRPr="004979D2">
        <w:rPr>
          <w:rFonts w:ascii="Times New Roman" w:hAnsi="Times New Roman" w:cs="Times New Roman"/>
          <w:sz w:val="24"/>
          <w:szCs w:val="24"/>
        </w:rPr>
        <w:t xml:space="preserve"> adresoj</w:t>
      </w:r>
      <w:r w:rsidR="00E272AD" w:rsidRPr="004979D2">
        <w:rPr>
          <w:rFonts w:ascii="Times New Roman" w:hAnsi="Times New Roman" w:cs="Times New Roman"/>
          <w:sz w:val="24"/>
          <w:szCs w:val="24"/>
        </w:rPr>
        <w:t>ë</w:t>
      </w:r>
      <w:r w:rsidRPr="004979D2">
        <w:rPr>
          <w:rFonts w:ascii="Times New Roman" w:hAnsi="Times New Roman" w:cs="Times New Roman"/>
          <w:sz w:val="24"/>
          <w:szCs w:val="24"/>
        </w:rPr>
        <w:t xml:space="preserve"> plotësisht problemin kryesor t</w:t>
      </w:r>
      <w:r w:rsidR="006F11C5" w:rsidRPr="004979D2">
        <w:rPr>
          <w:rFonts w:ascii="Times New Roman" w:hAnsi="Times New Roman" w:cs="Times New Roman"/>
          <w:sz w:val="24"/>
          <w:szCs w:val="24"/>
        </w:rPr>
        <w:t>ë</w:t>
      </w:r>
      <w:r w:rsidRPr="004979D2">
        <w:rPr>
          <w:rFonts w:ascii="Times New Roman" w:hAnsi="Times New Roman" w:cs="Times New Roman"/>
          <w:sz w:val="24"/>
          <w:szCs w:val="24"/>
        </w:rPr>
        <w:t xml:space="preserve"> identifikuar. </w:t>
      </w:r>
    </w:p>
    <w:p w14:paraId="1E9F7E2D" w14:textId="77777777" w:rsidR="0075339D" w:rsidRPr="004979D2" w:rsidRDefault="00BC0DBE" w:rsidP="002B1BC6">
      <w:pPr>
        <w:pStyle w:val="Heading1"/>
        <w:spacing w:line="360" w:lineRule="auto"/>
        <w:rPr>
          <w:rFonts w:ascii="Times New Roman" w:hAnsi="Times New Roman" w:cs="Times New Roman"/>
          <w:b/>
          <w:sz w:val="24"/>
          <w:szCs w:val="24"/>
        </w:rPr>
      </w:pPr>
      <w:bookmarkStart w:id="45" w:name="_Toc1114329"/>
      <w:r w:rsidRPr="004979D2">
        <w:rPr>
          <w:rFonts w:ascii="Times New Roman" w:hAnsi="Times New Roman" w:cs="Times New Roman"/>
          <w:b/>
          <w:sz w:val="24"/>
          <w:szCs w:val="24"/>
        </w:rPr>
        <w:t>KAPITULLI 4: IDENTIFIKIMI DHE VLERËSIMI I NDIKIMEVE TË ARDHSHME</w:t>
      </w:r>
      <w:bookmarkEnd w:id="45"/>
      <w:r w:rsidRPr="004979D2">
        <w:rPr>
          <w:rFonts w:ascii="Times New Roman" w:hAnsi="Times New Roman" w:cs="Times New Roman"/>
          <w:b/>
          <w:sz w:val="24"/>
          <w:szCs w:val="24"/>
        </w:rPr>
        <w:t xml:space="preserve"> </w:t>
      </w:r>
    </w:p>
    <w:p w14:paraId="25951989" w14:textId="4B411152" w:rsidR="00494035" w:rsidRPr="004979D2" w:rsidRDefault="00494035" w:rsidP="002B1BC6">
      <w:pPr>
        <w:spacing w:line="360" w:lineRule="auto"/>
        <w:jc w:val="both"/>
        <w:rPr>
          <w:rFonts w:ascii="Times New Roman" w:hAnsi="Times New Roman" w:cs="Times New Roman"/>
          <w:sz w:val="24"/>
          <w:szCs w:val="24"/>
          <w:u w:val="single"/>
        </w:rPr>
      </w:pPr>
      <w:r w:rsidRPr="004979D2">
        <w:rPr>
          <w:rFonts w:ascii="Times New Roman" w:hAnsi="Times New Roman" w:cs="Times New Roman"/>
          <w:b/>
          <w:sz w:val="24"/>
          <w:szCs w:val="24"/>
          <w:u w:val="single"/>
        </w:rPr>
        <w:t>Vlerësimi i Ndikim</w:t>
      </w:r>
      <w:r w:rsidR="00EC4589" w:rsidRPr="004979D2">
        <w:rPr>
          <w:rFonts w:ascii="Times New Roman" w:hAnsi="Times New Roman" w:cs="Times New Roman"/>
          <w:b/>
          <w:sz w:val="24"/>
          <w:szCs w:val="24"/>
          <w:u w:val="single"/>
        </w:rPr>
        <w:t>it Ekonomik</w:t>
      </w:r>
    </w:p>
    <w:p w14:paraId="64016872" w14:textId="77777777" w:rsidR="00494035" w:rsidRPr="004979D2" w:rsidRDefault="00494035"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Tregjet që karakterizohen me më shumë konkurrencë, me më shumë lojtarë në treg dhe më shumë rivalitet, nxjerrin rezultate më të mira të tregut.  Këto rezultate përfshijnë çmime më të ulëta dhe qasje më të mirë në shërbime dhe produkt për konsumatorët.  Në anën tjetër, tregu konkurrues duhet të sigurojë prodhimtari që është konkurrente në tregun ndërkombëtar, që rezulton me rritje të eksporteve, vendeve të punës dhe rritje të ekonomisë. </w:t>
      </w:r>
    </w:p>
    <w:p w14:paraId="2510C8CA" w14:textId="77777777" w:rsidR="00494035" w:rsidRPr="004979D2" w:rsidRDefault="00494035"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Sa i përket përmirësimeve të propozuara në opsionin e rekomanduar, qëllimi i përgjithshëm është forcimi i konkurrencës në Kosovë.  Shumica e masave të propozuara janë të natyrës ligjore-administrative ndikimi i të cilave është </w:t>
      </w:r>
      <w:r w:rsidR="002424F3" w:rsidRPr="004979D2">
        <w:rPr>
          <w:rFonts w:ascii="Times New Roman" w:hAnsi="Times New Roman" w:cs="Times New Roman"/>
          <w:sz w:val="24"/>
          <w:szCs w:val="24"/>
        </w:rPr>
        <w:t>sipërfaqësor dhe i tërthortë në ek</w:t>
      </w:r>
      <w:r w:rsidRPr="004979D2">
        <w:rPr>
          <w:rFonts w:ascii="Times New Roman" w:hAnsi="Times New Roman" w:cs="Times New Roman"/>
          <w:sz w:val="24"/>
          <w:szCs w:val="24"/>
        </w:rPr>
        <w:t xml:space="preserve">onomisë së Kosovës.  Ndër masat më me ndikim të konsiderueshëm mund të veçojmë: </w:t>
      </w:r>
    </w:p>
    <w:p w14:paraId="0FF3AC07" w14:textId="77777777" w:rsidR="00494035" w:rsidRPr="004979D2" w:rsidRDefault="00494035" w:rsidP="002B1BC6">
      <w:pPr>
        <w:pStyle w:val="ListParagraph"/>
        <w:numPr>
          <w:ilvl w:val="0"/>
          <w:numId w:val="37"/>
        </w:numPr>
        <w:spacing w:line="360" w:lineRule="auto"/>
        <w:ind w:left="180"/>
        <w:jc w:val="both"/>
        <w:rPr>
          <w:rFonts w:ascii="Times New Roman" w:hAnsi="Times New Roman" w:cs="Times New Roman"/>
          <w:b/>
          <w:sz w:val="24"/>
          <w:szCs w:val="24"/>
        </w:rPr>
      </w:pPr>
      <w:r w:rsidRPr="004979D2">
        <w:rPr>
          <w:rFonts w:ascii="Times New Roman" w:hAnsi="Times New Roman" w:cs="Times New Roman"/>
          <w:b/>
          <w:sz w:val="24"/>
          <w:szCs w:val="24"/>
        </w:rPr>
        <w:t xml:space="preserve">Rritja e pragut që përcakton pozitën dominuese për ndërmarrje individuale nga 25% në 40%. </w:t>
      </w:r>
    </w:p>
    <w:p w14:paraId="38FFE751" w14:textId="054F9108" w:rsidR="00494035" w:rsidRPr="004979D2" w:rsidRDefault="00494035" w:rsidP="002B1BC6">
      <w:pPr>
        <w:pStyle w:val="ListParagraph"/>
        <w:spacing w:line="360" w:lineRule="auto"/>
        <w:ind w:left="180"/>
        <w:jc w:val="both"/>
        <w:rPr>
          <w:rFonts w:ascii="Times New Roman" w:hAnsi="Times New Roman" w:cs="Times New Roman"/>
          <w:sz w:val="24"/>
          <w:szCs w:val="24"/>
        </w:rPr>
      </w:pPr>
      <w:r w:rsidRPr="004979D2">
        <w:rPr>
          <w:rFonts w:ascii="Times New Roman" w:hAnsi="Times New Roman" w:cs="Times New Roman"/>
          <w:sz w:val="24"/>
          <w:szCs w:val="24"/>
        </w:rPr>
        <w:t xml:space="preserve">AKK në vitin 2017 ka publikuar raportin hulumtues në lidhje me strukturën e tregjeve në Republikën e Kosovës.  Ky hulumtim ka përfshirë </w:t>
      </w:r>
      <w:r w:rsidR="00372EFC" w:rsidRPr="004979D2">
        <w:rPr>
          <w:rFonts w:ascii="Times New Roman" w:hAnsi="Times New Roman" w:cs="Times New Roman"/>
          <w:sz w:val="24"/>
          <w:szCs w:val="24"/>
        </w:rPr>
        <w:t>rreth 14</w:t>
      </w:r>
      <w:r w:rsidRPr="004979D2">
        <w:rPr>
          <w:rFonts w:ascii="Times New Roman" w:hAnsi="Times New Roman" w:cs="Times New Roman"/>
          <w:sz w:val="24"/>
          <w:szCs w:val="24"/>
        </w:rPr>
        <w:t xml:space="preserve"> tregje me rreth 25 sektor</w:t>
      </w:r>
      <w:r w:rsidR="0047314A" w:rsidRPr="004979D2">
        <w:rPr>
          <w:rFonts w:ascii="Times New Roman" w:hAnsi="Times New Roman" w:cs="Times New Roman"/>
          <w:sz w:val="24"/>
          <w:szCs w:val="24"/>
        </w:rPr>
        <w:t>ë</w:t>
      </w:r>
      <w:r w:rsidRPr="004979D2">
        <w:rPr>
          <w:rFonts w:ascii="Times New Roman" w:hAnsi="Times New Roman" w:cs="Times New Roman"/>
          <w:sz w:val="24"/>
          <w:szCs w:val="24"/>
        </w:rPr>
        <w:t xml:space="preserve">.  Sipas të dhënave të paraqitura në raport, mesatarisht 4.5% e kompanive mbajnë pozitë dominuese në tregjet ku veprojnë.  Këtu përfshihen edhe monopolet natyrore siç janë: transmisioni, furnizimi dhe shpërndarja, si dhe sektorët e furnizimit me ujë të pijshëm. </w:t>
      </w:r>
    </w:p>
    <w:p w14:paraId="4C59EE1C" w14:textId="77777777" w:rsidR="00494035" w:rsidRPr="004979D2" w:rsidRDefault="00494035" w:rsidP="002B1BC6">
      <w:pPr>
        <w:pStyle w:val="ListParagraph"/>
        <w:spacing w:line="360" w:lineRule="auto"/>
        <w:ind w:left="180"/>
        <w:jc w:val="both"/>
        <w:rPr>
          <w:rFonts w:ascii="Times New Roman" w:hAnsi="Times New Roman" w:cs="Times New Roman"/>
          <w:sz w:val="24"/>
          <w:szCs w:val="24"/>
        </w:rPr>
      </w:pPr>
    </w:p>
    <w:p w14:paraId="3110804A" w14:textId="1A424923" w:rsidR="00494035" w:rsidRPr="004979D2" w:rsidRDefault="00494035" w:rsidP="002B1BC6">
      <w:pPr>
        <w:pStyle w:val="ListParagraph"/>
        <w:spacing w:line="360" w:lineRule="auto"/>
        <w:ind w:left="180"/>
        <w:jc w:val="both"/>
        <w:rPr>
          <w:rFonts w:ascii="Times New Roman" w:hAnsi="Times New Roman" w:cs="Times New Roman"/>
          <w:sz w:val="24"/>
          <w:szCs w:val="24"/>
        </w:rPr>
      </w:pPr>
      <w:r w:rsidRPr="004979D2">
        <w:rPr>
          <w:rFonts w:ascii="Times New Roman" w:hAnsi="Times New Roman" w:cs="Times New Roman"/>
          <w:sz w:val="24"/>
          <w:szCs w:val="24"/>
        </w:rPr>
        <w:lastRenderedPageBreak/>
        <w:t>Sipas opsionit</w:t>
      </w:r>
      <w:r w:rsidR="00B675A8" w:rsidRPr="004979D2">
        <w:rPr>
          <w:rFonts w:ascii="Times New Roman" w:hAnsi="Times New Roman" w:cs="Times New Roman"/>
          <w:sz w:val="24"/>
          <w:szCs w:val="24"/>
        </w:rPr>
        <w:t xml:space="preserve"> të dytë</w:t>
      </w:r>
      <w:r w:rsidRPr="004979D2">
        <w:rPr>
          <w:rFonts w:ascii="Times New Roman" w:hAnsi="Times New Roman" w:cs="Times New Roman"/>
          <w:sz w:val="24"/>
          <w:szCs w:val="24"/>
        </w:rPr>
        <w:t xml:space="preserve"> për përmirësimin e</w:t>
      </w:r>
      <w:r w:rsidR="000A0006" w:rsidRPr="004979D2">
        <w:rPr>
          <w:rFonts w:ascii="Times New Roman" w:hAnsi="Times New Roman" w:cs="Times New Roman"/>
          <w:sz w:val="24"/>
          <w:szCs w:val="24"/>
        </w:rPr>
        <w:t xml:space="preserve"> kornizës ligjore përmes hartimit të ligjit të ri</w:t>
      </w:r>
      <w:r w:rsidRPr="004979D2">
        <w:rPr>
          <w:rFonts w:ascii="Times New Roman" w:hAnsi="Times New Roman" w:cs="Times New Roman"/>
          <w:sz w:val="24"/>
          <w:szCs w:val="24"/>
        </w:rPr>
        <w:t xml:space="preserve">, pragu për përcaktimin e pozitës dominuese do të rritet nga 25% në 40%.  Si rezultat i këtij propozimi, </w:t>
      </w:r>
      <w:r w:rsidR="00B312E8" w:rsidRPr="004979D2">
        <w:rPr>
          <w:rFonts w:ascii="Times New Roman" w:hAnsi="Times New Roman" w:cs="Times New Roman"/>
          <w:sz w:val="24"/>
          <w:szCs w:val="24"/>
        </w:rPr>
        <w:t xml:space="preserve">vlerësohet se </w:t>
      </w:r>
      <w:r w:rsidRPr="004979D2">
        <w:rPr>
          <w:rFonts w:ascii="Times New Roman" w:hAnsi="Times New Roman" w:cs="Times New Roman"/>
          <w:sz w:val="24"/>
          <w:szCs w:val="24"/>
        </w:rPr>
        <w:t xml:space="preserve">rreth 1.5% e kompanive do të lirohen nga kërkesa për pozitë dominuese, derisa 3% duke përfshirë edhe monopolet natyrore do të jenë në pozitë dominuese sipas pragut të ri.  </w:t>
      </w:r>
      <w:r w:rsidR="00B312E8" w:rsidRPr="004979D2">
        <w:rPr>
          <w:rFonts w:ascii="Times New Roman" w:hAnsi="Times New Roman" w:cs="Times New Roman"/>
          <w:sz w:val="24"/>
          <w:szCs w:val="24"/>
        </w:rPr>
        <w:t xml:space="preserve"> Në 13 tregjet e analizuara nga AKK, gjithsej 20 ndërmarrje do të lirohen nga kërkesa për pozitë dominuese.</w:t>
      </w:r>
    </w:p>
    <w:p w14:paraId="32B054BF" w14:textId="7BFC8F17" w:rsidR="00494035" w:rsidRPr="004979D2" w:rsidRDefault="00494035" w:rsidP="002B1BC6">
      <w:pPr>
        <w:pStyle w:val="ListParagraph"/>
        <w:spacing w:line="360" w:lineRule="auto"/>
        <w:ind w:left="180"/>
        <w:jc w:val="both"/>
        <w:rPr>
          <w:rFonts w:ascii="Times New Roman" w:hAnsi="Times New Roman" w:cs="Times New Roman"/>
          <w:sz w:val="24"/>
          <w:szCs w:val="24"/>
        </w:rPr>
      </w:pPr>
      <w:r w:rsidRPr="004979D2">
        <w:rPr>
          <w:rFonts w:ascii="Times New Roman" w:hAnsi="Times New Roman" w:cs="Times New Roman"/>
          <w:sz w:val="24"/>
          <w:szCs w:val="24"/>
        </w:rPr>
        <w:t>Ndikimi i rritjes së pragut për përcaktimin e pozitës dominuese do të ketë ndikim neutral tek bizneset.  Kjo pasi qe edhe në opsionin për mos</w:t>
      </w:r>
      <w:r w:rsidR="006E7CD4" w:rsidRPr="004979D2">
        <w:rPr>
          <w:rFonts w:ascii="Times New Roman" w:hAnsi="Times New Roman" w:cs="Times New Roman"/>
          <w:sz w:val="24"/>
          <w:szCs w:val="24"/>
        </w:rPr>
        <w:t xml:space="preserve"> </w:t>
      </w:r>
      <w:r w:rsidRPr="004979D2">
        <w:rPr>
          <w:rFonts w:ascii="Times New Roman" w:hAnsi="Times New Roman" w:cs="Times New Roman"/>
          <w:sz w:val="24"/>
          <w:szCs w:val="24"/>
        </w:rPr>
        <w:t>ndryshim</w:t>
      </w:r>
      <w:r w:rsidR="00E152BB" w:rsidRPr="004979D2">
        <w:rPr>
          <w:rFonts w:ascii="Times New Roman" w:hAnsi="Times New Roman" w:cs="Times New Roman"/>
          <w:sz w:val="24"/>
          <w:szCs w:val="24"/>
        </w:rPr>
        <w:t>,</w:t>
      </w:r>
      <w:r w:rsidRPr="004979D2">
        <w:rPr>
          <w:rFonts w:ascii="Times New Roman" w:hAnsi="Times New Roman" w:cs="Times New Roman"/>
          <w:sz w:val="24"/>
          <w:szCs w:val="24"/>
        </w:rPr>
        <w:t xml:space="preserve"> e gjithashtu edhe në opsionin për ndryshim të zbatimit dhe ekzekutimit, ndërmarrjet nuk përballen me ndonjë ngarkesë deri në momentin e inicimit të procedurës në bazë të konstatimeve të keqpërdorimit të pozitës dominuese.</w:t>
      </w:r>
      <w:r w:rsidR="00DC18B5" w:rsidRPr="004979D2">
        <w:rPr>
          <w:rFonts w:ascii="Times New Roman" w:hAnsi="Times New Roman" w:cs="Times New Roman"/>
          <w:sz w:val="24"/>
          <w:szCs w:val="24"/>
        </w:rPr>
        <w:t xml:space="preserve"> </w:t>
      </w:r>
    </w:p>
    <w:p w14:paraId="448A4EA9" w14:textId="24B7A81D" w:rsidR="00494035" w:rsidRPr="004979D2" w:rsidRDefault="00494035" w:rsidP="002B1BC6">
      <w:pPr>
        <w:pStyle w:val="ListParagraph"/>
        <w:numPr>
          <w:ilvl w:val="0"/>
          <w:numId w:val="37"/>
        </w:numPr>
        <w:spacing w:line="360" w:lineRule="auto"/>
        <w:ind w:left="180"/>
        <w:jc w:val="both"/>
        <w:rPr>
          <w:rFonts w:ascii="Times New Roman" w:hAnsi="Times New Roman" w:cs="Times New Roman"/>
          <w:b/>
          <w:sz w:val="24"/>
          <w:szCs w:val="24"/>
        </w:rPr>
      </w:pPr>
      <w:r w:rsidRPr="004979D2">
        <w:rPr>
          <w:rFonts w:ascii="Times New Roman" w:hAnsi="Times New Roman" w:cs="Times New Roman"/>
          <w:b/>
          <w:sz w:val="24"/>
          <w:szCs w:val="24"/>
        </w:rPr>
        <w:t>Dhënie e së drejtës për AKK që me vetë</w:t>
      </w:r>
      <w:r w:rsidR="006E7CD4" w:rsidRPr="004979D2">
        <w:rPr>
          <w:rFonts w:ascii="Times New Roman" w:hAnsi="Times New Roman" w:cs="Times New Roman"/>
          <w:b/>
          <w:sz w:val="24"/>
          <w:szCs w:val="24"/>
        </w:rPr>
        <w:t xml:space="preserve"> </w:t>
      </w:r>
      <w:r w:rsidRPr="004979D2">
        <w:rPr>
          <w:rFonts w:ascii="Times New Roman" w:hAnsi="Times New Roman" w:cs="Times New Roman"/>
          <w:b/>
          <w:sz w:val="24"/>
          <w:szCs w:val="24"/>
        </w:rPr>
        <w:t>iniciativ</w:t>
      </w:r>
      <w:r w:rsidR="000D79D4" w:rsidRPr="004979D2">
        <w:rPr>
          <w:rFonts w:ascii="Times New Roman" w:hAnsi="Times New Roman" w:cs="Times New Roman"/>
          <w:b/>
          <w:sz w:val="24"/>
          <w:szCs w:val="24"/>
        </w:rPr>
        <w:t>ë</w:t>
      </w:r>
      <w:r w:rsidRPr="004979D2">
        <w:rPr>
          <w:rFonts w:ascii="Times New Roman" w:hAnsi="Times New Roman" w:cs="Times New Roman"/>
          <w:b/>
          <w:sz w:val="24"/>
          <w:szCs w:val="24"/>
        </w:rPr>
        <w:t xml:space="preserve"> apo edhe me kërkesë të </w:t>
      </w:r>
      <w:r w:rsidR="00BD69D6" w:rsidRPr="004979D2">
        <w:rPr>
          <w:rFonts w:ascii="Times New Roman" w:hAnsi="Times New Roman" w:cs="Times New Roman"/>
          <w:b/>
          <w:sz w:val="24"/>
          <w:szCs w:val="24"/>
        </w:rPr>
        <w:t>ofrojn</w:t>
      </w:r>
      <w:r w:rsidR="000D79D4" w:rsidRPr="004979D2">
        <w:rPr>
          <w:rFonts w:ascii="Times New Roman" w:hAnsi="Times New Roman" w:cs="Times New Roman"/>
          <w:b/>
          <w:sz w:val="24"/>
          <w:szCs w:val="24"/>
        </w:rPr>
        <w:t>ë</w:t>
      </w:r>
      <w:r w:rsidR="00BD69D6" w:rsidRPr="004979D2">
        <w:rPr>
          <w:rFonts w:ascii="Times New Roman" w:hAnsi="Times New Roman" w:cs="Times New Roman"/>
          <w:b/>
          <w:sz w:val="24"/>
          <w:szCs w:val="24"/>
        </w:rPr>
        <w:t xml:space="preserve"> mendime profesionale për </w:t>
      </w:r>
      <w:r w:rsidRPr="004979D2">
        <w:rPr>
          <w:rFonts w:ascii="Times New Roman" w:hAnsi="Times New Roman" w:cs="Times New Roman"/>
          <w:b/>
          <w:sz w:val="24"/>
          <w:szCs w:val="24"/>
        </w:rPr>
        <w:t>projekt</w:t>
      </w:r>
      <w:r w:rsidR="00BD69D6" w:rsidRPr="004979D2">
        <w:rPr>
          <w:rFonts w:ascii="Times New Roman" w:hAnsi="Times New Roman" w:cs="Times New Roman"/>
          <w:b/>
          <w:sz w:val="24"/>
          <w:szCs w:val="24"/>
        </w:rPr>
        <w:t xml:space="preserve">-aktet normative. </w:t>
      </w:r>
    </w:p>
    <w:p w14:paraId="40C3E6FC" w14:textId="34B91D4E" w:rsidR="00494035" w:rsidRPr="004979D2" w:rsidRDefault="00494035" w:rsidP="002B1BC6">
      <w:pPr>
        <w:pStyle w:val="ListParagraph"/>
        <w:spacing w:line="360" w:lineRule="auto"/>
        <w:ind w:left="180"/>
        <w:jc w:val="both"/>
        <w:rPr>
          <w:rFonts w:ascii="Times New Roman" w:hAnsi="Times New Roman" w:cs="Times New Roman"/>
          <w:sz w:val="24"/>
          <w:szCs w:val="24"/>
        </w:rPr>
      </w:pPr>
      <w:r w:rsidRPr="004979D2">
        <w:rPr>
          <w:rFonts w:ascii="Times New Roman" w:hAnsi="Times New Roman" w:cs="Times New Roman"/>
          <w:sz w:val="24"/>
          <w:szCs w:val="24"/>
        </w:rPr>
        <w:t xml:space="preserve">Sipas të dhënave të vitit 2017, </w:t>
      </w:r>
      <w:r w:rsidR="000B7E79" w:rsidRPr="004979D2">
        <w:rPr>
          <w:rFonts w:ascii="Times New Roman" w:hAnsi="Times New Roman" w:cs="Times New Roman"/>
          <w:sz w:val="24"/>
          <w:szCs w:val="24"/>
        </w:rPr>
        <w:t>AKK-ja</w:t>
      </w:r>
      <w:r w:rsidRPr="004979D2">
        <w:rPr>
          <w:rFonts w:ascii="Times New Roman" w:hAnsi="Times New Roman" w:cs="Times New Roman"/>
          <w:sz w:val="24"/>
          <w:szCs w:val="24"/>
        </w:rPr>
        <w:t xml:space="preserve"> ka nxjerrë 5 mendime profesionale për rastet që bien ndesh me Ligjin për Mbrojtjen e Konkurrencës.  Mendime profesionale janë dhënë në bazë të kërkesave dhe iniciativave të subjekteve të ndryshme.  Sidoqoftë, kërkesat për mendime profesionale jo gjithherë kanë ardhur nga institucionet shtetërore të Kosovës, ndërsa AKK-ja sipas kornizës aktuale ligjore nuk pasur të drejtë të ndërmarrë veprime për krijimin e mendimit profesional. </w:t>
      </w:r>
    </w:p>
    <w:p w14:paraId="16D16AF7" w14:textId="5E5D313E" w:rsidR="00494035" w:rsidRPr="004979D2" w:rsidRDefault="00494035" w:rsidP="002B1BC6">
      <w:pPr>
        <w:pStyle w:val="ListParagraph"/>
        <w:spacing w:line="360" w:lineRule="auto"/>
        <w:ind w:left="180"/>
        <w:jc w:val="both"/>
        <w:rPr>
          <w:rFonts w:ascii="Times New Roman" w:hAnsi="Times New Roman" w:cs="Times New Roman"/>
          <w:sz w:val="24"/>
          <w:szCs w:val="24"/>
        </w:rPr>
      </w:pPr>
      <w:r w:rsidRPr="004979D2">
        <w:rPr>
          <w:rFonts w:ascii="Times New Roman" w:hAnsi="Times New Roman" w:cs="Times New Roman"/>
          <w:sz w:val="24"/>
          <w:szCs w:val="24"/>
        </w:rPr>
        <w:t xml:space="preserve">Më tej, për shkak të kolizionit ndërmjet ligjeve të ndryshme ku parashihen edhe çështjet e konkurrencës, mendimet profesionale dhe pse nuk janë të obligueshme, qartë tregojnë se ka ndeshje me rregullat e zbatueshme të përcaktuara me </w:t>
      </w:r>
      <w:r w:rsidR="00E152BB" w:rsidRPr="004979D2">
        <w:rPr>
          <w:rFonts w:ascii="Times New Roman" w:hAnsi="Times New Roman" w:cs="Times New Roman"/>
          <w:sz w:val="24"/>
          <w:szCs w:val="24"/>
        </w:rPr>
        <w:t>L</w:t>
      </w:r>
      <w:r w:rsidRPr="004979D2">
        <w:rPr>
          <w:rFonts w:ascii="Times New Roman" w:hAnsi="Times New Roman" w:cs="Times New Roman"/>
          <w:sz w:val="24"/>
          <w:szCs w:val="24"/>
        </w:rPr>
        <w:t xml:space="preserve">igjin për mbrojtjen e konkurrencës.  </w:t>
      </w:r>
      <w:r w:rsidR="00E152BB" w:rsidRPr="004979D2">
        <w:rPr>
          <w:rFonts w:ascii="Times New Roman" w:hAnsi="Times New Roman" w:cs="Times New Roman"/>
          <w:sz w:val="24"/>
          <w:szCs w:val="24"/>
        </w:rPr>
        <w:t>Rrjedhimisht</w:t>
      </w:r>
      <w:r w:rsidRPr="004979D2">
        <w:rPr>
          <w:rFonts w:ascii="Times New Roman" w:hAnsi="Times New Roman" w:cs="Times New Roman"/>
          <w:sz w:val="24"/>
          <w:szCs w:val="24"/>
        </w:rPr>
        <w:t xml:space="preserve">, gjendja e çështjeve që janë subjekt i mendimeve profesionale mbetet e pandryshuar, që vazhdon të mbetet pengesë </w:t>
      </w:r>
      <w:r w:rsidR="00BD69D6" w:rsidRPr="004979D2">
        <w:rPr>
          <w:rFonts w:ascii="Times New Roman" w:hAnsi="Times New Roman" w:cs="Times New Roman"/>
          <w:sz w:val="24"/>
          <w:szCs w:val="24"/>
        </w:rPr>
        <w:t xml:space="preserve">në arritjen e </w:t>
      </w:r>
      <w:r w:rsidRPr="004979D2">
        <w:rPr>
          <w:rFonts w:ascii="Times New Roman" w:hAnsi="Times New Roman" w:cs="Times New Roman"/>
          <w:sz w:val="24"/>
          <w:szCs w:val="24"/>
        </w:rPr>
        <w:t xml:space="preserve">qëllimeve të konkurrencës për tregje me rezultate më të mira siç është çmimi, kostoja, dhe shërbime dhe produkte </w:t>
      </w:r>
      <w:r w:rsidR="00BD69D6" w:rsidRPr="004979D2">
        <w:rPr>
          <w:rFonts w:ascii="Times New Roman" w:hAnsi="Times New Roman" w:cs="Times New Roman"/>
          <w:sz w:val="24"/>
          <w:szCs w:val="24"/>
        </w:rPr>
        <w:t xml:space="preserve">më kualitative </w:t>
      </w:r>
      <w:r w:rsidR="009F625E" w:rsidRPr="004979D2">
        <w:rPr>
          <w:rFonts w:ascii="Times New Roman" w:hAnsi="Times New Roman" w:cs="Times New Roman"/>
          <w:sz w:val="24"/>
          <w:szCs w:val="24"/>
        </w:rPr>
        <w:t xml:space="preserve">dhe të qasshme </w:t>
      </w:r>
      <w:r w:rsidR="00BD69D6" w:rsidRPr="004979D2">
        <w:rPr>
          <w:rFonts w:ascii="Times New Roman" w:hAnsi="Times New Roman" w:cs="Times New Roman"/>
          <w:sz w:val="24"/>
          <w:szCs w:val="24"/>
        </w:rPr>
        <w:t xml:space="preserve">për </w:t>
      </w:r>
      <w:r w:rsidRPr="004979D2">
        <w:rPr>
          <w:rFonts w:ascii="Times New Roman" w:hAnsi="Times New Roman" w:cs="Times New Roman"/>
          <w:sz w:val="24"/>
          <w:szCs w:val="24"/>
        </w:rPr>
        <w:t xml:space="preserve">konsumatorin. </w:t>
      </w:r>
    </w:p>
    <w:p w14:paraId="78FC77EC" w14:textId="6B79BEDB" w:rsidR="00494035" w:rsidRPr="004979D2" w:rsidRDefault="00494035" w:rsidP="002B1BC6">
      <w:pPr>
        <w:pStyle w:val="ListParagraph"/>
        <w:spacing w:line="360" w:lineRule="auto"/>
        <w:ind w:left="180"/>
        <w:jc w:val="both"/>
        <w:rPr>
          <w:rFonts w:ascii="Times New Roman" w:hAnsi="Times New Roman" w:cs="Times New Roman"/>
          <w:sz w:val="24"/>
          <w:szCs w:val="24"/>
        </w:rPr>
      </w:pPr>
      <w:r w:rsidRPr="004979D2">
        <w:rPr>
          <w:rFonts w:ascii="Times New Roman" w:hAnsi="Times New Roman" w:cs="Times New Roman"/>
          <w:sz w:val="24"/>
          <w:szCs w:val="24"/>
        </w:rPr>
        <w:t>Sipas opsioni</w:t>
      </w:r>
      <w:r w:rsidR="00BD69D6" w:rsidRPr="004979D2">
        <w:rPr>
          <w:rFonts w:ascii="Times New Roman" w:hAnsi="Times New Roman" w:cs="Times New Roman"/>
          <w:sz w:val="24"/>
          <w:szCs w:val="24"/>
        </w:rPr>
        <w:t>t</w:t>
      </w:r>
      <w:r w:rsidRPr="004979D2">
        <w:rPr>
          <w:rFonts w:ascii="Times New Roman" w:hAnsi="Times New Roman" w:cs="Times New Roman"/>
          <w:sz w:val="24"/>
          <w:szCs w:val="24"/>
        </w:rPr>
        <w:t xml:space="preserve"> </w:t>
      </w:r>
      <w:r w:rsidR="00B675A8" w:rsidRPr="004979D2">
        <w:rPr>
          <w:rFonts w:ascii="Times New Roman" w:hAnsi="Times New Roman" w:cs="Times New Roman"/>
          <w:sz w:val="24"/>
          <w:szCs w:val="24"/>
        </w:rPr>
        <w:t xml:space="preserve">të dytë </w:t>
      </w:r>
      <w:r w:rsidRPr="004979D2">
        <w:rPr>
          <w:rFonts w:ascii="Times New Roman" w:hAnsi="Times New Roman" w:cs="Times New Roman"/>
          <w:sz w:val="24"/>
          <w:szCs w:val="24"/>
        </w:rPr>
        <w:t xml:space="preserve">për </w:t>
      </w:r>
      <w:r w:rsidR="00643464" w:rsidRPr="004979D2">
        <w:rPr>
          <w:rFonts w:ascii="Times New Roman" w:hAnsi="Times New Roman" w:cs="Times New Roman"/>
          <w:sz w:val="24"/>
          <w:szCs w:val="24"/>
        </w:rPr>
        <w:t>t</w:t>
      </w:r>
      <w:r w:rsidRPr="004979D2">
        <w:rPr>
          <w:rFonts w:ascii="Times New Roman" w:hAnsi="Times New Roman" w:cs="Times New Roman"/>
          <w:sz w:val="24"/>
          <w:szCs w:val="24"/>
        </w:rPr>
        <w:t xml:space="preserve">, AKK-ja mund të ofrojë rekomandime në procesin e </w:t>
      </w:r>
      <w:proofErr w:type="spellStart"/>
      <w:r w:rsidRPr="004979D2">
        <w:rPr>
          <w:rFonts w:ascii="Times New Roman" w:hAnsi="Times New Roman" w:cs="Times New Roman"/>
          <w:sz w:val="24"/>
          <w:szCs w:val="24"/>
        </w:rPr>
        <w:t>draftimit</w:t>
      </w:r>
      <w:proofErr w:type="spellEnd"/>
      <w:r w:rsidRPr="004979D2">
        <w:rPr>
          <w:rFonts w:ascii="Times New Roman" w:hAnsi="Times New Roman" w:cs="Times New Roman"/>
          <w:sz w:val="24"/>
          <w:szCs w:val="24"/>
        </w:rPr>
        <w:t xml:space="preserve"> të ligjeve apo akteve tjera nënligjore. Këto rekomandime do të jepen në të gjitha rastet ku identifikohet se konkurrenca e lirë dhe efektive në treg është e cenuar.  </w:t>
      </w:r>
    </w:p>
    <w:p w14:paraId="5AB94F1F" w14:textId="77777777" w:rsidR="00372EFC" w:rsidRPr="004979D2" w:rsidRDefault="00372EFC" w:rsidP="002B1BC6">
      <w:pPr>
        <w:spacing w:line="360" w:lineRule="auto"/>
        <w:rPr>
          <w:rFonts w:ascii="Times New Roman" w:hAnsi="Times New Roman" w:cs="Times New Roman"/>
          <w:sz w:val="24"/>
          <w:szCs w:val="24"/>
        </w:rPr>
      </w:pPr>
    </w:p>
    <w:p w14:paraId="54998173" w14:textId="77777777" w:rsidR="0094410D" w:rsidRPr="004979D2" w:rsidRDefault="0094410D"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lastRenderedPageBreak/>
        <w:t>Vlerësimet e dhëna m</w:t>
      </w:r>
      <w:r w:rsidR="00C04C03" w:rsidRPr="004979D2">
        <w:rPr>
          <w:rFonts w:ascii="Times New Roman" w:hAnsi="Times New Roman" w:cs="Times New Roman"/>
          <w:sz w:val="24"/>
          <w:szCs w:val="24"/>
        </w:rPr>
        <w:t>ë</w:t>
      </w:r>
      <w:r w:rsidRPr="004979D2">
        <w:rPr>
          <w:rFonts w:ascii="Times New Roman" w:hAnsi="Times New Roman" w:cs="Times New Roman"/>
          <w:sz w:val="24"/>
          <w:szCs w:val="24"/>
        </w:rPr>
        <w:t xml:space="preserve"> poshtë vlejnë</w:t>
      </w:r>
      <w:r w:rsidR="00C17F8E" w:rsidRPr="004979D2">
        <w:rPr>
          <w:rFonts w:ascii="Times New Roman" w:hAnsi="Times New Roman" w:cs="Times New Roman"/>
          <w:sz w:val="24"/>
          <w:szCs w:val="24"/>
        </w:rPr>
        <w:t xml:space="preserve"> për </w:t>
      </w:r>
      <w:r w:rsidR="008753CB" w:rsidRPr="004979D2">
        <w:rPr>
          <w:rFonts w:ascii="Times New Roman" w:hAnsi="Times New Roman" w:cs="Times New Roman"/>
          <w:sz w:val="24"/>
          <w:szCs w:val="24"/>
        </w:rPr>
        <w:t xml:space="preserve"> të </w:t>
      </w:r>
      <w:r w:rsidRPr="004979D2">
        <w:rPr>
          <w:rFonts w:ascii="Times New Roman" w:hAnsi="Times New Roman" w:cs="Times New Roman"/>
          <w:sz w:val="24"/>
          <w:szCs w:val="24"/>
        </w:rPr>
        <w:t>gjitha opsionet e paraqitura</w:t>
      </w:r>
    </w:p>
    <w:p w14:paraId="2008099F" w14:textId="77777777" w:rsidR="008D7069" w:rsidRPr="004979D2" w:rsidRDefault="008D7069" w:rsidP="002B1BC6">
      <w:pPr>
        <w:spacing w:line="360" w:lineRule="auto"/>
        <w:rPr>
          <w:rFonts w:ascii="Times New Roman" w:hAnsi="Times New Roman" w:cs="Times New Roman"/>
          <w:i/>
          <w:iCs/>
          <w:color w:val="44546A" w:themeColor="text2"/>
          <w:sz w:val="24"/>
          <w:szCs w:val="24"/>
        </w:rPr>
      </w:pPr>
      <w:r w:rsidRPr="004979D2">
        <w:rPr>
          <w:rFonts w:ascii="Times New Roman" w:hAnsi="Times New Roman" w:cs="Times New Roman"/>
          <w:i/>
          <w:iCs/>
          <w:color w:val="44546A" w:themeColor="text2"/>
          <w:sz w:val="24"/>
          <w:szCs w:val="24"/>
        </w:rPr>
        <w:t>Figure</w:t>
      </w:r>
      <w:r w:rsidR="00FF5F40" w:rsidRPr="004979D2">
        <w:rPr>
          <w:rFonts w:ascii="Times New Roman" w:hAnsi="Times New Roman" w:cs="Times New Roman"/>
          <w:i/>
          <w:iCs/>
          <w:color w:val="44546A" w:themeColor="text2"/>
          <w:sz w:val="24"/>
          <w:szCs w:val="24"/>
        </w:rPr>
        <w:t xml:space="preserve"> 9</w:t>
      </w:r>
      <w:r w:rsidR="007964A5" w:rsidRPr="004979D2">
        <w:rPr>
          <w:rFonts w:ascii="Times New Roman" w:hAnsi="Times New Roman" w:cs="Times New Roman"/>
          <w:i/>
          <w:iCs/>
          <w:color w:val="44546A" w:themeColor="text2"/>
          <w:sz w:val="24"/>
          <w:szCs w:val="24"/>
        </w:rPr>
        <w:t xml:space="preserve">: </w:t>
      </w:r>
      <w:r w:rsidR="00A477AE" w:rsidRPr="004979D2">
        <w:rPr>
          <w:rFonts w:ascii="Times New Roman" w:hAnsi="Times New Roman" w:cs="Times New Roman"/>
          <w:i/>
          <w:iCs/>
          <w:color w:val="44546A" w:themeColor="text2"/>
          <w:sz w:val="24"/>
          <w:szCs w:val="24"/>
        </w:rPr>
        <w:t>Ndikimet më të rëndësishme të identifikuara për kategorinë e ndikimit</w:t>
      </w:r>
    </w:p>
    <w:tbl>
      <w:tblPr>
        <w:tblStyle w:val="TableGrid"/>
        <w:tblW w:w="0" w:type="auto"/>
        <w:tblLook w:val="04A0" w:firstRow="1" w:lastRow="0" w:firstColumn="1" w:lastColumn="0" w:noHBand="0" w:noVBand="1"/>
      </w:tblPr>
      <w:tblGrid>
        <w:gridCol w:w="2335"/>
        <w:gridCol w:w="7015"/>
      </w:tblGrid>
      <w:tr w:rsidR="008D7069" w:rsidRPr="004979D2" w14:paraId="009E96F1" w14:textId="77777777" w:rsidTr="008D7069">
        <w:tc>
          <w:tcPr>
            <w:tcW w:w="2335" w:type="dxa"/>
          </w:tcPr>
          <w:p w14:paraId="6F65E15D" w14:textId="77777777" w:rsidR="008D7069" w:rsidRPr="004979D2" w:rsidRDefault="00A477AE"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Kategoritë e ndikimeve</w:t>
            </w:r>
          </w:p>
        </w:tc>
        <w:tc>
          <w:tcPr>
            <w:tcW w:w="7015" w:type="dxa"/>
          </w:tcPr>
          <w:p w14:paraId="3283AD5D" w14:textId="77777777" w:rsidR="008D7069" w:rsidRPr="004979D2" w:rsidRDefault="00A477AE"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Ndikimet përkatëse të identifikuara</w:t>
            </w:r>
          </w:p>
        </w:tc>
      </w:tr>
      <w:tr w:rsidR="008D7069" w:rsidRPr="004979D2" w14:paraId="4FB2948F" w14:textId="77777777" w:rsidTr="008D7069">
        <w:tc>
          <w:tcPr>
            <w:tcW w:w="2335" w:type="dxa"/>
          </w:tcPr>
          <w:p w14:paraId="5F1139F8" w14:textId="77777777" w:rsidR="008D7069" w:rsidRPr="004979D2" w:rsidRDefault="00EC61A2"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Ndikimet ekonomike</w:t>
            </w:r>
          </w:p>
        </w:tc>
        <w:tc>
          <w:tcPr>
            <w:tcW w:w="7015" w:type="dxa"/>
          </w:tcPr>
          <w:p w14:paraId="32E9D58F" w14:textId="2210BFA2" w:rsidR="008D7069" w:rsidRPr="004979D2" w:rsidRDefault="005C0019"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Do te </w:t>
            </w:r>
            <w:r w:rsidR="00DF6F68" w:rsidRPr="004979D2">
              <w:rPr>
                <w:rFonts w:ascii="Times New Roman" w:hAnsi="Times New Roman" w:cs="Times New Roman"/>
                <w:sz w:val="24"/>
                <w:szCs w:val="24"/>
              </w:rPr>
              <w:t>ketë</w:t>
            </w:r>
            <w:r w:rsidRPr="004979D2">
              <w:rPr>
                <w:rFonts w:ascii="Times New Roman" w:hAnsi="Times New Roman" w:cs="Times New Roman"/>
                <w:sz w:val="24"/>
                <w:szCs w:val="24"/>
              </w:rPr>
              <w:t xml:space="preserve"> ndikim n</w:t>
            </w:r>
            <w:r w:rsidR="00E152BB" w:rsidRPr="004979D2">
              <w:rPr>
                <w:rFonts w:ascii="Times New Roman" w:hAnsi="Times New Roman" w:cs="Times New Roman"/>
                <w:sz w:val="24"/>
                <w:szCs w:val="24"/>
              </w:rPr>
              <w:t>ë</w:t>
            </w:r>
            <w:r w:rsidR="00C25D30" w:rsidRPr="004979D2">
              <w:rPr>
                <w:rFonts w:ascii="Times New Roman" w:hAnsi="Times New Roman" w:cs="Times New Roman"/>
                <w:sz w:val="24"/>
                <w:szCs w:val="24"/>
              </w:rPr>
              <w:t xml:space="preserve"> tregun e lir</w:t>
            </w:r>
            <w:r w:rsidR="00E152BB" w:rsidRPr="004979D2">
              <w:rPr>
                <w:rFonts w:ascii="Times New Roman" w:hAnsi="Times New Roman" w:cs="Times New Roman"/>
                <w:sz w:val="24"/>
                <w:szCs w:val="24"/>
              </w:rPr>
              <w:t>ë</w:t>
            </w:r>
            <w:r w:rsidR="00C25D30" w:rsidRPr="004979D2">
              <w:rPr>
                <w:rFonts w:ascii="Times New Roman" w:hAnsi="Times New Roman" w:cs="Times New Roman"/>
                <w:sz w:val="24"/>
                <w:szCs w:val="24"/>
              </w:rPr>
              <w:t xml:space="preserve"> dhe</w:t>
            </w:r>
            <w:r w:rsidRPr="004979D2">
              <w:rPr>
                <w:rFonts w:ascii="Times New Roman" w:hAnsi="Times New Roman" w:cs="Times New Roman"/>
                <w:sz w:val="24"/>
                <w:szCs w:val="24"/>
              </w:rPr>
              <w:t xml:space="preserve"> </w:t>
            </w:r>
            <w:r w:rsidR="00DF6F68" w:rsidRPr="004979D2">
              <w:rPr>
                <w:rFonts w:ascii="Times New Roman" w:hAnsi="Times New Roman" w:cs="Times New Roman"/>
                <w:sz w:val="24"/>
                <w:szCs w:val="24"/>
              </w:rPr>
              <w:t>konkurrencë</w:t>
            </w:r>
          </w:p>
        </w:tc>
      </w:tr>
      <w:tr w:rsidR="008D7069" w:rsidRPr="004979D2" w14:paraId="1489C0CD" w14:textId="77777777" w:rsidTr="008D7069">
        <w:tc>
          <w:tcPr>
            <w:tcW w:w="2335" w:type="dxa"/>
          </w:tcPr>
          <w:p w14:paraId="10FA01FA" w14:textId="77777777" w:rsidR="008D7069" w:rsidRPr="004979D2" w:rsidRDefault="00162D8C" w:rsidP="002B1BC6">
            <w:pPr>
              <w:spacing w:before="120" w:line="360" w:lineRule="auto"/>
              <w:rPr>
                <w:rFonts w:ascii="Times New Roman" w:hAnsi="Times New Roman" w:cs="Times New Roman"/>
                <w:sz w:val="24"/>
                <w:szCs w:val="24"/>
              </w:rPr>
            </w:pPr>
            <w:r w:rsidRPr="004979D2">
              <w:rPr>
                <w:rFonts w:ascii="Times New Roman" w:hAnsi="Times New Roman" w:cs="Times New Roman"/>
                <w:sz w:val="24"/>
                <w:szCs w:val="24"/>
              </w:rPr>
              <w:t>Ndikim</w:t>
            </w:r>
            <w:r w:rsidR="00EC61A2" w:rsidRPr="004979D2">
              <w:rPr>
                <w:rFonts w:ascii="Times New Roman" w:hAnsi="Times New Roman" w:cs="Times New Roman"/>
                <w:sz w:val="24"/>
                <w:szCs w:val="24"/>
              </w:rPr>
              <w:t xml:space="preserve">et </w:t>
            </w:r>
            <w:r w:rsidRPr="004979D2">
              <w:rPr>
                <w:rFonts w:ascii="Times New Roman" w:hAnsi="Times New Roman" w:cs="Times New Roman"/>
                <w:sz w:val="24"/>
                <w:szCs w:val="24"/>
              </w:rPr>
              <w:t>shoqëror</w:t>
            </w:r>
            <w:r w:rsidR="00EC61A2" w:rsidRPr="004979D2">
              <w:rPr>
                <w:rFonts w:ascii="Times New Roman" w:hAnsi="Times New Roman" w:cs="Times New Roman"/>
                <w:sz w:val="24"/>
                <w:szCs w:val="24"/>
              </w:rPr>
              <w:t>e</w:t>
            </w:r>
          </w:p>
        </w:tc>
        <w:tc>
          <w:tcPr>
            <w:tcW w:w="7015" w:type="dxa"/>
          </w:tcPr>
          <w:p w14:paraId="622A86FF" w14:textId="77777777" w:rsidR="008D7069" w:rsidRPr="004979D2" w:rsidRDefault="0094410D" w:rsidP="002B1BC6">
            <w:pPr>
              <w:spacing w:before="120" w:line="360" w:lineRule="auto"/>
              <w:rPr>
                <w:rFonts w:ascii="Times New Roman" w:hAnsi="Times New Roman" w:cs="Times New Roman"/>
                <w:sz w:val="24"/>
                <w:szCs w:val="24"/>
              </w:rPr>
            </w:pPr>
            <w:r w:rsidRPr="004979D2">
              <w:rPr>
                <w:rFonts w:ascii="Times New Roman" w:hAnsi="Times New Roman" w:cs="Times New Roman"/>
                <w:sz w:val="24"/>
                <w:szCs w:val="24"/>
              </w:rPr>
              <w:t>Nuk do t</w:t>
            </w:r>
            <w:r w:rsidR="006F11C5" w:rsidRPr="004979D2">
              <w:rPr>
                <w:rFonts w:ascii="Times New Roman" w:hAnsi="Times New Roman" w:cs="Times New Roman"/>
                <w:sz w:val="24"/>
                <w:szCs w:val="24"/>
              </w:rPr>
              <w:t>ë</w:t>
            </w:r>
            <w:r w:rsidRPr="004979D2">
              <w:rPr>
                <w:rFonts w:ascii="Times New Roman" w:hAnsi="Times New Roman" w:cs="Times New Roman"/>
                <w:sz w:val="24"/>
                <w:szCs w:val="24"/>
              </w:rPr>
              <w:t xml:space="preserve"> ketë ndikime t</w:t>
            </w:r>
            <w:r w:rsidR="00E31C3E" w:rsidRPr="004979D2">
              <w:rPr>
                <w:rFonts w:ascii="Times New Roman" w:hAnsi="Times New Roman" w:cs="Times New Roman"/>
                <w:sz w:val="24"/>
                <w:szCs w:val="24"/>
              </w:rPr>
              <w:t>ë</w:t>
            </w:r>
            <w:r w:rsidRPr="004979D2">
              <w:rPr>
                <w:rFonts w:ascii="Times New Roman" w:hAnsi="Times New Roman" w:cs="Times New Roman"/>
                <w:sz w:val="24"/>
                <w:szCs w:val="24"/>
              </w:rPr>
              <w:t xml:space="preserve"> drejtpërdrejta ne shoqëri.</w:t>
            </w:r>
          </w:p>
        </w:tc>
      </w:tr>
      <w:tr w:rsidR="008D7069" w:rsidRPr="004979D2" w14:paraId="7678FA44" w14:textId="77777777" w:rsidTr="008D7069">
        <w:tc>
          <w:tcPr>
            <w:tcW w:w="2335" w:type="dxa"/>
          </w:tcPr>
          <w:p w14:paraId="03B63BFD" w14:textId="77777777" w:rsidR="008D7069" w:rsidRPr="004979D2" w:rsidRDefault="00162D8C" w:rsidP="002B1BC6">
            <w:pPr>
              <w:spacing w:before="120" w:line="360" w:lineRule="auto"/>
              <w:rPr>
                <w:rFonts w:ascii="Times New Roman" w:hAnsi="Times New Roman" w:cs="Times New Roman"/>
                <w:sz w:val="24"/>
                <w:szCs w:val="24"/>
              </w:rPr>
            </w:pPr>
            <w:r w:rsidRPr="004979D2">
              <w:rPr>
                <w:rFonts w:ascii="Times New Roman" w:hAnsi="Times New Roman" w:cs="Times New Roman"/>
                <w:sz w:val="24"/>
                <w:szCs w:val="24"/>
              </w:rPr>
              <w:t>Ndikim</w:t>
            </w:r>
            <w:r w:rsidR="00EC61A2" w:rsidRPr="004979D2">
              <w:rPr>
                <w:rFonts w:ascii="Times New Roman" w:hAnsi="Times New Roman" w:cs="Times New Roman"/>
                <w:sz w:val="24"/>
                <w:szCs w:val="24"/>
              </w:rPr>
              <w:t>et</w:t>
            </w:r>
            <w:r w:rsidRPr="004979D2">
              <w:rPr>
                <w:rFonts w:ascii="Times New Roman" w:hAnsi="Times New Roman" w:cs="Times New Roman"/>
                <w:sz w:val="24"/>
                <w:szCs w:val="24"/>
              </w:rPr>
              <w:t xml:space="preserve"> mjedisor</w:t>
            </w:r>
            <w:r w:rsidR="00EC61A2" w:rsidRPr="004979D2">
              <w:rPr>
                <w:rFonts w:ascii="Times New Roman" w:hAnsi="Times New Roman" w:cs="Times New Roman"/>
                <w:sz w:val="24"/>
                <w:szCs w:val="24"/>
              </w:rPr>
              <w:t>e</w:t>
            </w:r>
          </w:p>
        </w:tc>
        <w:tc>
          <w:tcPr>
            <w:tcW w:w="7015" w:type="dxa"/>
          </w:tcPr>
          <w:p w14:paraId="0127FF47" w14:textId="77777777" w:rsidR="008D7069" w:rsidRPr="004979D2" w:rsidRDefault="0094410D" w:rsidP="002B1BC6">
            <w:pPr>
              <w:spacing w:before="120" w:line="360" w:lineRule="auto"/>
              <w:rPr>
                <w:rFonts w:ascii="Times New Roman" w:hAnsi="Times New Roman" w:cs="Times New Roman"/>
                <w:sz w:val="24"/>
                <w:szCs w:val="24"/>
              </w:rPr>
            </w:pPr>
            <w:r w:rsidRPr="004979D2">
              <w:rPr>
                <w:rFonts w:ascii="Times New Roman" w:hAnsi="Times New Roman" w:cs="Times New Roman"/>
                <w:sz w:val="24"/>
                <w:szCs w:val="24"/>
              </w:rPr>
              <w:t>Nuk do t</w:t>
            </w:r>
            <w:r w:rsidR="00E31C3E" w:rsidRPr="004979D2">
              <w:rPr>
                <w:rFonts w:ascii="Times New Roman" w:hAnsi="Times New Roman" w:cs="Times New Roman"/>
                <w:sz w:val="24"/>
                <w:szCs w:val="24"/>
              </w:rPr>
              <w:t>ë</w:t>
            </w:r>
            <w:r w:rsidRPr="004979D2">
              <w:rPr>
                <w:rFonts w:ascii="Times New Roman" w:hAnsi="Times New Roman" w:cs="Times New Roman"/>
                <w:sz w:val="24"/>
                <w:szCs w:val="24"/>
              </w:rPr>
              <w:t xml:space="preserve"> ketë ndikime n</w:t>
            </w:r>
            <w:r w:rsidR="00E31C3E" w:rsidRPr="004979D2">
              <w:rPr>
                <w:rFonts w:ascii="Times New Roman" w:hAnsi="Times New Roman" w:cs="Times New Roman"/>
                <w:sz w:val="24"/>
                <w:szCs w:val="24"/>
              </w:rPr>
              <w:t>ë</w:t>
            </w:r>
            <w:r w:rsidRPr="004979D2">
              <w:rPr>
                <w:rFonts w:ascii="Times New Roman" w:hAnsi="Times New Roman" w:cs="Times New Roman"/>
                <w:sz w:val="24"/>
                <w:szCs w:val="24"/>
              </w:rPr>
              <w:t xml:space="preserve"> mjedis.</w:t>
            </w:r>
          </w:p>
        </w:tc>
      </w:tr>
      <w:tr w:rsidR="008D7069" w:rsidRPr="004979D2" w14:paraId="2EA9B308" w14:textId="77777777" w:rsidTr="008D7069">
        <w:tc>
          <w:tcPr>
            <w:tcW w:w="2335" w:type="dxa"/>
          </w:tcPr>
          <w:p w14:paraId="1A25FABE" w14:textId="77777777" w:rsidR="008D7069" w:rsidRPr="004979D2" w:rsidRDefault="00A477AE" w:rsidP="002B1BC6">
            <w:pPr>
              <w:spacing w:before="120" w:line="360" w:lineRule="auto"/>
              <w:rPr>
                <w:rFonts w:ascii="Times New Roman" w:hAnsi="Times New Roman" w:cs="Times New Roman"/>
                <w:sz w:val="24"/>
                <w:szCs w:val="24"/>
              </w:rPr>
            </w:pPr>
            <w:r w:rsidRPr="004979D2">
              <w:rPr>
                <w:rFonts w:ascii="Times New Roman" w:hAnsi="Times New Roman" w:cs="Times New Roman"/>
                <w:sz w:val="24"/>
                <w:szCs w:val="24"/>
              </w:rPr>
              <w:t>Ndikim</w:t>
            </w:r>
            <w:r w:rsidR="00EC61A2" w:rsidRPr="004979D2">
              <w:rPr>
                <w:rFonts w:ascii="Times New Roman" w:hAnsi="Times New Roman" w:cs="Times New Roman"/>
                <w:sz w:val="24"/>
                <w:szCs w:val="24"/>
              </w:rPr>
              <w:t>et në</w:t>
            </w:r>
            <w:r w:rsidRPr="004979D2">
              <w:rPr>
                <w:rFonts w:ascii="Times New Roman" w:hAnsi="Times New Roman" w:cs="Times New Roman"/>
                <w:sz w:val="24"/>
                <w:szCs w:val="24"/>
              </w:rPr>
              <w:t xml:space="preserve"> të drejta</w:t>
            </w:r>
            <w:r w:rsidR="00EC61A2" w:rsidRPr="004979D2">
              <w:rPr>
                <w:rFonts w:ascii="Times New Roman" w:hAnsi="Times New Roman" w:cs="Times New Roman"/>
                <w:sz w:val="24"/>
                <w:szCs w:val="24"/>
              </w:rPr>
              <w:t>t</w:t>
            </w:r>
            <w:r w:rsidRPr="004979D2">
              <w:rPr>
                <w:rFonts w:ascii="Times New Roman" w:hAnsi="Times New Roman" w:cs="Times New Roman"/>
                <w:sz w:val="24"/>
                <w:szCs w:val="24"/>
              </w:rPr>
              <w:t xml:space="preserve"> themelore</w:t>
            </w:r>
          </w:p>
        </w:tc>
        <w:tc>
          <w:tcPr>
            <w:tcW w:w="7015" w:type="dxa"/>
          </w:tcPr>
          <w:p w14:paraId="3E110997" w14:textId="77777777" w:rsidR="008D7069" w:rsidRPr="004979D2" w:rsidRDefault="0094410D" w:rsidP="002B1BC6">
            <w:pPr>
              <w:spacing w:before="120" w:line="360" w:lineRule="auto"/>
              <w:rPr>
                <w:rFonts w:ascii="Times New Roman" w:hAnsi="Times New Roman" w:cs="Times New Roman"/>
                <w:sz w:val="24"/>
                <w:szCs w:val="24"/>
              </w:rPr>
            </w:pPr>
            <w:r w:rsidRPr="004979D2">
              <w:rPr>
                <w:rFonts w:ascii="Times New Roman" w:hAnsi="Times New Roman" w:cs="Times New Roman"/>
                <w:sz w:val="24"/>
                <w:szCs w:val="24"/>
              </w:rPr>
              <w:t>Nuk do t</w:t>
            </w:r>
            <w:r w:rsidR="00E31C3E" w:rsidRPr="004979D2">
              <w:rPr>
                <w:rFonts w:ascii="Times New Roman" w:hAnsi="Times New Roman" w:cs="Times New Roman"/>
                <w:sz w:val="24"/>
                <w:szCs w:val="24"/>
              </w:rPr>
              <w:t>ë</w:t>
            </w:r>
            <w:r w:rsidRPr="004979D2">
              <w:rPr>
                <w:rFonts w:ascii="Times New Roman" w:hAnsi="Times New Roman" w:cs="Times New Roman"/>
                <w:sz w:val="24"/>
                <w:szCs w:val="24"/>
              </w:rPr>
              <w:t xml:space="preserve"> ketë ndikime n</w:t>
            </w:r>
            <w:r w:rsidR="00E31C3E" w:rsidRPr="004979D2">
              <w:rPr>
                <w:rFonts w:ascii="Times New Roman" w:hAnsi="Times New Roman" w:cs="Times New Roman"/>
                <w:sz w:val="24"/>
                <w:szCs w:val="24"/>
              </w:rPr>
              <w:t>ë</w:t>
            </w:r>
            <w:r w:rsidRPr="004979D2">
              <w:rPr>
                <w:rFonts w:ascii="Times New Roman" w:hAnsi="Times New Roman" w:cs="Times New Roman"/>
                <w:sz w:val="24"/>
                <w:szCs w:val="24"/>
              </w:rPr>
              <w:t xml:space="preserve"> t</w:t>
            </w:r>
            <w:r w:rsidR="00E31C3E" w:rsidRPr="004979D2">
              <w:rPr>
                <w:rFonts w:ascii="Times New Roman" w:hAnsi="Times New Roman" w:cs="Times New Roman"/>
                <w:sz w:val="24"/>
                <w:szCs w:val="24"/>
              </w:rPr>
              <w:t>ë</w:t>
            </w:r>
            <w:r w:rsidRPr="004979D2">
              <w:rPr>
                <w:rFonts w:ascii="Times New Roman" w:hAnsi="Times New Roman" w:cs="Times New Roman"/>
                <w:sz w:val="24"/>
                <w:szCs w:val="24"/>
              </w:rPr>
              <w:t xml:space="preserve"> drejtat themelore.</w:t>
            </w:r>
          </w:p>
        </w:tc>
      </w:tr>
      <w:tr w:rsidR="008D7069" w:rsidRPr="004979D2" w14:paraId="079617D0" w14:textId="77777777" w:rsidTr="008D7069">
        <w:tc>
          <w:tcPr>
            <w:tcW w:w="2335" w:type="dxa"/>
          </w:tcPr>
          <w:p w14:paraId="3F461731" w14:textId="77777777" w:rsidR="008D7069" w:rsidRPr="004979D2" w:rsidRDefault="00A477AE" w:rsidP="002B1BC6">
            <w:pPr>
              <w:spacing w:before="120" w:line="360" w:lineRule="auto"/>
              <w:rPr>
                <w:rFonts w:ascii="Times New Roman" w:hAnsi="Times New Roman" w:cs="Times New Roman"/>
                <w:sz w:val="24"/>
                <w:szCs w:val="24"/>
              </w:rPr>
            </w:pPr>
            <w:r w:rsidRPr="004979D2">
              <w:rPr>
                <w:rFonts w:ascii="Times New Roman" w:hAnsi="Times New Roman" w:cs="Times New Roman"/>
                <w:sz w:val="24"/>
                <w:szCs w:val="24"/>
              </w:rPr>
              <w:t>Ndikimi gjinor</w:t>
            </w:r>
            <w:r w:rsidR="008D7069" w:rsidRPr="004979D2">
              <w:rPr>
                <w:rFonts w:ascii="Times New Roman" w:hAnsi="Times New Roman" w:cs="Times New Roman"/>
                <w:sz w:val="24"/>
                <w:szCs w:val="24"/>
              </w:rPr>
              <w:t xml:space="preserve"> </w:t>
            </w:r>
          </w:p>
        </w:tc>
        <w:tc>
          <w:tcPr>
            <w:tcW w:w="7015" w:type="dxa"/>
          </w:tcPr>
          <w:p w14:paraId="7EF4921B" w14:textId="77777777" w:rsidR="008D7069" w:rsidRPr="004979D2" w:rsidRDefault="0094410D" w:rsidP="002B1BC6">
            <w:pPr>
              <w:spacing w:before="120" w:line="360" w:lineRule="auto"/>
              <w:rPr>
                <w:rFonts w:ascii="Times New Roman" w:hAnsi="Times New Roman" w:cs="Times New Roman"/>
                <w:sz w:val="24"/>
                <w:szCs w:val="24"/>
              </w:rPr>
            </w:pPr>
            <w:r w:rsidRPr="004979D2">
              <w:rPr>
                <w:rFonts w:ascii="Times New Roman" w:hAnsi="Times New Roman" w:cs="Times New Roman"/>
                <w:sz w:val="24"/>
                <w:szCs w:val="24"/>
              </w:rPr>
              <w:t>Nuk do t</w:t>
            </w:r>
            <w:r w:rsidR="00E31C3E" w:rsidRPr="004979D2">
              <w:rPr>
                <w:rFonts w:ascii="Times New Roman" w:hAnsi="Times New Roman" w:cs="Times New Roman"/>
                <w:sz w:val="24"/>
                <w:szCs w:val="24"/>
              </w:rPr>
              <w:t>ë</w:t>
            </w:r>
            <w:r w:rsidRPr="004979D2">
              <w:rPr>
                <w:rFonts w:ascii="Times New Roman" w:hAnsi="Times New Roman" w:cs="Times New Roman"/>
                <w:sz w:val="24"/>
                <w:szCs w:val="24"/>
              </w:rPr>
              <w:t xml:space="preserve"> ketë ndikime gjinore.</w:t>
            </w:r>
          </w:p>
        </w:tc>
      </w:tr>
      <w:tr w:rsidR="00D506EC" w:rsidRPr="004979D2" w14:paraId="4334F06A" w14:textId="77777777" w:rsidTr="008D7069">
        <w:tc>
          <w:tcPr>
            <w:tcW w:w="2335" w:type="dxa"/>
          </w:tcPr>
          <w:p w14:paraId="241C3FBC" w14:textId="77777777" w:rsidR="00D506EC" w:rsidRPr="004979D2" w:rsidRDefault="00522105" w:rsidP="002B1BC6">
            <w:pPr>
              <w:spacing w:before="120" w:line="360" w:lineRule="auto"/>
              <w:rPr>
                <w:rFonts w:ascii="Times New Roman" w:hAnsi="Times New Roman" w:cs="Times New Roman"/>
                <w:sz w:val="24"/>
                <w:szCs w:val="24"/>
              </w:rPr>
            </w:pPr>
            <w:r w:rsidRPr="004979D2">
              <w:rPr>
                <w:rFonts w:ascii="Times New Roman" w:hAnsi="Times New Roman" w:cs="Times New Roman"/>
                <w:sz w:val="24"/>
                <w:szCs w:val="24"/>
              </w:rPr>
              <w:t>Ndikim</w:t>
            </w:r>
            <w:r w:rsidR="00EC61A2" w:rsidRPr="004979D2">
              <w:rPr>
                <w:rFonts w:ascii="Times New Roman" w:hAnsi="Times New Roman" w:cs="Times New Roman"/>
                <w:sz w:val="24"/>
                <w:szCs w:val="24"/>
              </w:rPr>
              <w:t xml:space="preserve">et </w:t>
            </w:r>
            <w:r w:rsidR="00C6377B" w:rsidRPr="004979D2">
              <w:rPr>
                <w:rFonts w:ascii="Times New Roman" w:hAnsi="Times New Roman" w:cs="Times New Roman"/>
                <w:sz w:val="24"/>
                <w:szCs w:val="24"/>
              </w:rPr>
              <w:t>e</w:t>
            </w:r>
            <w:r w:rsidRPr="004979D2">
              <w:rPr>
                <w:rFonts w:ascii="Times New Roman" w:hAnsi="Times New Roman" w:cs="Times New Roman"/>
                <w:sz w:val="24"/>
                <w:szCs w:val="24"/>
              </w:rPr>
              <w:t xml:space="preserve"> barazisë </w:t>
            </w:r>
            <w:r w:rsidR="00EC61A2" w:rsidRPr="004979D2">
              <w:rPr>
                <w:rFonts w:ascii="Times New Roman" w:hAnsi="Times New Roman" w:cs="Times New Roman"/>
                <w:sz w:val="24"/>
                <w:szCs w:val="24"/>
              </w:rPr>
              <w:t>sociale</w:t>
            </w:r>
          </w:p>
        </w:tc>
        <w:tc>
          <w:tcPr>
            <w:tcW w:w="7015" w:type="dxa"/>
          </w:tcPr>
          <w:p w14:paraId="6AC5D979" w14:textId="77777777" w:rsidR="00D506EC" w:rsidRPr="004979D2" w:rsidRDefault="0094410D" w:rsidP="002B1BC6">
            <w:pPr>
              <w:spacing w:before="120" w:line="360" w:lineRule="auto"/>
              <w:rPr>
                <w:rFonts w:ascii="Times New Roman" w:hAnsi="Times New Roman" w:cs="Times New Roman"/>
                <w:sz w:val="24"/>
                <w:szCs w:val="24"/>
              </w:rPr>
            </w:pPr>
            <w:r w:rsidRPr="004979D2">
              <w:rPr>
                <w:rFonts w:ascii="Times New Roman" w:hAnsi="Times New Roman" w:cs="Times New Roman"/>
                <w:sz w:val="24"/>
                <w:szCs w:val="24"/>
              </w:rPr>
              <w:t>Nuk do t</w:t>
            </w:r>
            <w:r w:rsidR="00E31C3E" w:rsidRPr="004979D2">
              <w:rPr>
                <w:rFonts w:ascii="Times New Roman" w:hAnsi="Times New Roman" w:cs="Times New Roman"/>
                <w:sz w:val="24"/>
                <w:szCs w:val="24"/>
              </w:rPr>
              <w:t>ë</w:t>
            </w:r>
            <w:r w:rsidRPr="004979D2">
              <w:rPr>
                <w:rFonts w:ascii="Times New Roman" w:hAnsi="Times New Roman" w:cs="Times New Roman"/>
                <w:sz w:val="24"/>
                <w:szCs w:val="24"/>
              </w:rPr>
              <w:t xml:space="preserve"> ketë ndikime n</w:t>
            </w:r>
            <w:r w:rsidR="00E31C3E" w:rsidRPr="004979D2">
              <w:rPr>
                <w:rFonts w:ascii="Times New Roman" w:hAnsi="Times New Roman" w:cs="Times New Roman"/>
                <w:sz w:val="24"/>
                <w:szCs w:val="24"/>
              </w:rPr>
              <w:t>ë</w:t>
            </w:r>
            <w:r w:rsidRPr="004979D2">
              <w:rPr>
                <w:rFonts w:ascii="Times New Roman" w:hAnsi="Times New Roman" w:cs="Times New Roman"/>
                <w:sz w:val="24"/>
                <w:szCs w:val="24"/>
              </w:rPr>
              <w:t xml:space="preserve"> barazinë sociale.</w:t>
            </w:r>
          </w:p>
        </w:tc>
      </w:tr>
      <w:tr w:rsidR="00D506EC" w:rsidRPr="004979D2" w14:paraId="6F8B4F0A" w14:textId="77777777" w:rsidTr="008D7069">
        <w:tc>
          <w:tcPr>
            <w:tcW w:w="2335" w:type="dxa"/>
          </w:tcPr>
          <w:p w14:paraId="60F7FD47" w14:textId="77777777" w:rsidR="00D506EC" w:rsidRPr="004979D2" w:rsidRDefault="00A477AE" w:rsidP="002B1BC6">
            <w:pPr>
              <w:spacing w:before="120" w:line="360" w:lineRule="auto"/>
              <w:rPr>
                <w:rFonts w:ascii="Times New Roman" w:hAnsi="Times New Roman" w:cs="Times New Roman"/>
                <w:sz w:val="24"/>
                <w:szCs w:val="24"/>
              </w:rPr>
            </w:pPr>
            <w:r w:rsidRPr="004979D2">
              <w:rPr>
                <w:rFonts w:ascii="Times New Roman" w:hAnsi="Times New Roman" w:cs="Times New Roman"/>
                <w:sz w:val="24"/>
                <w:szCs w:val="24"/>
              </w:rPr>
              <w:t>Ndikim</w:t>
            </w:r>
            <w:r w:rsidR="00C6377B" w:rsidRPr="004979D2">
              <w:rPr>
                <w:rFonts w:ascii="Times New Roman" w:hAnsi="Times New Roman" w:cs="Times New Roman"/>
                <w:sz w:val="24"/>
                <w:szCs w:val="24"/>
              </w:rPr>
              <w:t>et tek</w:t>
            </w:r>
            <w:r w:rsidRPr="004979D2">
              <w:rPr>
                <w:rFonts w:ascii="Times New Roman" w:hAnsi="Times New Roman" w:cs="Times New Roman"/>
                <w:sz w:val="24"/>
                <w:szCs w:val="24"/>
              </w:rPr>
              <w:t xml:space="preserve"> të rinjtë</w:t>
            </w:r>
          </w:p>
        </w:tc>
        <w:tc>
          <w:tcPr>
            <w:tcW w:w="7015" w:type="dxa"/>
          </w:tcPr>
          <w:p w14:paraId="24BC86C7" w14:textId="77777777" w:rsidR="00D506EC" w:rsidRPr="004979D2" w:rsidRDefault="0094410D" w:rsidP="002B1BC6">
            <w:pPr>
              <w:spacing w:before="120" w:line="360" w:lineRule="auto"/>
              <w:rPr>
                <w:rFonts w:ascii="Times New Roman" w:hAnsi="Times New Roman" w:cs="Times New Roman"/>
                <w:sz w:val="24"/>
                <w:szCs w:val="24"/>
              </w:rPr>
            </w:pPr>
            <w:r w:rsidRPr="004979D2">
              <w:rPr>
                <w:rFonts w:ascii="Times New Roman" w:hAnsi="Times New Roman" w:cs="Times New Roman"/>
                <w:sz w:val="24"/>
                <w:szCs w:val="24"/>
              </w:rPr>
              <w:t>Nuk do t</w:t>
            </w:r>
            <w:r w:rsidR="00E31C3E" w:rsidRPr="004979D2">
              <w:rPr>
                <w:rFonts w:ascii="Times New Roman" w:hAnsi="Times New Roman" w:cs="Times New Roman"/>
                <w:sz w:val="24"/>
                <w:szCs w:val="24"/>
              </w:rPr>
              <w:t>ë</w:t>
            </w:r>
            <w:r w:rsidRPr="004979D2">
              <w:rPr>
                <w:rFonts w:ascii="Times New Roman" w:hAnsi="Times New Roman" w:cs="Times New Roman"/>
                <w:sz w:val="24"/>
                <w:szCs w:val="24"/>
              </w:rPr>
              <w:t xml:space="preserve"> ketë ndikime tek t</w:t>
            </w:r>
            <w:r w:rsidR="00E31C3E" w:rsidRPr="004979D2">
              <w:rPr>
                <w:rFonts w:ascii="Times New Roman" w:hAnsi="Times New Roman" w:cs="Times New Roman"/>
                <w:sz w:val="24"/>
                <w:szCs w:val="24"/>
              </w:rPr>
              <w:t>ë</w:t>
            </w:r>
            <w:r w:rsidRPr="004979D2">
              <w:rPr>
                <w:rFonts w:ascii="Times New Roman" w:hAnsi="Times New Roman" w:cs="Times New Roman"/>
                <w:sz w:val="24"/>
                <w:szCs w:val="24"/>
              </w:rPr>
              <w:t xml:space="preserve"> rinjtë. </w:t>
            </w:r>
          </w:p>
        </w:tc>
      </w:tr>
      <w:tr w:rsidR="008D7069" w:rsidRPr="004979D2" w14:paraId="5C3DEFFF" w14:textId="77777777" w:rsidTr="008D7069">
        <w:tc>
          <w:tcPr>
            <w:tcW w:w="2335" w:type="dxa"/>
          </w:tcPr>
          <w:p w14:paraId="4E642F2A" w14:textId="77777777" w:rsidR="008D7069" w:rsidRPr="004979D2" w:rsidRDefault="00A477AE" w:rsidP="002B1BC6">
            <w:pPr>
              <w:spacing w:before="120" w:line="360" w:lineRule="auto"/>
              <w:rPr>
                <w:rFonts w:ascii="Times New Roman" w:hAnsi="Times New Roman" w:cs="Times New Roman"/>
                <w:sz w:val="24"/>
                <w:szCs w:val="24"/>
              </w:rPr>
            </w:pPr>
            <w:r w:rsidRPr="004979D2">
              <w:rPr>
                <w:rFonts w:ascii="Times New Roman" w:hAnsi="Times New Roman" w:cs="Times New Roman"/>
                <w:sz w:val="24"/>
                <w:szCs w:val="24"/>
              </w:rPr>
              <w:t>Ndikim</w:t>
            </w:r>
            <w:r w:rsidR="00C6377B" w:rsidRPr="004979D2">
              <w:rPr>
                <w:rFonts w:ascii="Times New Roman" w:hAnsi="Times New Roman" w:cs="Times New Roman"/>
                <w:sz w:val="24"/>
                <w:szCs w:val="24"/>
              </w:rPr>
              <w:t>et</w:t>
            </w:r>
            <w:r w:rsidRPr="004979D2">
              <w:rPr>
                <w:rFonts w:ascii="Times New Roman" w:hAnsi="Times New Roman" w:cs="Times New Roman"/>
                <w:sz w:val="24"/>
                <w:szCs w:val="24"/>
              </w:rPr>
              <w:t xml:space="preserve"> </w:t>
            </w:r>
            <w:r w:rsidR="00C6377B" w:rsidRPr="004979D2">
              <w:rPr>
                <w:rFonts w:ascii="Times New Roman" w:hAnsi="Times New Roman" w:cs="Times New Roman"/>
                <w:sz w:val="24"/>
                <w:szCs w:val="24"/>
              </w:rPr>
              <w:t xml:space="preserve">në </w:t>
            </w:r>
            <w:r w:rsidR="00674773" w:rsidRPr="004979D2">
              <w:rPr>
                <w:rFonts w:ascii="Times New Roman" w:hAnsi="Times New Roman" w:cs="Times New Roman"/>
                <w:sz w:val="24"/>
                <w:szCs w:val="24"/>
              </w:rPr>
              <w:t xml:space="preserve">ngarkesën </w:t>
            </w:r>
            <w:r w:rsidRPr="004979D2">
              <w:rPr>
                <w:rFonts w:ascii="Times New Roman" w:hAnsi="Times New Roman" w:cs="Times New Roman"/>
                <w:sz w:val="24"/>
                <w:szCs w:val="24"/>
              </w:rPr>
              <w:t>administrative</w:t>
            </w:r>
          </w:p>
        </w:tc>
        <w:tc>
          <w:tcPr>
            <w:tcW w:w="7015" w:type="dxa"/>
          </w:tcPr>
          <w:p w14:paraId="747233E6" w14:textId="77777777" w:rsidR="008D7069" w:rsidRPr="004979D2" w:rsidRDefault="0094410D" w:rsidP="002B1BC6">
            <w:pPr>
              <w:spacing w:before="120" w:line="360" w:lineRule="auto"/>
              <w:rPr>
                <w:rFonts w:ascii="Times New Roman" w:hAnsi="Times New Roman" w:cs="Times New Roman"/>
                <w:sz w:val="24"/>
                <w:szCs w:val="24"/>
              </w:rPr>
            </w:pPr>
            <w:r w:rsidRPr="004979D2">
              <w:rPr>
                <w:rFonts w:ascii="Times New Roman" w:hAnsi="Times New Roman" w:cs="Times New Roman"/>
                <w:sz w:val="24"/>
                <w:szCs w:val="24"/>
              </w:rPr>
              <w:t>Nuk do t</w:t>
            </w:r>
            <w:r w:rsidR="00E31C3E" w:rsidRPr="004979D2">
              <w:rPr>
                <w:rFonts w:ascii="Times New Roman" w:hAnsi="Times New Roman" w:cs="Times New Roman"/>
                <w:sz w:val="24"/>
                <w:szCs w:val="24"/>
              </w:rPr>
              <w:t>ë</w:t>
            </w:r>
            <w:r w:rsidRPr="004979D2">
              <w:rPr>
                <w:rFonts w:ascii="Times New Roman" w:hAnsi="Times New Roman" w:cs="Times New Roman"/>
                <w:sz w:val="24"/>
                <w:szCs w:val="24"/>
              </w:rPr>
              <w:t xml:space="preserve"> ketë ndikime në ngarkesën administrative.</w:t>
            </w:r>
          </w:p>
        </w:tc>
      </w:tr>
      <w:tr w:rsidR="008D7069" w:rsidRPr="004979D2" w14:paraId="7723E139" w14:textId="77777777" w:rsidTr="008D7069">
        <w:tc>
          <w:tcPr>
            <w:tcW w:w="2335" w:type="dxa"/>
          </w:tcPr>
          <w:p w14:paraId="4F2CE3C6" w14:textId="77777777" w:rsidR="008D7069" w:rsidRPr="004979D2" w:rsidRDefault="00A477AE" w:rsidP="002B1BC6">
            <w:pPr>
              <w:spacing w:before="120" w:line="360" w:lineRule="auto"/>
              <w:rPr>
                <w:rFonts w:ascii="Times New Roman" w:hAnsi="Times New Roman" w:cs="Times New Roman"/>
                <w:sz w:val="24"/>
                <w:szCs w:val="24"/>
              </w:rPr>
            </w:pPr>
            <w:r w:rsidRPr="004979D2">
              <w:rPr>
                <w:rFonts w:ascii="Times New Roman" w:hAnsi="Times New Roman" w:cs="Times New Roman"/>
                <w:sz w:val="24"/>
                <w:szCs w:val="24"/>
              </w:rPr>
              <w:t>Ndikimi i NMV-ve</w:t>
            </w:r>
          </w:p>
        </w:tc>
        <w:tc>
          <w:tcPr>
            <w:tcW w:w="7015" w:type="dxa"/>
          </w:tcPr>
          <w:p w14:paraId="082B107B" w14:textId="77777777" w:rsidR="008D7069" w:rsidRPr="004979D2" w:rsidRDefault="0094410D" w:rsidP="002B1BC6">
            <w:pPr>
              <w:spacing w:before="120" w:line="360" w:lineRule="auto"/>
              <w:rPr>
                <w:rFonts w:ascii="Times New Roman" w:hAnsi="Times New Roman" w:cs="Times New Roman"/>
                <w:sz w:val="24"/>
                <w:szCs w:val="24"/>
              </w:rPr>
            </w:pPr>
            <w:r w:rsidRPr="004979D2">
              <w:rPr>
                <w:rFonts w:ascii="Times New Roman" w:hAnsi="Times New Roman" w:cs="Times New Roman"/>
                <w:sz w:val="24"/>
                <w:szCs w:val="24"/>
              </w:rPr>
              <w:t>Nuk do t</w:t>
            </w:r>
            <w:r w:rsidR="00E31C3E" w:rsidRPr="004979D2">
              <w:rPr>
                <w:rFonts w:ascii="Times New Roman" w:hAnsi="Times New Roman" w:cs="Times New Roman"/>
                <w:sz w:val="24"/>
                <w:szCs w:val="24"/>
              </w:rPr>
              <w:t>ë</w:t>
            </w:r>
            <w:r w:rsidRPr="004979D2">
              <w:rPr>
                <w:rFonts w:ascii="Times New Roman" w:hAnsi="Times New Roman" w:cs="Times New Roman"/>
                <w:sz w:val="24"/>
                <w:szCs w:val="24"/>
              </w:rPr>
              <w:t xml:space="preserve"> ketë ndikime </w:t>
            </w:r>
            <w:r w:rsidR="00053A6B" w:rsidRPr="004979D2">
              <w:rPr>
                <w:rFonts w:ascii="Times New Roman" w:hAnsi="Times New Roman" w:cs="Times New Roman"/>
                <w:sz w:val="24"/>
                <w:szCs w:val="24"/>
              </w:rPr>
              <w:t>të drejtpërdrejta tek</w:t>
            </w:r>
            <w:r w:rsidR="00341D3A" w:rsidRPr="004979D2">
              <w:rPr>
                <w:rFonts w:ascii="Times New Roman" w:hAnsi="Times New Roman" w:cs="Times New Roman"/>
                <w:sz w:val="24"/>
                <w:szCs w:val="24"/>
              </w:rPr>
              <w:t xml:space="preserve"> </w:t>
            </w:r>
            <w:r w:rsidRPr="004979D2">
              <w:rPr>
                <w:rFonts w:ascii="Times New Roman" w:hAnsi="Times New Roman" w:cs="Times New Roman"/>
                <w:sz w:val="24"/>
                <w:szCs w:val="24"/>
              </w:rPr>
              <w:t>NVM-t</w:t>
            </w:r>
            <w:r w:rsidR="00341D3A" w:rsidRPr="004979D2">
              <w:rPr>
                <w:rFonts w:ascii="Times New Roman" w:hAnsi="Times New Roman" w:cs="Times New Roman"/>
                <w:sz w:val="24"/>
                <w:szCs w:val="24"/>
              </w:rPr>
              <w:t>ë</w:t>
            </w:r>
            <w:r w:rsidRPr="004979D2">
              <w:rPr>
                <w:rFonts w:ascii="Times New Roman" w:hAnsi="Times New Roman" w:cs="Times New Roman"/>
                <w:sz w:val="24"/>
                <w:szCs w:val="24"/>
              </w:rPr>
              <w:t xml:space="preserve">. </w:t>
            </w:r>
          </w:p>
        </w:tc>
      </w:tr>
    </w:tbl>
    <w:p w14:paraId="36843DCB" w14:textId="77777777" w:rsidR="009E1A07" w:rsidRPr="004979D2" w:rsidRDefault="009E1A07" w:rsidP="002B1BC6">
      <w:pPr>
        <w:spacing w:line="360" w:lineRule="auto"/>
        <w:rPr>
          <w:rFonts w:ascii="Times New Roman" w:hAnsi="Times New Roman" w:cs="Times New Roman"/>
          <w:sz w:val="24"/>
          <w:szCs w:val="24"/>
        </w:rPr>
      </w:pPr>
    </w:p>
    <w:p w14:paraId="0A4378C7" w14:textId="724DE564" w:rsidR="00856C25" w:rsidRPr="004979D2" w:rsidRDefault="00797F2B"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Opsioni i parë dhe opsioni i tret</w:t>
      </w:r>
      <w:r w:rsidR="00E31C3E" w:rsidRPr="004979D2">
        <w:rPr>
          <w:rFonts w:ascii="Times New Roman" w:hAnsi="Times New Roman" w:cs="Times New Roman"/>
          <w:sz w:val="24"/>
          <w:szCs w:val="24"/>
        </w:rPr>
        <w:t>ë</w:t>
      </w:r>
      <w:r w:rsidRPr="004979D2">
        <w:rPr>
          <w:rFonts w:ascii="Times New Roman" w:hAnsi="Times New Roman" w:cs="Times New Roman"/>
          <w:sz w:val="24"/>
          <w:szCs w:val="24"/>
        </w:rPr>
        <w:t xml:space="preserve"> nuk do të kenë ndikime pozitive në fushat e lartë caktuara. Përkundrazi, do të kenë ndikim negativ duke e r</w:t>
      </w:r>
      <w:r w:rsidR="008E7146" w:rsidRPr="004979D2">
        <w:rPr>
          <w:rFonts w:ascii="Times New Roman" w:hAnsi="Times New Roman" w:cs="Times New Roman"/>
          <w:sz w:val="24"/>
          <w:szCs w:val="24"/>
        </w:rPr>
        <w:t>ë</w:t>
      </w:r>
      <w:r w:rsidRPr="004979D2">
        <w:rPr>
          <w:rFonts w:ascii="Times New Roman" w:hAnsi="Times New Roman" w:cs="Times New Roman"/>
          <w:sz w:val="24"/>
          <w:szCs w:val="24"/>
        </w:rPr>
        <w:t>nduar edhe m</w:t>
      </w:r>
      <w:r w:rsidR="008E7146" w:rsidRPr="004979D2">
        <w:rPr>
          <w:rFonts w:ascii="Times New Roman" w:hAnsi="Times New Roman" w:cs="Times New Roman"/>
          <w:sz w:val="24"/>
          <w:szCs w:val="24"/>
        </w:rPr>
        <w:t>ë</w:t>
      </w:r>
      <w:r w:rsidRPr="004979D2">
        <w:rPr>
          <w:rFonts w:ascii="Times New Roman" w:hAnsi="Times New Roman" w:cs="Times New Roman"/>
          <w:sz w:val="24"/>
          <w:szCs w:val="24"/>
        </w:rPr>
        <w:t xml:space="preserve"> tej problemin e identifikuar në këtë koncept dokument. Në anën tjetër, opsioni i dyt</w:t>
      </w:r>
      <w:r w:rsidR="00E31C3E" w:rsidRPr="004979D2">
        <w:rPr>
          <w:rFonts w:ascii="Times New Roman" w:hAnsi="Times New Roman" w:cs="Times New Roman"/>
          <w:sz w:val="24"/>
          <w:szCs w:val="24"/>
        </w:rPr>
        <w:t>ë</w:t>
      </w:r>
      <w:r w:rsidRPr="004979D2">
        <w:rPr>
          <w:rFonts w:ascii="Times New Roman" w:hAnsi="Times New Roman" w:cs="Times New Roman"/>
          <w:sz w:val="24"/>
          <w:szCs w:val="24"/>
        </w:rPr>
        <w:t xml:space="preserve"> do të ketë ndikim të drejtpërdrejtë në përmirësimin e infrastrukturës ligjore t</w:t>
      </w:r>
      <w:r w:rsidR="00E31C3E" w:rsidRPr="004979D2">
        <w:rPr>
          <w:rFonts w:ascii="Times New Roman" w:hAnsi="Times New Roman" w:cs="Times New Roman"/>
          <w:sz w:val="24"/>
          <w:szCs w:val="24"/>
        </w:rPr>
        <w:t>ë</w:t>
      </w:r>
      <w:r w:rsidRPr="004979D2">
        <w:rPr>
          <w:rFonts w:ascii="Times New Roman" w:hAnsi="Times New Roman" w:cs="Times New Roman"/>
          <w:sz w:val="24"/>
          <w:szCs w:val="24"/>
        </w:rPr>
        <w:t xml:space="preserve"> mbrojt</w:t>
      </w:r>
      <w:r w:rsidR="008E7146" w:rsidRPr="004979D2">
        <w:rPr>
          <w:rFonts w:ascii="Times New Roman" w:hAnsi="Times New Roman" w:cs="Times New Roman"/>
          <w:sz w:val="24"/>
          <w:szCs w:val="24"/>
        </w:rPr>
        <w:t>jes</w:t>
      </w:r>
      <w:r w:rsidRPr="004979D2">
        <w:rPr>
          <w:rFonts w:ascii="Times New Roman" w:hAnsi="Times New Roman" w:cs="Times New Roman"/>
          <w:sz w:val="24"/>
          <w:szCs w:val="24"/>
        </w:rPr>
        <w:t xml:space="preserve"> s</w:t>
      </w:r>
      <w:r w:rsidR="004A4335" w:rsidRPr="004979D2">
        <w:rPr>
          <w:rFonts w:ascii="Times New Roman" w:hAnsi="Times New Roman" w:cs="Times New Roman"/>
          <w:sz w:val="24"/>
          <w:szCs w:val="24"/>
        </w:rPr>
        <w:t>ë</w:t>
      </w:r>
      <w:r w:rsidRPr="004979D2">
        <w:rPr>
          <w:rFonts w:ascii="Times New Roman" w:hAnsi="Times New Roman" w:cs="Times New Roman"/>
          <w:sz w:val="24"/>
          <w:szCs w:val="24"/>
        </w:rPr>
        <w:t xml:space="preserve"> konkurrencës duke e rritur efikasitetin e AKK</w:t>
      </w:r>
      <w:r w:rsidR="004A4335" w:rsidRPr="004979D2">
        <w:rPr>
          <w:rFonts w:ascii="Times New Roman" w:hAnsi="Times New Roman" w:cs="Times New Roman"/>
          <w:sz w:val="24"/>
          <w:szCs w:val="24"/>
        </w:rPr>
        <w:t>-së</w:t>
      </w:r>
      <w:r w:rsidRPr="004979D2">
        <w:rPr>
          <w:rFonts w:ascii="Times New Roman" w:hAnsi="Times New Roman" w:cs="Times New Roman"/>
          <w:sz w:val="24"/>
          <w:szCs w:val="24"/>
        </w:rPr>
        <w:t xml:space="preserve"> dhe rrjedhimisht duke ndikuar n</w:t>
      </w:r>
      <w:r w:rsidR="004A4335" w:rsidRPr="004979D2">
        <w:rPr>
          <w:rFonts w:ascii="Times New Roman" w:hAnsi="Times New Roman" w:cs="Times New Roman"/>
          <w:sz w:val="24"/>
          <w:szCs w:val="24"/>
        </w:rPr>
        <w:t>ë</w:t>
      </w:r>
      <w:r w:rsidRPr="004979D2">
        <w:rPr>
          <w:rFonts w:ascii="Times New Roman" w:hAnsi="Times New Roman" w:cs="Times New Roman"/>
          <w:sz w:val="24"/>
          <w:szCs w:val="24"/>
        </w:rPr>
        <w:t xml:space="preserve"> mbrojtjen e tregut t</w:t>
      </w:r>
      <w:r w:rsidR="00E31C3E" w:rsidRPr="004979D2">
        <w:rPr>
          <w:rFonts w:ascii="Times New Roman" w:hAnsi="Times New Roman" w:cs="Times New Roman"/>
          <w:sz w:val="24"/>
          <w:szCs w:val="24"/>
        </w:rPr>
        <w:t>ë</w:t>
      </w:r>
      <w:r w:rsidRPr="004979D2">
        <w:rPr>
          <w:rFonts w:ascii="Times New Roman" w:hAnsi="Times New Roman" w:cs="Times New Roman"/>
          <w:sz w:val="24"/>
          <w:szCs w:val="24"/>
        </w:rPr>
        <w:t xml:space="preserve"> lir</w:t>
      </w:r>
      <w:r w:rsidR="004A4335" w:rsidRPr="004979D2">
        <w:rPr>
          <w:rFonts w:ascii="Times New Roman" w:hAnsi="Times New Roman" w:cs="Times New Roman"/>
          <w:sz w:val="24"/>
          <w:szCs w:val="24"/>
        </w:rPr>
        <w:t>ë</w:t>
      </w:r>
      <w:r w:rsidRPr="004979D2">
        <w:rPr>
          <w:rFonts w:ascii="Times New Roman" w:hAnsi="Times New Roman" w:cs="Times New Roman"/>
          <w:sz w:val="24"/>
          <w:szCs w:val="24"/>
        </w:rPr>
        <w:t xml:space="preserve"> dhe konkurrencës.</w:t>
      </w:r>
    </w:p>
    <w:p w14:paraId="32BD5FC7" w14:textId="5B92D41C" w:rsidR="003E1B87" w:rsidRPr="004979D2" w:rsidRDefault="00D06E5A" w:rsidP="002B1BC6">
      <w:pPr>
        <w:pStyle w:val="Heading2"/>
        <w:spacing w:line="360" w:lineRule="auto"/>
        <w:rPr>
          <w:rFonts w:cs="Times New Roman"/>
          <w:szCs w:val="24"/>
        </w:rPr>
      </w:pPr>
      <w:bookmarkStart w:id="46" w:name="_Toc1114330"/>
      <w:r w:rsidRPr="004979D2">
        <w:rPr>
          <w:rFonts w:cs="Times New Roman"/>
          <w:b w:val="0"/>
          <w:szCs w:val="24"/>
        </w:rPr>
        <w:t>4.</w:t>
      </w:r>
      <w:r w:rsidR="00856C25" w:rsidRPr="004979D2">
        <w:rPr>
          <w:rFonts w:cs="Times New Roman"/>
          <w:b w:val="0"/>
          <w:szCs w:val="24"/>
        </w:rPr>
        <w:t>1</w:t>
      </w:r>
      <w:r w:rsidR="00FE4BCF" w:rsidRPr="004979D2">
        <w:rPr>
          <w:rFonts w:cs="Times New Roman"/>
          <w:b w:val="0"/>
          <w:szCs w:val="24"/>
        </w:rPr>
        <w:t xml:space="preserve">: </w:t>
      </w:r>
      <w:r w:rsidR="00C6377B" w:rsidRPr="004979D2">
        <w:rPr>
          <w:rFonts w:cs="Times New Roman"/>
          <w:b w:val="0"/>
          <w:szCs w:val="24"/>
        </w:rPr>
        <w:t xml:space="preserve">Sfidat </w:t>
      </w:r>
      <w:r w:rsidR="008E7146" w:rsidRPr="004979D2">
        <w:rPr>
          <w:rFonts w:cs="Times New Roman"/>
          <w:b w:val="0"/>
          <w:szCs w:val="24"/>
        </w:rPr>
        <w:t>gjatë</w:t>
      </w:r>
      <w:r w:rsidR="00C6377B" w:rsidRPr="004979D2">
        <w:rPr>
          <w:rFonts w:cs="Times New Roman"/>
          <w:b w:val="0"/>
          <w:szCs w:val="24"/>
        </w:rPr>
        <w:t xml:space="preserve"> mbledhje</w:t>
      </w:r>
      <w:r w:rsidR="008E7146" w:rsidRPr="004979D2">
        <w:rPr>
          <w:rFonts w:cs="Times New Roman"/>
          <w:b w:val="0"/>
          <w:szCs w:val="24"/>
        </w:rPr>
        <w:t>s</w:t>
      </w:r>
      <w:r w:rsidR="00A477AE" w:rsidRPr="004979D2">
        <w:rPr>
          <w:rFonts w:cs="Times New Roman"/>
          <w:b w:val="0"/>
          <w:szCs w:val="24"/>
        </w:rPr>
        <w:t xml:space="preserve"> </w:t>
      </w:r>
      <w:r w:rsidR="008E7146" w:rsidRPr="004979D2">
        <w:rPr>
          <w:rFonts w:cs="Times New Roman"/>
          <w:b w:val="0"/>
          <w:szCs w:val="24"/>
        </w:rPr>
        <w:t>së</w:t>
      </w:r>
      <w:r w:rsidR="00A477AE" w:rsidRPr="004979D2">
        <w:rPr>
          <w:rFonts w:cs="Times New Roman"/>
          <w:b w:val="0"/>
          <w:szCs w:val="24"/>
        </w:rPr>
        <w:t xml:space="preserve"> të dhënave</w:t>
      </w:r>
      <w:bookmarkEnd w:id="46"/>
    </w:p>
    <w:p w14:paraId="2610301C" w14:textId="67F5214C" w:rsidR="00F34E63" w:rsidRPr="004979D2" w:rsidRDefault="00F34E63"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Grupi Punues ka pasur në përbërjen e tij përfaqësim të duhur për sigurimin e informatave të nevojshme për </w:t>
      </w:r>
      <w:r w:rsidR="00E319B9" w:rsidRPr="004979D2">
        <w:rPr>
          <w:rFonts w:ascii="Times New Roman" w:hAnsi="Times New Roman" w:cs="Times New Roman"/>
          <w:sz w:val="24"/>
          <w:szCs w:val="24"/>
        </w:rPr>
        <w:t xml:space="preserve">hartimin </w:t>
      </w:r>
      <w:r w:rsidRPr="004979D2">
        <w:rPr>
          <w:rFonts w:ascii="Times New Roman" w:hAnsi="Times New Roman" w:cs="Times New Roman"/>
          <w:sz w:val="24"/>
          <w:szCs w:val="24"/>
        </w:rPr>
        <w:t xml:space="preserve">e këtij Koncept Dokumenti. Puna është udhëhequr nga Ministria e Tregtisë dhe Industrisë, e cili ka siguruar informatat e përgjithshme dhe të veçanta të </w:t>
      </w:r>
      <w:r w:rsidRPr="004979D2">
        <w:rPr>
          <w:rFonts w:ascii="Times New Roman" w:hAnsi="Times New Roman" w:cs="Times New Roman"/>
          <w:sz w:val="24"/>
          <w:szCs w:val="24"/>
        </w:rPr>
        <w:lastRenderedPageBreak/>
        <w:t>nevojshme</w:t>
      </w:r>
      <w:r w:rsidR="00E319B9" w:rsidRPr="004979D2">
        <w:rPr>
          <w:rFonts w:ascii="Times New Roman" w:hAnsi="Times New Roman" w:cs="Times New Roman"/>
          <w:sz w:val="24"/>
          <w:szCs w:val="24"/>
        </w:rPr>
        <w:t>,</w:t>
      </w:r>
      <w:r w:rsidRPr="004979D2">
        <w:rPr>
          <w:rFonts w:ascii="Times New Roman" w:hAnsi="Times New Roman" w:cs="Times New Roman"/>
          <w:sz w:val="24"/>
          <w:szCs w:val="24"/>
        </w:rPr>
        <w:t xml:space="preserve"> kryesisht përmes Divizionit për Koordinim</w:t>
      </w:r>
      <w:r w:rsidR="008753CB" w:rsidRPr="004979D2">
        <w:rPr>
          <w:rFonts w:ascii="Times New Roman" w:hAnsi="Times New Roman" w:cs="Times New Roman"/>
          <w:sz w:val="24"/>
          <w:szCs w:val="24"/>
        </w:rPr>
        <w:t xml:space="preserve"> të </w:t>
      </w:r>
      <w:r w:rsidRPr="004979D2">
        <w:rPr>
          <w:rFonts w:ascii="Times New Roman" w:hAnsi="Times New Roman" w:cs="Times New Roman"/>
          <w:sz w:val="24"/>
          <w:szCs w:val="24"/>
        </w:rPr>
        <w:t>Politikave dhe Departamentit Ligjor. Në anën tjetër, analizat specifike për Koncept Dokument janë siguruar nga t</w:t>
      </w:r>
      <w:r w:rsidR="004A4335" w:rsidRPr="004979D2">
        <w:rPr>
          <w:rFonts w:ascii="Times New Roman" w:hAnsi="Times New Roman" w:cs="Times New Roman"/>
          <w:sz w:val="24"/>
          <w:szCs w:val="24"/>
        </w:rPr>
        <w:t>ë</w:t>
      </w:r>
      <w:r w:rsidRPr="004979D2">
        <w:rPr>
          <w:rFonts w:ascii="Times New Roman" w:hAnsi="Times New Roman" w:cs="Times New Roman"/>
          <w:sz w:val="24"/>
          <w:szCs w:val="24"/>
        </w:rPr>
        <w:t xml:space="preserve"> gjithë anëtar</w:t>
      </w:r>
      <w:r w:rsidR="00E319B9" w:rsidRPr="004979D2">
        <w:rPr>
          <w:rFonts w:ascii="Times New Roman" w:hAnsi="Times New Roman" w:cs="Times New Roman"/>
          <w:sz w:val="24"/>
          <w:szCs w:val="24"/>
        </w:rPr>
        <w:t>ë</w:t>
      </w:r>
      <w:r w:rsidRPr="004979D2">
        <w:rPr>
          <w:rFonts w:ascii="Times New Roman" w:hAnsi="Times New Roman" w:cs="Times New Roman"/>
          <w:sz w:val="24"/>
          <w:szCs w:val="24"/>
        </w:rPr>
        <w:t xml:space="preserve">t e Grupit Punues. Po ashtu, edhe përfaqësuesit e Komunave të Kosovë dhe të pjesës tjetër të shoqërisë civile kanë kontribuar në të dhënat që janë bazuar në analizat e </w:t>
      </w:r>
      <w:r w:rsidR="00216513" w:rsidRPr="004979D2">
        <w:rPr>
          <w:rFonts w:ascii="Times New Roman" w:hAnsi="Times New Roman" w:cs="Times New Roman"/>
          <w:sz w:val="24"/>
          <w:szCs w:val="24"/>
        </w:rPr>
        <w:t>këtij KD.</w:t>
      </w:r>
      <w:r w:rsidRPr="004979D2">
        <w:rPr>
          <w:rFonts w:ascii="Times New Roman" w:hAnsi="Times New Roman" w:cs="Times New Roman"/>
          <w:sz w:val="24"/>
          <w:szCs w:val="24"/>
        </w:rPr>
        <w:t xml:space="preserve"> </w:t>
      </w:r>
    </w:p>
    <w:p w14:paraId="56125B57" w14:textId="77777777" w:rsidR="00F34E63" w:rsidRPr="004979D2" w:rsidRDefault="00F34E63"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Andaj, mund të konfirmohet që nuk ka pasur probleme dhe sfida në mbledhjen e këtyre informatave.</w:t>
      </w:r>
    </w:p>
    <w:p w14:paraId="19470927" w14:textId="77777777" w:rsidR="001C7171" w:rsidRPr="004979D2" w:rsidRDefault="00BC0DBE" w:rsidP="002B1BC6">
      <w:pPr>
        <w:pStyle w:val="Heading1"/>
        <w:spacing w:line="360" w:lineRule="auto"/>
        <w:rPr>
          <w:rFonts w:ascii="Times New Roman" w:hAnsi="Times New Roman" w:cs="Times New Roman"/>
          <w:sz w:val="24"/>
          <w:szCs w:val="24"/>
        </w:rPr>
      </w:pPr>
      <w:bookmarkStart w:id="47" w:name="_Toc1114331"/>
      <w:r w:rsidRPr="004979D2">
        <w:rPr>
          <w:rFonts w:ascii="Times New Roman" w:hAnsi="Times New Roman" w:cs="Times New Roman"/>
          <w:b/>
          <w:sz w:val="24"/>
          <w:szCs w:val="24"/>
        </w:rPr>
        <w:t>KAPITULLI 5: KOMUNIKIMI DHE KONSULTIMI</w:t>
      </w:r>
      <w:bookmarkEnd w:id="47"/>
      <w:r w:rsidRPr="004979D2">
        <w:rPr>
          <w:rFonts w:ascii="Times New Roman" w:hAnsi="Times New Roman" w:cs="Times New Roman"/>
          <w:b/>
          <w:sz w:val="24"/>
          <w:szCs w:val="24"/>
        </w:rPr>
        <w:t xml:space="preserve"> </w:t>
      </w:r>
    </w:p>
    <w:p w14:paraId="5536C9E6" w14:textId="5C9956E3" w:rsidR="00455520" w:rsidRPr="004979D2" w:rsidRDefault="00455520"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Grupi punues për hartimin e Koncept Dokumentit në fushën e </w:t>
      </w:r>
      <w:r w:rsidR="00FA3EFA" w:rsidRPr="004979D2">
        <w:rPr>
          <w:rFonts w:ascii="Times New Roman" w:hAnsi="Times New Roman" w:cs="Times New Roman"/>
          <w:sz w:val="24"/>
          <w:szCs w:val="24"/>
        </w:rPr>
        <w:t>konkurrencës, ka përfshirë palët e interesit që</w:t>
      </w:r>
      <w:r w:rsidRPr="004979D2">
        <w:rPr>
          <w:rFonts w:ascii="Times New Roman" w:hAnsi="Times New Roman" w:cs="Times New Roman"/>
          <w:sz w:val="24"/>
          <w:szCs w:val="24"/>
        </w:rPr>
        <w:t xml:space="preserve"> në fazat e hershme të hartimit të këtij dokumenti. Palët e konsultuara përfshijnë ndërmarrësit, shoqatat e ndërmarrësve, shoqata e konsumatorit, odat ekonomike, organizatat e ndryshme jo fitimprurëse, komunat institucionet tjera relevante</w:t>
      </w:r>
      <w:r w:rsidR="00E94093" w:rsidRPr="004979D2">
        <w:rPr>
          <w:rFonts w:ascii="Times New Roman" w:hAnsi="Times New Roman" w:cs="Times New Roman"/>
          <w:sz w:val="24"/>
          <w:szCs w:val="24"/>
        </w:rPr>
        <w:t xml:space="preserve"> dhe publiku</w:t>
      </w:r>
      <w:r w:rsidR="00973B40" w:rsidRPr="004979D2">
        <w:rPr>
          <w:rFonts w:ascii="Times New Roman" w:hAnsi="Times New Roman" w:cs="Times New Roman"/>
          <w:sz w:val="24"/>
          <w:szCs w:val="24"/>
        </w:rPr>
        <w:t>n e</w:t>
      </w:r>
      <w:r w:rsidR="00E94093" w:rsidRPr="004979D2">
        <w:rPr>
          <w:rFonts w:ascii="Times New Roman" w:hAnsi="Times New Roman" w:cs="Times New Roman"/>
          <w:sz w:val="24"/>
          <w:szCs w:val="24"/>
        </w:rPr>
        <w:t xml:space="preserve"> gjer</w:t>
      </w:r>
      <w:r w:rsidR="00973B40" w:rsidRPr="004979D2">
        <w:rPr>
          <w:rFonts w:ascii="Times New Roman" w:hAnsi="Times New Roman" w:cs="Times New Roman"/>
          <w:sz w:val="24"/>
          <w:szCs w:val="24"/>
        </w:rPr>
        <w:t>ë</w:t>
      </w:r>
      <w:r w:rsidR="00E94093" w:rsidRPr="004979D2">
        <w:rPr>
          <w:rFonts w:ascii="Times New Roman" w:hAnsi="Times New Roman" w:cs="Times New Roman"/>
          <w:sz w:val="24"/>
          <w:szCs w:val="24"/>
        </w:rPr>
        <w:t>.</w:t>
      </w:r>
    </w:p>
    <w:p w14:paraId="26395280" w14:textId="65D67EF5" w:rsidR="00E94093" w:rsidRPr="004979D2" w:rsidRDefault="00455520"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Më 31 korrik 201</w:t>
      </w:r>
      <w:r w:rsidR="00E152BB" w:rsidRPr="004979D2">
        <w:rPr>
          <w:rFonts w:ascii="Times New Roman" w:hAnsi="Times New Roman" w:cs="Times New Roman"/>
          <w:sz w:val="24"/>
          <w:szCs w:val="24"/>
        </w:rPr>
        <w:t>8</w:t>
      </w:r>
      <w:r w:rsidRPr="004979D2">
        <w:rPr>
          <w:rFonts w:ascii="Times New Roman" w:hAnsi="Times New Roman" w:cs="Times New Roman"/>
          <w:sz w:val="24"/>
          <w:szCs w:val="24"/>
        </w:rPr>
        <w:t xml:space="preserve"> është mbajtur takimi publik me palët e interesit</w:t>
      </w:r>
      <w:r w:rsidR="009E2F9D" w:rsidRPr="004979D2">
        <w:rPr>
          <w:rFonts w:ascii="Times New Roman" w:hAnsi="Times New Roman" w:cs="Times New Roman"/>
          <w:sz w:val="24"/>
          <w:szCs w:val="24"/>
        </w:rPr>
        <w:t xml:space="preserve"> (shiko Shtojcën 5)</w:t>
      </w:r>
      <w:r w:rsidR="001E4F07" w:rsidRPr="004979D2">
        <w:rPr>
          <w:rFonts w:ascii="Times New Roman" w:hAnsi="Times New Roman" w:cs="Times New Roman"/>
          <w:sz w:val="24"/>
          <w:szCs w:val="24"/>
        </w:rPr>
        <w:t xml:space="preserve"> ku mor</w:t>
      </w:r>
      <w:r w:rsidR="00973B40" w:rsidRPr="004979D2">
        <w:rPr>
          <w:rFonts w:ascii="Times New Roman" w:hAnsi="Times New Roman" w:cs="Times New Roman"/>
          <w:sz w:val="24"/>
          <w:szCs w:val="24"/>
        </w:rPr>
        <w:t>ë</w:t>
      </w:r>
      <w:r w:rsidR="001E4F07" w:rsidRPr="004979D2">
        <w:rPr>
          <w:rFonts w:ascii="Times New Roman" w:hAnsi="Times New Roman" w:cs="Times New Roman"/>
          <w:sz w:val="24"/>
          <w:szCs w:val="24"/>
        </w:rPr>
        <w:t>n pjes</w:t>
      </w:r>
      <w:r w:rsidR="00973B40" w:rsidRPr="004979D2">
        <w:rPr>
          <w:rFonts w:ascii="Times New Roman" w:hAnsi="Times New Roman" w:cs="Times New Roman"/>
          <w:sz w:val="24"/>
          <w:szCs w:val="24"/>
        </w:rPr>
        <w:t>ë</w:t>
      </w:r>
      <w:r w:rsidR="001E4F07" w:rsidRPr="004979D2">
        <w:rPr>
          <w:rFonts w:ascii="Times New Roman" w:hAnsi="Times New Roman" w:cs="Times New Roman"/>
          <w:sz w:val="24"/>
          <w:szCs w:val="24"/>
        </w:rPr>
        <w:t xml:space="preserve"> 33 persona. Takimi sh</w:t>
      </w:r>
      <w:r w:rsidR="00973B40" w:rsidRPr="004979D2">
        <w:rPr>
          <w:rFonts w:ascii="Times New Roman" w:hAnsi="Times New Roman" w:cs="Times New Roman"/>
          <w:sz w:val="24"/>
          <w:szCs w:val="24"/>
        </w:rPr>
        <w:t>ë</w:t>
      </w:r>
      <w:r w:rsidR="001E4F07" w:rsidRPr="004979D2">
        <w:rPr>
          <w:rFonts w:ascii="Times New Roman" w:hAnsi="Times New Roman" w:cs="Times New Roman"/>
          <w:sz w:val="24"/>
          <w:szCs w:val="24"/>
        </w:rPr>
        <w:t>rbeu</w:t>
      </w:r>
      <w:r w:rsidRPr="004979D2">
        <w:rPr>
          <w:rFonts w:ascii="Times New Roman" w:hAnsi="Times New Roman" w:cs="Times New Roman"/>
          <w:sz w:val="24"/>
          <w:szCs w:val="24"/>
        </w:rPr>
        <w:t xml:space="preserve"> si  platformë e mirë për të diskutuar</w:t>
      </w:r>
      <w:r w:rsidR="00BC45AC" w:rsidRPr="004979D2">
        <w:rPr>
          <w:rFonts w:ascii="Times New Roman" w:hAnsi="Times New Roman" w:cs="Times New Roman"/>
          <w:sz w:val="24"/>
          <w:szCs w:val="24"/>
        </w:rPr>
        <w:t xml:space="preserve"> me</w:t>
      </w:r>
      <w:r w:rsidRPr="004979D2">
        <w:rPr>
          <w:rFonts w:ascii="Times New Roman" w:hAnsi="Times New Roman" w:cs="Times New Roman"/>
          <w:sz w:val="24"/>
          <w:szCs w:val="24"/>
        </w:rPr>
        <w:t xml:space="preserve"> </w:t>
      </w:r>
      <w:r w:rsidR="00BC45AC" w:rsidRPr="004979D2">
        <w:rPr>
          <w:rFonts w:ascii="Times New Roman" w:hAnsi="Times New Roman" w:cs="Times New Roman"/>
          <w:sz w:val="24"/>
          <w:szCs w:val="24"/>
        </w:rPr>
        <w:t xml:space="preserve">përfaqësuesit e bizneseve dhe institucioneve </w:t>
      </w:r>
      <w:r w:rsidRPr="004979D2">
        <w:rPr>
          <w:rFonts w:ascii="Times New Roman" w:hAnsi="Times New Roman" w:cs="Times New Roman"/>
          <w:sz w:val="24"/>
          <w:szCs w:val="24"/>
        </w:rPr>
        <w:t>versionin fillestar të identifikimit të problemit</w:t>
      </w:r>
      <w:r w:rsidR="00BC45AC" w:rsidRPr="004979D2">
        <w:rPr>
          <w:rFonts w:ascii="Times New Roman" w:hAnsi="Times New Roman" w:cs="Times New Roman"/>
          <w:sz w:val="24"/>
          <w:szCs w:val="24"/>
        </w:rPr>
        <w:t>.</w:t>
      </w:r>
      <w:r w:rsidR="00FA3EFA" w:rsidRPr="004979D2">
        <w:rPr>
          <w:rFonts w:ascii="Times New Roman" w:hAnsi="Times New Roman" w:cs="Times New Roman"/>
          <w:sz w:val="24"/>
          <w:szCs w:val="24"/>
        </w:rPr>
        <w:t xml:space="preserve"> </w:t>
      </w:r>
      <w:r w:rsidR="00E94093" w:rsidRPr="004979D2">
        <w:rPr>
          <w:rFonts w:ascii="Times New Roman" w:hAnsi="Times New Roman" w:cs="Times New Roman"/>
          <w:sz w:val="24"/>
          <w:szCs w:val="24"/>
        </w:rPr>
        <w:t>Nj</w:t>
      </w:r>
      <w:r w:rsidR="00973B40" w:rsidRPr="004979D2">
        <w:rPr>
          <w:rFonts w:ascii="Times New Roman" w:hAnsi="Times New Roman" w:cs="Times New Roman"/>
          <w:sz w:val="24"/>
          <w:szCs w:val="24"/>
        </w:rPr>
        <w:t>ë</w:t>
      </w:r>
      <w:r w:rsidR="00E94093" w:rsidRPr="004979D2">
        <w:rPr>
          <w:rFonts w:ascii="Times New Roman" w:hAnsi="Times New Roman" w:cs="Times New Roman"/>
          <w:sz w:val="24"/>
          <w:szCs w:val="24"/>
        </w:rPr>
        <w:t xml:space="preserve"> nd</w:t>
      </w:r>
      <w:r w:rsidR="00973B40" w:rsidRPr="004979D2">
        <w:rPr>
          <w:rFonts w:ascii="Times New Roman" w:hAnsi="Times New Roman" w:cs="Times New Roman"/>
          <w:sz w:val="24"/>
          <w:szCs w:val="24"/>
        </w:rPr>
        <w:t>ë</w:t>
      </w:r>
      <w:r w:rsidR="00E94093" w:rsidRPr="004979D2">
        <w:rPr>
          <w:rFonts w:ascii="Times New Roman" w:hAnsi="Times New Roman" w:cs="Times New Roman"/>
          <w:sz w:val="24"/>
          <w:szCs w:val="24"/>
        </w:rPr>
        <w:t>r ç</w:t>
      </w:r>
      <w:r w:rsidR="00973B40" w:rsidRPr="004979D2">
        <w:rPr>
          <w:rFonts w:ascii="Times New Roman" w:hAnsi="Times New Roman" w:cs="Times New Roman"/>
          <w:sz w:val="24"/>
          <w:szCs w:val="24"/>
        </w:rPr>
        <w:t>ë</w:t>
      </w:r>
      <w:r w:rsidR="00E94093" w:rsidRPr="004979D2">
        <w:rPr>
          <w:rFonts w:ascii="Times New Roman" w:hAnsi="Times New Roman" w:cs="Times New Roman"/>
          <w:sz w:val="24"/>
          <w:szCs w:val="24"/>
        </w:rPr>
        <w:t>shtjet kryesore t</w:t>
      </w:r>
      <w:r w:rsidR="00973B40" w:rsidRPr="004979D2">
        <w:rPr>
          <w:rFonts w:ascii="Times New Roman" w:hAnsi="Times New Roman" w:cs="Times New Roman"/>
          <w:sz w:val="24"/>
          <w:szCs w:val="24"/>
        </w:rPr>
        <w:t>ë</w:t>
      </w:r>
      <w:r w:rsidR="00E94093" w:rsidRPr="004979D2">
        <w:rPr>
          <w:rFonts w:ascii="Times New Roman" w:hAnsi="Times New Roman" w:cs="Times New Roman"/>
          <w:sz w:val="24"/>
          <w:szCs w:val="24"/>
        </w:rPr>
        <w:t xml:space="preserve"> diskutuara ishte p</w:t>
      </w:r>
      <w:r w:rsidR="00973B40" w:rsidRPr="004979D2">
        <w:rPr>
          <w:rFonts w:ascii="Times New Roman" w:hAnsi="Times New Roman" w:cs="Times New Roman"/>
          <w:sz w:val="24"/>
          <w:szCs w:val="24"/>
        </w:rPr>
        <w:t>ë</w:t>
      </w:r>
      <w:r w:rsidR="00E94093" w:rsidRPr="004979D2">
        <w:rPr>
          <w:rFonts w:ascii="Times New Roman" w:hAnsi="Times New Roman" w:cs="Times New Roman"/>
          <w:sz w:val="24"/>
          <w:szCs w:val="24"/>
        </w:rPr>
        <w:t>rqindja e pozit</w:t>
      </w:r>
      <w:r w:rsidR="00973B40" w:rsidRPr="004979D2">
        <w:rPr>
          <w:rFonts w:ascii="Times New Roman" w:hAnsi="Times New Roman" w:cs="Times New Roman"/>
          <w:sz w:val="24"/>
          <w:szCs w:val="24"/>
        </w:rPr>
        <w:t>ë</w:t>
      </w:r>
      <w:r w:rsidR="00E94093" w:rsidRPr="004979D2">
        <w:rPr>
          <w:rFonts w:ascii="Times New Roman" w:hAnsi="Times New Roman" w:cs="Times New Roman"/>
          <w:sz w:val="24"/>
          <w:szCs w:val="24"/>
        </w:rPr>
        <w:t>s dominuese n</w:t>
      </w:r>
      <w:r w:rsidR="00973B40" w:rsidRPr="004979D2">
        <w:rPr>
          <w:rFonts w:ascii="Times New Roman" w:hAnsi="Times New Roman" w:cs="Times New Roman"/>
          <w:sz w:val="24"/>
          <w:szCs w:val="24"/>
        </w:rPr>
        <w:t>ë</w:t>
      </w:r>
      <w:r w:rsidR="00E94093" w:rsidRPr="004979D2">
        <w:rPr>
          <w:rFonts w:ascii="Times New Roman" w:hAnsi="Times New Roman" w:cs="Times New Roman"/>
          <w:sz w:val="24"/>
          <w:szCs w:val="24"/>
        </w:rPr>
        <w:t xml:space="preserve"> treg, e cila me ligjin aktual </w:t>
      </w:r>
      <w:r w:rsidR="00973B40" w:rsidRPr="004979D2">
        <w:rPr>
          <w:rFonts w:ascii="Times New Roman" w:hAnsi="Times New Roman" w:cs="Times New Roman"/>
          <w:sz w:val="24"/>
          <w:szCs w:val="24"/>
        </w:rPr>
        <w:t>ë</w:t>
      </w:r>
      <w:r w:rsidR="00E94093" w:rsidRPr="004979D2">
        <w:rPr>
          <w:rFonts w:ascii="Times New Roman" w:hAnsi="Times New Roman" w:cs="Times New Roman"/>
          <w:sz w:val="24"/>
          <w:szCs w:val="24"/>
        </w:rPr>
        <w:t>sht</w:t>
      </w:r>
      <w:r w:rsidR="00973B40" w:rsidRPr="004979D2">
        <w:rPr>
          <w:rFonts w:ascii="Times New Roman" w:hAnsi="Times New Roman" w:cs="Times New Roman"/>
          <w:sz w:val="24"/>
          <w:szCs w:val="24"/>
        </w:rPr>
        <w:t>ë</w:t>
      </w:r>
      <w:r w:rsidR="00E94093" w:rsidRPr="004979D2">
        <w:rPr>
          <w:rFonts w:ascii="Times New Roman" w:hAnsi="Times New Roman" w:cs="Times New Roman"/>
          <w:sz w:val="24"/>
          <w:szCs w:val="24"/>
        </w:rPr>
        <w:t xml:space="preserve"> 25%. Shumica e pjes</w:t>
      </w:r>
      <w:r w:rsidR="00973B40" w:rsidRPr="004979D2">
        <w:rPr>
          <w:rFonts w:ascii="Times New Roman" w:hAnsi="Times New Roman" w:cs="Times New Roman"/>
          <w:sz w:val="24"/>
          <w:szCs w:val="24"/>
        </w:rPr>
        <w:t>ë</w:t>
      </w:r>
      <w:r w:rsidR="00E94093" w:rsidRPr="004979D2">
        <w:rPr>
          <w:rFonts w:ascii="Times New Roman" w:hAnsi="Times New Roman" w:cs="Times New Roman"/>
          <w:sz w:val="24"/>
          <w:szCs w:val="24"/>
        </w:rPr>
        <w:t>marr</w:t>
      </w:r>
      <w:r w:rsidR="00973B40" w:rsidRPr="004979D2">
        <w:rPr>
          <w:rFonts w:ascii="Times New Roman" w:hAnsi="Times New Roman" w:cs="Times New Roman"/>
          <w:sz w:val="24"/>
          <w:szCs w:val="24"/>
        </w:rPr>
        <w:t>ë</w:t>
      </w:r>
      <w:r w:rsidR="00E94093" w:rsidRPr="004979D2">
        <w:rPr>
          <w:rFonts w:ascii="Times New Roman" w:hAnsi="Times New Roman" w:cs="Times New Roman"/>
          <w:sz w:val="24"/>
          <w:szCs w:val="24"/>
        </w:rPr>
        <w:t>sve u pajtuan q</w:t>
      </w:r>
      <w:r w:rsidR="00973B40" w:rsidRPr="004979D2">
        <w:rPr>
          <w:rFonts w:ascii="Times New Roman" w:hAnsi="Times New Roman" w:cs="Times New Roman"/>
          <w:sz w:val="24"/>
          <w:szCs w:val="24"/>
        </w:rPr>
        <w:t>ë</w:t>
      </w:r>
      <w:r w:rsidR="00E94093" w:rsidRPr="004979D2">
        <w:rPr>
          <w:rFonts w:ascii="Times New Roman" w:hAnsi="Times New Roman" w:cs="Times New Roman"/>
          <w:sz w:val="24"/>
          <w:szCs w:val="24"/>
        </w:rPr>
        <w:t xml:space="preserve"> p</w:t>
      </w:r>
      <w:r w:rsidR="00973B40" w:rsidRPr="004979D2">
        <w:rPr>
          <w:rFonts w:ascii="Times New Roman" w:hAnsi="Times New Roman" w:cs="Times New Roman"/>
          <w:sz w:val="24"/>
          <w:szCs w:val="24"/>
        </w:rPr>
        <w:t>ë</w:t>
      </w:r>
      <w:r w:rsidR="00E94093" w:rsidRPr="004979D2">
        <w:rPr>
          <w:rFonts w:ascii="Times New Roman" w:hAnsi="Times New Roman" w:cs="Times New Roman"/>
          <w:sz w:val="24"/>
          <w:szCs w:val="24"/>
        </w:rPr>
        <w:t xml:space="preserve">r tregun vendor </w:t>
      </w:r>
      <w:r w:rsidR="00973B40" w:rsidRPr="004979D2">
        <w:rPr>
          <w:rFonts w:ascii="Times New Roman" w:hAnsi="Times New Roman" w:cs="Times New Roman"/>
          <w:sz w:val="24"/>
          <w:szCs w:val="24"/>
        </w:rPr>
        <w:t>ë</w:t>
      </w:r>
      <w:r w:rsidR="00E94093" w:rsidRPr="004979D2">
        <w:rPr>
          <w:rFonts w:ascii="Times New Roman" w:hAnsi="Times New Roman" w:cs="Times New Roman"/>
          <w:sz w:val="24"/>
          <w:szCs w:val="24"/>
        </w:rPr>
        <w:t>sht</w:t>
      </w:r>
      <w:r w:rsidR="00973B40" w:rsidRPr="004979D2">
        <w:rPr>
          <w:rFonts w:ascii="Times New Roman" w:hAnsi="Times New Roman" w:cs="Times New Roman"/>
          <w:sz w:val="24"/>
          <w:szCs w:val="24"/>
        </w:rPr>
        <w:t>ë</w:t>
      </w:r>
      <w:r w:rsidR="00E94093" w:rsidRPr="004979D2">
        <w:rPr>
          <w:rFonts w:ascii="Times New Roman" w:hAnsi="Times New Roman" w:cs="Times New Roman"/>
          <w:sz w:val="24"/>
          <w:szCs w:val="24"/>
        </w:rPr>
        <w:t xml:space="preserve"> m</w:t>
      </w:r>
      <w:r w:rsidR="00973B40" w:rsidRPr="004979D2">
        <w:rPr>
          <w:rFonts w:ascii="Times New Roman" w:hAnsi="Times New Roman" w:cs="Times New Roman"/>
          <w:sz w:val="24"/>
          <w:szCs w:val="24"/>
        </w:rPr>
        <w:t>ë</w:t>
      </w:r>
      <w:r w:rsidR="00E94093" w:rsidRPr="004979D2">
        <w:rPr>
          <w:rFonts w:ascii="Times New Roman" w:hAnsi="Times New Roman" w:cs="Times New Roman"/>
          <w:sz w:val="24"/>
          <w:szCs w:val="24"/>
        </w:rPr>
        <w:t xml:space="preserve"> e p</w:t>
      </w:r>
      <w:r w:rsidR="00973B40" w:rsidRPr="004979D2">
        <w:rPr>
          <w:rFonts w:ascii="Times New Roman" w:hAnsi="Times New Roman" w:cs="Times New Roman"/>
          <w:sz w:val="24"/>
          <w:szCs w:val="24"/>
        </w:rPr>
        <w:t>ë</w:t>
      </w:r>
      <w:r w:rsidR="00E94093" w:rsidRPr="004979D2">
        <w:rPr>
          <w:rFonts w:ascii="Times New Roman" w:hAnsi="Times New Roman" w:cs="Times New Roman"/>
          <w:sz w:val="24"/>
          <w:szCs w:val="24"/>
        </w:rPr>
        <w:t>rshtatshme q</w:t>
      </w:r>
      <w:r w:rsidR="00973B40" w:rsidRPr="004979D2">
        <w:rPr>
          <w:rFonts w:ascii="Times New Roman" w:hAnsi="Times New Roman" w:cs="Times New Roman"/>
          <w:sz w:val="24"/>
          <w:szCs w:val="24"/>
        </w:rPr>
        <w:t>ë</w:t>
      </w:r>
      <w:r w:rsidR="00E94093" w:rsidRPr="004979D2">
        <w:rPr>
          <w:rFonts w:ascii="Times New Roman" w:hAnsi="Times New Roman" w:cs="Times New Roman"/>
          <w:sz w:val="24"/>
          <w:szCs w:val="24"/>
        </w:rPr>
        <w:t xml:space="preserve"> kjo t</w:t>
      </w:r>
      <w:r w:rsidR="00973B40" w:rsidRPr="004979D2">
        <w:rPr>
          <w:rFonts w:ascii="Times New Roman" w:hAnsi="Times New Roman" w:cs="Times New Roman"/>
          <w:sz w:val="24"/>
          <w:szCs w:val="24"/>
        </w:rPr>
        <w:t>ë</w:t>
      </w:r>
      <w:r w:rsidR="00E94093" w:rsidRPr="004979D2">
        <w:rPr>
          <w:rFonts w:ascii="Times New Roman" w:hAnsi="Times New Roman" w:cs="Times New Roman"/>
          <w:sz w:val="24"/>
          <w:szCs w:val="24"/>
        </w:rPr>
        <w:t xml:space="preserve"> rritet n</w:t>
      </w:r>
      <w:r w:rsidR="00973B40" w:rsidRPr="004979D2">
        <w:rPr>
          <w:rFonts w:ascii="Times New Roman" w:hAnsi="Times New Roman" w:cs="Times New Roman"/>
          <w:sz w:val="24"/>
          <w:szCs w:val="24"/>
        </w:rPr>
        <w:t>ë</w:t>
      </w:r>
      <w:r w:rsidR="00E94093" w:rsidRPr="004979D2">
        <w:rPr>
          <w:rFonts w:ascii="Times New Roman" w:hAnsi="Times New Roman" w:cs="Times New Roman"/>
          <w:sz w:val="24"/>
          <w:szCs w:val="24"/>
        </w:rPr>
        <w:t xml:space="preserve"> 40%, ngjash</w:t>
      </w:r>
      <w:r w:rsidR="00973B40" w:rsidRPr="004979D2">
        <w:rPr>
          <w:rFonts w:ascii="Times New Roman" w:hAnsi="Times New Roman" w:cs="Times New Roman"/>
          <w:sz w:val="24"/>
          <w:szCs w:val="24"/>
        </w:rPr>
        <w:t>ë</w:t>
      </w:r>
      <w:r w:rsidR="00E94093" w:rsidRPr="004979D2">
        <w:rPr>
          <w:rFonts w:ascii="Times New Roman" w:hAnsi="Times New Roman" w:cs="Times New Roman"/>
          <w:sz w:val="24"/>
          <w:szCs w:val="24"/>
        </w:rPr>
        <w:t>m me vendet e rajonit. P</w:t>
      </w:r>
      <w:r w:rsidR="00973B40" w:rsidRPr="004979D2">
        <w:rPr>
          <w:rFonts w:ascii="Times New Roman" w:hAnsi="Times New Roman" w:cs="Times New Roman"/>
          <w:sz w:val="24"/>
          <w:szCs w:val="24"/>
        </w:rPr>
        <w:t>ë</w:t>
      </w:r>
      <w:r w:rsidR="00E94093" w:rsidRPr="004979D2">
        <w:rPr>
          <w:rFonts w:ascii="Times New Roman" w:hAnsi="Times New Roman" w:cs="Times New Roman"/>
          <w:sz w:val="24"/>
          <w:szCs w:val="24"/>
        </w:rPr>
        <w:t>r t</w:t>
      </w:r>
      <w:r w:rsidR="00973B40" w:rsidRPr="004979D2">
        <w:rPr>
          <w:rFonts w:ascii="Times New Roman" w:hAnsi="Times New Roman" w:cs="Times New Roman"/>
          <w:sz w:val="24"/>
          <w:szCs w:val="24"/>
        </w:rPr>
        <w:t>ë</w:t>
      </w:r>
      <w:r w:rsidR="00E94093" w:rsidRPr="004979D2">
        <w:rPr>
          <w:rFonts w:ascii="Times New Roman" w:hAnsi="Times New Roman" w:cs="Times New Roman"/>
          <w:sz w:val="24"/>
          <w:szCs w:val="24"/>
        </w:rPr>
        <w:t xml:space="preserve"> shmangur keqp</w:t>
      </w:r>
      <w:r w:rsidR="00973B40" w:rsidRPr="004979D2">
        <w:rPr>
          <w:rFonts w:ascii="Times New Roman" w:hAnsi="Times New Roman" w:cs="Times New Roman"/>
          <w:sz w:val="24"/>
          <w:szCs w:val="24"/>
        </w:rPr>
        <w:t>ë</w:t>
      </w:r>
      <w:r w:rsidR="00E94093" w:rsidRPr="004979D2">
        <w:rPr>
          <w:rFonts w:ascii="Times New Roman" w:hAnsi="Times New Roman" w:cs="Times New Roman"/>
          <w:sz w:val="24"/>
          <w:szCs w:val="24"/>
        </w:rPr>
        <w:t>rdorimin e pozit</w:t>
      </w:r>
      <w:r w:rsidR="00973B40" w:rsidRPr="004979D2">
        <w:rPr>
          <w:rFonts w:ascii="Times New Roman" w:hAnsi="Times New Roman" w:cs="Times New Roman"/>
          <w:sz w:val="24"/>
          <w:szCs w:val="24"/>
        </w:rPr>
        <w:t>ë</w:t>
      </w:r>
      <w:r w:rsidR="00E94093" w:rsidRPr="004979D2">
        <w:rPr>
          <w:rFonts w:ascii="Times New Roman" w:hAnsi="Times New Roman" w:cs="Times New Roman"/>
          <w:sz w:val="24"/>
          <w:szCs w:val="24"/>
        </w:rPr>
        <w:t>s dominuese n</w:t>
      </w:r>
      <w:r w:rsidR="00973B40" w:rsidRPr="004979D2">
        <w:rPr>
          <w:rFonts w:ascii="Times New Roman" w:hAnsi="Times New Roman" w:cs="Times New Roman"/>
          <w:sz w:val="24"/>
          <w:szCs w:val="24"/>
        </w:rPr>
        <w:t>ë</w:t>
      </w:r>
      <w:r w:rsidR="00E94093" w:rsidRPr="004979D2">
        <w:rPr>
          <w:rFonts w:ascii="Times New Roman" w:hAnsi="Times New Roman" w:cs="Times New Roman"/>
          <w:sz w:val="24"/>
          <w:szCs w:val="24"/>
        </w:rPr>
        <w:t xml:space="preserve"> treg, u</w:t>
      </w:r>
      <w:r w:rsidR="00113814" w:rsidRPr="004979D2">
        <w:rPr>
          <w:rFonts w:ascii="Times New Roman" w:hAnsi="Times New Roman" w:cs="Times New Roman"/>
          <w:sz w:val="24"/>
          <w:szCs w:val="24"/>
        </w:rPr>
        <w:t xml:space="preserve"> propozua </w:t>
      </w:r>
      <w:r w:rsidR="00973B40" w:rsidRPr="004979D2">
        <w:rPr>
          <w:rFonts w:ascii="Times New Roman" w:hAnsi="Times New Roman" w:cs="Times New Roman"/>
          <w:sz w:val="24"/>
          <w:szCs w:val="24"/>
        </w:rPr>
        <w:t xml:space="preserve">që për kompanitë që e arrijnë këtë kuotë të vendosen </w:t>
      </w:r>
      <w:r w:rsidR="00113814" w:rsidRPr="004979D2">
        <w:rPr>
          <w:rFonts w:ascii="Times New Roman" w:hAnsi="Times New Roman" w:cs="Times New Roman"/>
          <w:sz w:val="24"/>
          <w:szCs w:val="24"/>
        </w:rPr>
        <w:t>kritere t</w:t>
      </w:r>
      <w:r w:rsidR="00973B40" w:rsidRPr="004979D2">
        <w:rPr>
          <w:rFonts w:ascii="Times New Roman" w:hAnsi="Times New Roman" w:cs="Times New Roman"/>
          <w:sz w:val="24"/>
          <w:szCs w:val="24"/>
        </w:rPr>
        <w:t>ë</w:t>
      </w:r>
      <w:r w:rsidR="00113814" w:rsidRPr="004979D2">
        <w:rPr>
          <w:rFonts w:ascii="Times New Roman" w:hAnsi="Times New Roman" w:cs="Times New Roman"/>
          <w:sz w:val="24"/>
          <w:szCs w:val="24"/>
        </w:rPr>
        <w:t xml:space="preserve"> veçanta. </w:t>
      </w:r>
      <w:r w:rsidR="00E94093" w:rsidRPr="004979D2">
        <w:rPr>
          <w:rFonts w:ascii="Times New Roman" w:hAnsi="Times New Roman" w:cs="Times New Roman"/>
          <w:sz w:val="24"/>
          <w:szCs w:val="24"/>
        </w:rPr>
        <w:t xml:space="preserve"> </w:t>
      </w:r>
      <w:r w:rsidR="00973B40" w:rsidRPr="004979D2">
        <w:rPr>
          <w:rFonts w:ascii="Times New Roman" w:hAnsi="Times New Roman" w:cs="Times New Roman"/>
          <w:sz w:val="24"/>
          <w:szCs w:val="24"/>
        </w:rPr>
        <w:t>Grupi punues</w:t>
      </w:r>
      <w:r w:rsidR="0045662E" w:rsidRPr="004979D2">
        <w:rPr>
          <w:rFonts w:ascii="Times New Roman" w:hAnsi="Times New Roman" w:cs="Times New Roman"/>
          <w:sz w:val="24"/>
          <w:szCs w:val="24"/>
        </w:rPr>
        <w:t xml:space="preserve"> sqar</w:t>
      </w:r>
      <w:r w:rsidR="00973B40" w:rsidRPr="004979D2">
        <w:rPr>
          <w:rFonts w:ascii="Times New Roman" w:hAnsi="Times New Roman" w:cs="Times New Roman"/>
          <w:sz w:val="24"/>
          <w:szCs w:val="24"/>
        </w:rPr>
        <w:t>oi</w:t>
      </w:r>
      <w:r w:rsidR="0045662E" w:rsidRPr="004979D2">
        <w:rPr>
          <w:rFonts w:ascii="Times New Roman" w:hAnsi="Times New Roman" w:cs="Times New Roman"/>
          <w:sz w:val="24"/>
          <w:szCs w:val="24"/>
        </w:rPr>
        <w:t xml:space="preserve"> se aktualisht kriteret p</w:t>
      </w:r>
      <w:r w:rsidR="00973B40" w:rsidRPr="004979D2">
        <w:rPr>
          <w:rFonts w:ascii="Times New Roman" w:hAnsi="Times New Roman" w:cs="Times New Roman"/>
          <w:sz w:val="24"/>
          <w:szCs w:val="24"/>
        </w:rPr>
        <w:t>ë</w:t>
      </w:r>
      <w:r w:rsidR="0045662E" w:rsidRPr="004979D2">
        <w:rPr>
          <w:rFonts w:ascii="Times New Roman" w:hAnsi="Times New Roman" w:cs="Times New Roman"/>
          <w:sz w:val="24"/>
          <w:szCs w:val="24"/>
        </w:rPr>
        <w:t>r pozit</w:t>
      </w:r>
      <w:r w:rsidR="00973B40" w:rsidRPr="004979D2">
        <w:rPr>
          <w:rFonts w:ascii="Times New Roman" w:hAnsi="Times New Roman" w:cs="Times New Roman"/>
          <w:sz w:val="24"/>
          <w:szCs w:val="24"/>
        </w:rPr>
        <w:t>ë</w:t>
      </w:r>
      <w:r w:rsidR="0045662E" w:rsidRPr="004979D2">
        <w:rPr>
          <w:rFonts w:ascii="Times New Roman" w:hAnsi="Times New Roman" w:cs="Times New Roman"/>
          <w:sz w:val="24"/>
          <w:szCs w:val="24"/>
        </w:rPr>
        <w:t>n dominuese n</w:t>
      </w:r>
      <w:r w:rsidR="00973B40" w:rsidRPr="004979D2">
        <w:rPr>
          <w:rFonts w:ascii="Times New Roman" w:hAnsi="Times New Roman" w:cs="Times New Roman"/>
          <w:sz w:val="24"/>
          <w:szCs w:val="24"/>
        </w:rPr>
        <w:t>ë</w:t>
      </w:r>
      <w:r w:rsidR="0045662E" w:rsidRPr="004979D2">
        <w:rPr>
          <w:rFonts w:ascii="Times New Roman" w:hAnsi="Times New Roman" w:cs="Times New Roman"/>
          <w:sz w:val="24"/>
          <w:szCs w:val="24"/>
        </w:rPr>
        <w:t xml:space="preserve"> treg jan</w:t>
      </w:r>
      <w:r w:rsidR="00973B40" w:rsidRPr="004979D2">
        <w:rPr>
          <w:rFonts w:ascii="Times New Roman" w:hAnsi="Times New Roman" w:cs="Times New Roman"/>
          <w:sz w:val="24"/>
          <w:szCs w:val="24"/>
        </w:rPr>
        <w:t>ë</w:t>
      </w:r>
      <w:r w:rsidR="0045662E" w:rsidRPr="004979D2">
        <w:rPr>
          <w:rFonts w:ascii="Times New Roman" w:hAnsi="Times New Roman" w:cs="Times New Roman"/>
          <w:sz w:val="24"/>
          <w:szCs w:val="24"/>
        </w:rPr>
        <w:t xml:space="preserve"> t</w:t>
      </w:r>
      <w:r w:rsidR="00973B40" w:rsidRPr="004979D2">
        <w:rPr>
          <w:rFonts w:ascii="Times New Roman" w:hAnsi="Times New Roman" w:cs="Times New Roman"/>
          <w:sz w:val="24"/>
          <w:szCs w:val="24"/>
        </w:rPr>
        <w:t>ë</w:t>
      </w:r>
      <w:r w:rsidR="0045662E" w:rsidRPr="004979D2">
        <w:rPr>
          <w:rFonts w:ascii="Times New Roman" w:hAnsi="Times New Roman" w:cs="Times New Roman"/>
          <w:sz w:val="24"/>
          <w:szCs w:val="24"/>
        </w:rPr>
        <w:t xml:space="preserve"> p</w:t>
      </w:r>
      <w:r w:rsidR="00973B40" w:rsidRPr="004979D2">
        <w:rPr>
          <w:rFonts w:ascii="Times New Roman" w:hAnsi="Times New Roman" w:cs="Times New Roman"/>
          <w:sz w:val="24"/>
          <w:szCs w:val="24"/>
        </w:rPr>
        <w:t>ë</w:t>
      </w:r>
      <w:r w:rsidR="0045662E" w:rsidRPr="004979D2">
        <w:rPr>
          <w:rFonts w:ascii="Times New Roman" w:hAnsi="Times New Roman" w:cs="Times New Roman"/>
          <w:sz w:val="24"/>
          <w:szCs w:val="24"/>
        </w:rPr>
        <w:t>rcaktuara me nenin 10 t</w:t>
      </w:r>
      <w:r w:rsidR="00973B40" w:rsidRPr="004979D2">
        <w:rPr>
          <w:rFonts w:ascii="Times New Roman" w:hAnsi="Times New Roman" w:cs="Times New Roman"/>
          <w:sz w:val="24"/>
          <w:szCs w:val="24"/>
        </w:rPr>
        <w:t>ë</w:t>
      </w:r>
      <w:r w:rsidR="0045662E" w:rsidRPr="004979D2">
        <w:rPr>
          <w:rFonts w:ascii="Times New Roman" w:hAnsi="Times New Roman" w:cs="Times New Roman"/>
          <w:sz w:val="24"/>
          <w:szCs w:val="24"/>
        </w:rPr>
        <w:t xml:space="preserve"> ligjit aktual nr. 03/L-229 për Mbrojtjen e Konkurrencës.</w:t>
      </w:r>
    </w:p>
    <w:p w14:paraId="67B8BF9C" w14:textId="2BE0FB4D" w:rsidR="00113814" w:rsidRPr="004979D2" w:rsidRDefault="00113814"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Pjes</w:t>
      </w:r>
      <w:r w:rsidR="00973B40" w:rsidRPr="004979D2">
        <w:rPr>
          <w:rFonts w:ascii="Times New Roman" w:hAnsi="Times New Roman" w:cs="Times New Roman"/>
          <w:sz w:val="24"/>
          <w:szCs w:val="24"/>
        </w:rPr>
        <w:t>ë</w:t>
      </w:r>
      <w:r w:rsidRPr="004979D2">
        <w:rPr>
          <w:rFonts w:ascii="Times New Roman" w:hAnsi="Times New Roman" w:cs="Times New Roman"/>
          <w:sz w:val="24"/>
          <w:szCs w:val="24"/>
        </w:rPr>
        <w:t>marr</w:t>
      </w:r>
      <w:r w:rsidR="00973B40" w:rsidRPr="004979D2">
        <w:rPr>
          <w:rFonts w:ascii="Times New Roman" w:hAnsi="Times New Roman" w:cs="Times New Roman"/>
          <w:sz w:val="24"/>
          <w:szCs w:val="24"/>
        </w:rPr>
        <w:t>ë</w:t>
      </w:r>
      <w:r w:rsidRPr="004979D2">
        <w:rPr>
          <w:rFonts w:ascii="Times New Roman" w:hAnsi="Times New Roman" w:cs="Times New Roman"/>
          <w:sz w:val="24"/>
          <w:szCs w:val="24"/>
        </w:rPr>
        <w:t>sit n</w:t>
      </w:r>
      <w:r w:rsidR="00973B40" w:rsidRPr="004979D2">
        <w:rPr>
          <w:rFonts w:ascii="Times New Roman" w:hAnsi="Times New Roman" w:cs="Times New Roman"/>
          <w:sz w:val="24"/>
          <w:szCs w:val="24"/>
        </w:rPr>
        <w:t>ë</w:t>
      </w:r>
      <w:r w:rsidRPr="004979D2">
        <w:rPr>
          <w:rFonts w:ascii="Times New Roman" w:hAnsi="Times New Roman" w:cs="Times New Roman"/>
          <w:sz w:val="24"/>
          <w:szCs w:val="24"/>
        </w:rPr>
        <w:t xml:space="preserve"> takim publik diskutuan </w:t>
      </w:r>
      <w:proofErr w:type="spellStart"/>
      <w:r w:rsidRPr="004979D2">
        <w:rPr>
          <w:rFonts w:ascii="Times New Roman" w:hAnsi="Times New Roman" w:cs="Times New Roman"/>
          <w:sz w:val="24"/>
          <w:szCs w:val="24"/>
        </w:rPr>
        <w:t>poashtu</w:t>
      </w:r>
      <w:proofErr w:type="spellEnd"/>
      <w:r w:rsidRPr="004979D2">
        <w:rPr>
          <w:rFonts w:ascii="Times New Roman" w:hAnsi="Times New Roman" w:cs="Times New Roman"/>
          <w:sz w:val="24"/>
          <w:szCs w:val="24"/>
        </w:rPr>
        <w:t xml:space="preserve"> edhe </w:t>
      </w:r>
      <w:r w:rsidR="00455520" w:rsidRPr="004979D2">
        <w:rPr>
          <w:rFonts w:ascii="Times New Roman" w:hAnsi="Times New Roman" w:cs="Times New Roman"/>
          <w:sz w:val="24"/>
          <w:szCs w:val="24"/>
        </w:rPr>
        <w:t>për punën e komisionit të Autoritetit Kosovar të Konkurrencës</w:t>
      </w:r>
      <w:r w:rsidR="00664472" w:rsidRPr="004979D2">
        <w:rPr>
          <w:rFonts w:ascii="Times New Roman" w:hAnsi="Times New Roman" w:cs="Times New Roman"/>
          <w:sz w:val="24"/>
          <w:szCs w:val="24"/>
        </w:rPr>
        <w:t>,</w:t>
      </w:r>
      <w:r w:rsidR="00455520" w:rsidRPr="004979D2">
        <w:rPr>
          <w:rFonts w:ascii="Times New Roman" w:hAnsi="Times New Roman" w:cs="Times New Roman"/>
          <w:sz w:val="24"/>
          <w:szCs w:val="24"/>
        </w:rPr>
        <w:t xml:space="preserve"> </w:t>
      </w:r>
      <w:r w:rsidRPr="004979D2">
        <w:rPr>
          <w:rFonts w:ascii="Times New Roman" w:hAnsi="Times New Roman" w:cs="Times New Roman"/>
          <w:sz w:val="24"/>
          <w:szCs w:val="24"/>
        </w:rPr>
        <w:t>duke k</w:t>
      </w:r>
      <w:r w:rsidR="00973B40" w:rsidRPr="004979D2">
        <w:rPr>
          <w:rFonts w:ascii="Times New Roman" w:hAnsi="Times New Roman" w:cs="Times New Roman"/>
          <w:sz w:val="24"/>
          <w:szCs w:val="24"/>
        </w:rPr>
        <w:t>ë</w:t>
      </w:r>
      <w:r w:rsidRPr="004979D2">
        <w:rPr>
          <w:rFonts w:ascii="Times New Roman" w:hAnsi="Times New Roman" w:cs="Times New Roman"/>
          <w:sz w:val="24"/>
          <w:szCs w:val="24"/>
        </w:rPr>
        <w:t>rkuar q</w:t>
      </w:r>
      <w:r w:rsidR="00973B40" w:rsidRPr="004979D2">
        <w:rPr>
          <w:rFonts w:ascii="Times New Roman" w:hAnsi="Times New Roman" w:cs="Times New Roman"/>
          <w:sz w:val="24"/>
          <w:szCs w:val="24"/>
        </w:rPr>
        <w:t>ë</w:t>
      </w:r>
      <w:r w:rsidRPr="004979D2">
        <w:rPr>
          <w:rFonts w:ascii="Times New Roman" w:hAnsi="Times New Roman" w:cs="Times New Roman"/>
          <w:sz w:val="24"/>
          <w:szCs w:val="24"/>
        </w:rPr>
        <w:t xml:space="preserve"> ai</w:t>
      </w:r>
      <w:r w:rsidR="00455520" w:rsidRPr="004979D2">
        <w:rPr>
          <w:rFonts w:ascii="Times New Roman" w:hAnsi="Times New Roman" w:cs="Times New Roman"/>
          <w:sz w:val="24"/>
          <w:szCs w:val="24"/>
        </w:rPr>
        <w:t xml:space="preserve"> të ketë rol ekzekutiv</w:t>
      </w:r>
      <w:r w:rsidR="00664472" w:rsidRPr="004979D2">
        <w:rPr>
          <w:rFonts w:ascii="Times New Roman" w:hAnsi="Times New Roman" w:cs="Times New Roman"/>
          <w:sz w:val="24"/>
          <w:szCs w:val="24"/>
        </w:rPr>
        <w:t xml:space="preserve">, </w:t>
      </w:r>
      <w:r w:rsidR="00455520" w:rsidRPr="004979D2">
        <w:rPr>
          <w:rFonts w:ascii="Times New Roman" w:hAnsi="Times New Roman" w:cs="Times New Roman"/>
          <w:sz w:val="24"/>
          <w:szCs w:val="24"/>
        </w:rPr>
        <w:t xml:space="preserve"> </w:t>
      </w:r>
      <w:r w:rsidR="00664472" w:rsidRPr="004979D2">
        <w:rPr>
          <w:rFonts w:ascii="Times New Roman" w:hAnsi="Times New Roman" w:cs="Times New Roman"/>
          <w:sz w:val="24"/>
          <w:szCs w:val="24"/>
        </w:rPr>
        <w:t xml:space="preserve">si </w:t>
      </w:r>
      <w:r w:rsidR="00455520" w:rsidRPr="004979D2">
        <w:rPr>
          <w:rFonts w:ascii="Times New Roman" w:hAnsi="Times New Roman" w:cs="Times New Roman"/>
          <w:sz w:val="24"/>
          <w:szCs w:val="24"/>
        </w:rPr>
        <w:t>dhe</w:t>
      </w:r>
      <w:r w:rsidR="00664472" w:rsidRPr="004979D2">
        <w:rPr>
          <w:rFonts w:ascii="Times New Roman" w:hAnsi="Times New Roman" w:cs="Times New Roman"/>
          <w:sz w:val="24"/>
          <w:szCs w:val="24"/>
        </w:rPr>
        <w:t xml:space="preserve"> që</w:t>
      </w:r>
      <w:r w:rsidR="00455520" w:rsidRPr="004979D2">
        <w:rPr>
          <w:rFonts w:ascii="Times New Roman" w:hAnsi="Times New Roman" w:cs="Times New Roman"/>
          <w:sz w:val="24"/>
          <w:szCs w:val="24"/>
        </w:rPr>
        <w:t xml:space="preserve"> komisioni aktual të vazhdojë punën deri</w:t>
      </w:r>
      <w:r w:rsidR="00FA3EFA" w:rsidRPr="004979D2">
        <w:rPr>
          <w:rFonts w:ascii="Times New Roman" w:hAnsi="Times New Roman" w:cs="Times New Roman"/>
          <w:sz w:val="24"/>
          <w:szCs w:val="24"/>
        </w:rPr>
        <w:t xml:space="preserve"> në formimin e komisionit të ri</w:t>
      </w:r>
      <w:r w:rsidRPr="004979D2">
        <w:rPr>
          <w:rFonts w:ascii="Times New Roman" w:hAnsi="Times New Roman" w:cs="Times New Roman"/>
          <w:sz w:val="24"/>
          <w:szCs w:val="24"/>
        </w:rPr>
        <w:t>, n</w:t>
      </w:r>
      <w:r w:rsidR="00973B40" w:rsidRPr="004979D2">
        <w:rPr>
          <w:rFonts w:ascii="Times New Roman" w:hAnsi="Times New Roman" w:cs="Times New Roman"/>
          <w:sz w:val="24"/>
          <w:szCs w:val="24"/>
        </w:rPr>
        <w:t>ë</w:t>
      </w:r>
      <w:r w:rsidRPr="004979D2">
        <w:rPr>
          <w:rFonts w:ascii="Times New Roman" w:hAnsi="Times New Roman" w:cs="Times New Roman"/>
          <w:sz w:val="24"/>
          <w:szCs w:val="24"/>
        </w:rPr>
        <w:t xml:space="preserve"> </w:t>
      </w:r>
      <w:r w:rsidR="001E4F07" w:rsidRPr="004979D2">
        <w:rPr>
          <w:rFonts w:ascii="Times New Roman" w:hAnsi="Times New Roman" w:cs="Times New Roman"/>
          <w:sz w:val="24"/>
          <w:szCs w:val="24"/>
        </w:rPr>
        <w:t>m</w:t>
      </w:r>
      <w:r w:rsidR="00973B40" w:rsidRPr="004979D2">
        <w:rPr>
          <w:rFonts w:ascii="Times New Roman" w:hAnsi="Times New Roman" w:cs="Times New Roman"/>
          <w:sz w:val="24"/>
          <w:szCs w:val="24"/>
        </w:rPr>
        <w:t>ë</w:t>
      </w:r>
      <w:r w:rsidR="001E4F07" w:rsidRPr="004979D2">
        <w:rPr>
          <w:rFonts w:ascii="Times New Roman" w:hAnsi="Times New Roman" w:cs="Times New Roman"/>
          <w:sz w:val="24"/>
          <w:szCs w:val="24"/>
        </w:rPr>
        <w:t>nyr</w:t>
      </w:r>
      <w:r w:rsidR="00973B40" w:rsidRPr="004979D2">
        <w:rPr>
          <w:rFonts w:ascii="Times New Roman" w:hAnsi="Times New Roman" w:cs="Times New Roman"/>
          <w:sz w:val="24"/>
          <w:szCs w:val="24"/>
        </w:rPr>
        <w:t>ë</w:t>
      </w:r>
      <w:r w:rsidR="001E4F07" w:rsidRPr="004979D2">
        <w:rPr>
          <w:rFonts w:ascii="Times New Roman" w:hAnsi="Times New Roman" w:cs="Times New Roman"/>
          <w:sz w:val="24"/>
          <w:szCs w:val="24"/>
        </w:rPr>
        <w:t xml:space="preserve"> q</w:t>
      </w:r>
      <w:r w:rsidR="00973B40" w:rsidRPr="004979D2">
        <w:rPr>
          <w:rFonts w:ascii="Times New Roman" w:hAnsi="Times New Roman" w:cs="Times New Roman"/>
          <w:sz w:val="24"/>
          <w:szCs w:val="24"/>
        </w:rPr>
        <w:t>ë</w:t>
      </w:r>
      <w:r w:rsidR="001E4F07" w:rsidRPr="004979D2">
        <w:rPr>
          <w:rFonts w:ascii="Times New Roman" w:hAnsi="Times New Roman" w:cs="Times New Roman"/>
          <w:sz w:val="24"/>
          <w:szCs w:val="24"/>
        </w:rPr>
        <w:t xml:space="preserve"> t</w:t>
      </w:r>
      <w:r w:rsidR="00973B40" w:rsidRPr="004979D2">
        <w:rPr>
          <w:rFonts w:ascii="Times New Roman" w:hAnsi="Times New Roman" w:cs="Times New Roman"/>
          <w:sz w:val="24"/>
          <w:szCs w:val="24"/>
        </w:rPr>
        <w:t>ë</w:t>
      </w:r>
      <w:r w:rsidR="001E4F07" w:rsidRPr="004979D2">
        <w:rPr>
          <w:rFonts w:ascii="Times New Roman" w:hAnsi="Times New Roman" w:cs="Times New Roman"/>
          <w:sz w:val="24"/>
          <w:szCs w:val="24"/>
        </w:rPr>
        <w:t xml:space="preserve"> mos bllokohet puna e AKK-s</w:t>
      </w:r>
      <w:r w:rsidR="00973B40" w:rsidRPr="004979D2">
        <w:rPr>
          <w:rFonts w:ascii="Times New Roman" w:hAnsi="Times New Roman" w:cs="Times New Roman"/>
          <w:sz w:val="24"/>
          <w:szCs w:val="24"/>
        </w:rPr>
        <w:t>ë</w:t>
      </w:r>
      <w:r w:rsidR="001E4F07" w:rsidRPr="004979D2">
        <w:rPr>
          <w:rFonts w:ascii="Times New Roman" w:hAnsi="Times New Roman" w:cs="Times New Roman"/>
          <w:sz w:val="24"/>
          <w:szCs w:val="24"/>
        </w:rPr>
        <w:t xml:space="preserve"> n</w:t>
      </w:r>
      <w:r w:rsidR="00973B40" w:rsidRPr="004979D2">
        <w:rPr>
          <w:rFonts w:ascii="Times New Roman" w:hAnsi="Times New Roman" w:cs="Times New Roman"/>
          <w:sz w:val="24"/>
          <w:szCs w:val="24"/>
        </w:rPr>
        <w:t>ë</w:t>
      </w:r>
      <w:r w:rsidR="001E4F07" w:rsidRPr="004979D2">
        <w:rPr>
          <w:rFonts w:ascii="Times New Roman" w:hAnsi="Times New Roman" w:cs="Times New Roman"/>
          <w:sz w:val="24"/>
          <w:szCs w:val="24"/>
        </w:rPr>
        <w:t xml:space="preserve"> pritje t</w:t>
      </w:r>
      <w:r w:rsidR="00973B40" w:rsidRPr="004979D2">
        <w:rPr>
          <w:rFonts w:ascii="Times New Roman" w:hAnsi="Times New Roman" w:cs="Times New Roman"/>
          <w:sz w:val="24"/>
          <w:szCs w:val="24"/>
        </w:rPr>
        <w:t>ë</w:t>
      </w:r>
      <w:r w:rsidR="001E4F07" w:rsidRPr="004979D2">
        <w:rPr>
          <w:rFonts w:ascii="Times New Roman" w:hAnsi="Times New Roman" w:cs="Times New Roman"/>
          <w:sz w:val="24"/>
          <w:szCs w:val="24"/>
        </w:rPr>
        <w:t xml:space="preserve"> votimit t</w:t>
      </w:r>
      <w:r w:rsidR="00973B40" w:rsidRPr="004979D2">
        <w:rPr>
          <w:rFonts w:ascii="Times New Roman" w:hAnsi="Times New Roman" w:cs="Times New Roman"/>
          <w:sz w:val="24"/>
          <w:szCs w:val="24"/>
        </w:rPr>
        <w:t>ë</w:t>
      </w:r>
      <w:r w:rsidR="001E4F07" w:rsidRPr="004979D2">
        <w:rPr>
          <w:rFonts w:ascii="Times New Roman" w:hAnsi="Times New Roman" w:cs="Times New Roman"/>
          <w:sz w:val="24"/>
          <w:szCs w:val="24"/>
        </w:rPr>
        <w:t xml:space="preserve"> an</w:t>
      </w:r>
      <w:r w:rsidR="00973B40" w:rsidRPr="004979D2">
        <w:rPr>
          <w:rFonts w:ascii="Times New Roman" w:hAnsi="Times New Roman" w:cs="Times New Roman"/>
          <w:sz w:val="24"/>
          <w:szCs w:val="24"/>
        </w:rPr>
        <w:t>ë</w:t>
      </w:r>
      <w:r w:rsidR="001E4F07" w:rsidRPr="004979D2">
        <w:rPr>
          <w:rFonts w:ascii="Times New Roman" w:hAnsi="Times New Roman" w:cs="Times New Roman"/>
          <w:sz w:val="24"/>
          <w:szCs w:val="24"/>
        </w:rPr>
        <w:t>tar</w:t>
      </w:r>
      <w:r w:rsidR="00973B40" w:rsidRPr="004979D2">
        <w:rPr>
          <w:rFonts w:ascii="Times New Roman" w:hAnsi="Times New Roman" w:cs="Times New Roman"/>
          <w:sz w:val="24"/>
          <w:szCs w:val="24"/>
        </w:rPr>
        <w:t>ë</w:t>
      </w:r>
      <w:r w:rsidR="001E4F07" w:rsidRPr="004979D2">
        <w:rPr>
          <w:rFonts w:ascii="Times New Roman" w:hAnsi="Times New Roman" w:cs="Times New Roman"/>
          <w:sz w:val="24"/>
          <w:szCs w:val="24"/>
        </w:rPr>
        <w:t>ve t</w:t>
      </w:r>
      <w:r w:rsidR="00973B40" w:rsidRPr="004979D2">
        <w:rPr>
          <w:rFonts w:ascii="Times New Roman" w:hAnsi="Times New Roman" w:cs="Times New Roman"/>
          <w:sz w:val="24"/>
          <w:szCs w:val="24"/>
        </w:rPr>
        <w:t>ë</w:t>
      </w:r>
      <w:r w:rsidR="001E4F07" w:rsidRPr="004979D2">
        <w:rPr>
          <w:rFonts w:ascii="Times New Roman" w:hAnsi="Times New Roman" w:cs="Times New Roman"/>
          <w:sz w:val="24"/>
          <w:szCs w:val="24"/>
        </w:rPr>
        <w:t xml:space="preserve"> ri t</w:t>
      </w:r>
      <w:r w:rsidR="00973B40" w:rsidRPr="004979D2">
        <w:rPr>
          <w:rFonts w:ascii="Times New Roman" w:hAnsi="Times New Roman" w:cs="Times New Roman"/>
          <w:sz w:val="24"/>
          <w:szCs w:val="24"/>
        </w:rPr>
        <w:t>ë</w:t>
      </w:r>
      <w:r w:rsidR="001E4F07" w:rsidRPr="004979D2">
        <w:rPr>
          <w:rFonts w:ascii="Times New Roman" w:hAnsi="Times New Roman" w:cs="Times New Roman"/>
          <w:sz w:val="24"/>
          <w:szCs w:val="24"/>
        </w:rPr>
        <w:t xml:space="preserve"> komisionit nga Kuvendi i Kosov</w:t>
      </w:r>
      <w:r w:rsidR="00973B40" w:rsidRPr="004979D2">
        <w:rPr>
          <w:rFonts w:ascii="Times New Roman" w:hAnsi="Times New Roman" w:cs="Times New Roman"/>
          <w:sz w:val="24"/>
          <w:szCs w:val="24"/>
        </w:rPr>
        <w:t>ë</w:t>
      </w:r>
      <w:r w:rsidR="001E4F07" w:rsidRPr="004979D2">
        <w:rPr>
          <w:rFonts w:ascii="Times New Roman" w:hAnsi="Times New Roman" w:cs="Times New Roman"/>
          <w:sz w:val="24"/>
          <w:szCs w:val="24"/>
        </w:rPr>
        <w:t>s.</w:t>
      </w:r>
    </w:p>
    <w:p w14:paraId="250D7D39" w14:textId="2E407545" w:rsidR="0045662E" w:rsidRPr="004979D2" w:rsidRDefault="0045662E"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Rekomandime u dhan</w:t>
      </w:r>
      <w:r w:rsidR="00973B40" w:rsidRPr="004979D2">
        <w:rPr>
          <w:rFonts w:ascii="Times New Roman" w:hAnsi="Times New Roman" w:cs="Times New Roman"/>
          <w:sz w:val="24"/>
          <w:szCs w:val="24"/>
        </w:rPr>
        <w:t>ë</w:t>
      </w:r>
      <w:r w:rsidRPr="004979D2">
        <w:rPr>
          <w:rFonts w:ascii="Times New Roman" w:hAnsi="Times New Roman" w:cs="Times New Roman"/>
          <w:sz w:val="24"/>
          <w:szCs w:val="24"/>
        </w:rPr>
        <w:t xml:space="preserve"> edhe p</w:t>
      </w:r>
      <w:r w:rsidR="00973B40" w:rsidRPr="004979D2">
        <w:rPr>
          <w:rFonts w:ascii="Times New Roman" w:hAnsi="Times New Roman" w:cs="Times New Roman"/>
          <w:sz w:val="24"/>
          <w:szCs w:val="24"/>
        </w:rPr>
        <w:t>ë</w:t>
      </w:r>
      <w:r w:rsidRPr="004979D2">
        <w:rPr>
          <w:rFonts w:ascii="Times New Roman" w:hAnsi="Times New Roman" w:cs="Times New Roman"/>
          <w:sz w:val="24"/>
          <w:szCs w:val="24"/>
        </w:rPr>
        <w:t>r shkurtimin e afateve p</w:t>
      </w:r>
      <w:r w:rsidR="00973B40" w:rsidRPr="004979D2">
        <w:rPr>
          <w:rFonts w:ascii="Times New Roman" w:hAnsi="Times New Roman" w:cs="Times New Roman"/>
          <w:sz w:val="24"/>
          <w:szCs w:val="24"/>
        </w:rPr>
        <w:t>ë</w:t>
      </w:r>
      <w:r w:rsidRPr="004979D2">
        <w:rPr>
          <w:rFonts w:ascii="Times New Roman" w:hAnsi="Times New Roman" w:cs="Times New Roman"/>
          <w:sz w:val="24"/>
          <w:szCs w:val="24"/>
        </w:rPr>
        <w:t>r procedurat e vendimmarrjes n</w:t>
      </w:r>
      <w:r w:rsidR="00973B40" w:rsidRPr="004979D2">
        <w:rPr>
          <w:rFonts w:ascii="Times New Roman" w:hAnsi="Times New Roman" w:cs="Times New Roman"/>
          <w:sz w:val="24"/>
          <w:szCs w:val="24"/>
        </w:rPr>
        <w:t>ë</w:t>
      </w:r>
      <w:r w:rsidRPr="004979D2">
        <w:rPr>
          <w:rFonts w:ascii="Times New Roman" w:hAnsi="Times New Roman" w:cs="Times New Roman"/>
          <w:sz w:val="24"/>
          <w:szCs w:val="24"/>
        </w:rPr>
        <w:t xml:space="preserve"> AKK si dhe krijimin e </w:t>
      </w:r>
      <w:proofErr w:type="spellStart"/>
      <w:r w:rsidRPr="004979D2">
        <w:rPr>
          <w:rFonts w:ascii="Times New Roman" w:hAnsi="Times New Roman" w:cs="Times New Roman"/>
          <w:sz w:val="24"/>
          <w:szCs w:val="24"/>
        </w:rPr>
        <w:t>dyshkallshm</w:t>
      </w:r>
      <w:r w:rsidR="00973B40" w:rsidRPr="004979D2">
        <w:rPr>
          <w:rFonts w:ascii="Times New Roman" w:hAnsi="Times New Roman" w:cs="Times New Roman"/>
          <w:sz w:val="24"/>
          <w:szCs w:val="24"/>
        </w:rPr>
        <w:t>ë</w:t>
      </w:r>
      <w:r w:rsidRPr="004979D2">
        <w:rPr>
          <w:rFonts w:ascii="Times New Roman" w:hAnsi="Times New Roman" w:cs="Times New Roman"/>
          <w:sz w:val="24"/>
          <w:szCs w:val="24"/>
        </w:rPr>
        <w:t>ris</w:t>
      </w:r>
      <w:r w:rsidR="00973B40" w:rsidRPr="004979D2">
        <w:rPr>
          <w:rFonts w:ascii="Times New Roman" w:hAnsi="Times New Roman" w:cs="Times New Roman"/>
          <w:sz w:val="24"/>
          <w:szCs w:val="24"/>
        </w:rPr>
        <w:t>ë</w:t>
      </w:r>
      <w:proofErr w:type="spellEnd"/>
      <w:r w:rsidRPr="004979D2">
        <w:rPr>
          <w:rFonts w:ascii="Times New Roman" w:hAnsi="Times New Roman" w:cs="Times New Roman"/>
          <w:sz w:val="24"/>
          <w:szCs w:val="24"/>
        </w:rPr>
        <w:t xml:space="preserve"> brenda k</w:t>
      </w:r>
      <w:r w:rsidR="00973B40" w:rsidRPr="004979D2">
        <w:rPr>
          <w:rFonts w:ascii="Times New Roman" w:hAnsi="Times New Roman" w:cs="Times New Roman"/>
          <w:sz w:val="24"/>
          <w:szCs w:val="24"/>
        </w:rPr>
        <w:t>ë</w:t>
      </w:r>
      <w:r w:rsidRPr="004979D2">
        <w:rPr>
          <w:rFonts w:ascii="Times New Roman" w:hAnsi="Times New Roman" w:cs="Times New Roman"/>
          <w:sz w:val="24"/>
          <w:szCs w:val="24"/>
        </w:rPr>
        <w:t>tij institucioni.</w:t>
      </w:r>
    </w:p>
    <w:p w14:paraId="31EC6741" w14:textId="369A9CDD" w:rsidR="00455520" w:rsidRPr="004979D2" w:rsidRDefault="00455520"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Grupi punues ka zhvilluar edhe konsultimet paraprake në përputhje me nenin 7 të Rregullores së Punës se </w:t>
      </w:r>
      <w:r w:rsidR="00A02410" w:rsidRPr="004979D2">
        <w:rPr>
          <w:rFonts w:ascii="Times New Roman" w:hAnsi="Times New Roman" w:cs="Times New Roman"/>
          <w:sz w:val="24"/>
          <w:szCs w:val="24"/>
        </w:rPr>
        <w:t>Qeverisë, ku gjatë periudhës 12.12.2018 deri më 08.01.2019 janë pranuar komente nga Agjencia për Barazi Gjinore</w:t>
      </w:r>
      <w:r w:rsidR="00BB6F39" w:rsidRPr="004979D2">
        <w:rPr>
          <w:rFonts w:ascii="Times New Roman" w:hAnsi="Times New Roman" w:cs="Times New Roman"/>
          <w:sz w:val="24"/>
          <w:szCs w:val="24"/>
        </w:rPr>
        <w:t xml:space="preserve"> dhe Sekretariati Koordinues i Qever</w:t>
      </w:r>
      <w:r w:rsidR="00E152BB" w:rsidRPr="004979D2">
        <w:rPr>
          <w:rFonts w:ascii="Times New Roman" w:hAnsi="Times New Roman" w:cs="Times New Roman"/>
          <w:sz w:val="24"/>
          <w:szCs w:val="24"/>
        </w:rPr>
        <w:t xml:space="preserve">isë, në kuadër të </w:t>
      </w:r>
      <w:proofErr w:type="spellStart"/>
      <w:r w:rsidR="00E152BB" w:rsidRPr="004979D2">
        <w:rPr>
          <w:rFonts w:ascii="Times New Roman" w:hAnsi="Times New Roman" w:cs="Times New Roman"/>
          <w:sz w:val="24"/>
          <w:szCs w:val="24"/>
        </w:rPr>
        <w:t>Zyres</w:t>
      </w:r>
      <w:proofErr w:type="spellEnd"/>
      <w:r w:rsidR="00E152BB" w:rsidRPr="004979D2">
        <w:rPr>
          <w:rFonts w:ascii="Times New Roman" w:hAnsi="Times New Roman" w:cs="Times New Roman"/>
          <w:sz w:val="24"/>
          <w:szCs w:val="24"/>
        </w:rPr>
        <w:t xml:space="preserve"> së </w:t>
      </w:r>
      <w:r w:rsidR="00E152BB" w:rsidRPr="004979D2">
        <w:rPr>
          <w:rFonts w:ascii="Times New Roman" w:hAnsi="Times New Roman" w:cs="Times New Roman"/>
          <w:sz w:val="24"/>
          <w:szCs w:val="24"/>
        </w:rPr>
        <w:lastRenderedPageBreak/>
        <w:t>Kryeministrit</w:t>
      </w:r>
      <w:r w:rsidR="00335108" w:rsidRPr="004979D2">
        <w:rPr>
          <w:rFonts w:ascii="Times New Roman" w:hAnsi="Times New Roman" w:cs="Times New Roman"/>
          <w:sz w:val="24"/>
          <w:szCs w:val="24"/>
        </w:rPr>
        <w:t xml:space="preserve">. Komentet e tyre kanë trajtuar </w:t>
      </w:r>
      <w:r w:rsidR="00CF30CE" w:rsidRPr="004979D2">
        <w:rPr>
          <w:rFonts w:ascii="Times New Roman" w:hAnsi="Times New Roman" w:cs="Times New Roman"/>
          <w:sz w:val="24"/>
          <w:szCs w:val="24"/>
        </w:rPr>
        <w:t>t</w:t>
      </w:r>
      <w:r w:rsidR="009F32E5" w:rsidRPr="004979D2">
        <w:rPr>
          <w:rFonts w:ascii="Times New Roman" w:hAnsi="Times New Roman" w:cs="Times New Roman"/>
          <w:sz w:val="24"/>
          <w:szCs w:val="24"/>
        </w:rPr>
        <w:t>erminologjinë e përdorur në përcaktimin e çështjes kryesore</w:t>
      </w:r>
      <w:r w:rsidR="00335108" w:rsidRPr="004979D2">
        <w:rPr>
          <w:rFonts w:ascii="Times New Roman" w:hAnsi="Times New Roman" w:cs="Times New Roman"/>
          <w:sz w:val="24"/>
          <w:szCs w:val="24"/>
        </w:rPr>
        <w:t>, përfshirë terminologjinë</w:t>
      </w:r>
      <w:r w:rsidR="009F32E5" w:rsidRPr="004979D2">
        <w:rPr>
          <w:rFonts w:ascii="Times New Roman" w:hAnsi="Times New Roman" w:cs="Times New Roman"/>
          <w:sz w:val="24"/>
          <w:szCs w:val="24"/>
        </w:rPr>
        <w:t xml:space="preserve"> juridik</w:t>
      </w:r>
      <w:r w:rsidR="00335108" w:rsidRPr="004979D2">
        <w:rPr>
          <w:rFonts w:ascii="Times New Roman" w:hAnsi="Times New Roman" w:cs="Times New Roman"/>
          <w:sz w:val="24"/>
          <w:szCs w:val="24"/>
        </w:rPr>
        <w:t>e</w:t>
      </w:r>
      <w:r w:rsidR="009F32E5" w:rsidRPr="004979D2">
        <w:rPr>
          <w:rFonts w:ascii="Times New Roman" w:hAnsi="Times New Roman" w:cs="Times New Roman"/>
          <w:sz w:val="24"/>
          <w:szCs w:val="24"/>
        </w:rPr>
        <w:t xml:space="preserve"> të përdorur në ligj,</w:t>
      </w:r>
      <w:r w:rsidR="00BB6F39" w:rsidRPr="004979D2">
        <w:rPr>
          <w:rFonts w:ascii="Times New Roman" w:hAnsi="Times New Roman" w:cs="Times New Roman"/>
          <w:sz w:val="24"/>
          <w:szCs w:val="24"/>
        </w:rPr>
        <w:t xml:space="preserve"> aspekte teknike rreth KD dhe përputhshmërisë me </w:t>
      </w:r>
      <w:r w:rsidR="00335108" w:rsidRPr="004979D2">
        <w:rPr>
          <w:rFonts w:ascii="Times New Roman" w:hAnsi="Times New Roman" w:cs="Times New Roman"/>
          <w:sz w:val="24"/>
          <w:szCs w:val="24"/>
        </w:rPr>
        <w:t>U</w:t>
      </w:r>
      <w:r w:rsidR="00BB6F39" w:rsidRPr="004979D2">
        <w:rPr>
          <w:rFonts w:ascii="Times New Roman" w:hAnsi="Times New Roman" w:cs="Times New Roman"/>
          <w:sz w:val="24"/>
          <w:szCs w:val="24"/>
        </w:rPr>
        <w:t xml:space="preserve">dhëzuesin </w:t>
      </w:r>
      <w:r w:rsidR="00335108" w:rsidRPr="004979D2">
        <w:rPr>
          <w:rFonts w:ascii="Times New Roman" w:hAnsi="Times New Roman" w:cs="Times New Roman"/>
          <w:sz w:val="24"/>
          <w:szCs w:val="24"/>
        </w:rPr>
        <w:t xml:space="preserve">për hartimin </w:t>
      </w:r>
      <w:r w:rsidR="00BB6F39" w:rsidRPr="004979D2">
        <w:rPr>
          <w:rFonts w:ascii="Times New Roman" w:hAnsi="Times New Roman" w:cs="Times New Roman"/>
          <w:sz w:val="24"/>
          <w:szCs w:val="24"/>
        </w:rPr>
        <w:t xml:space="preserve">e </w:t>
      </w:r>
      <w:r w:rsidR="00335108" w:rsidRPr="004979D2">
        <w:rPr>
          <w:rFonts w:ascii="Times New Roman" w:hAnsi="Times New Roman" w:cs="Times New Roman"/>
          <w:sz w:val="24"/>
          <w:szCs w:val="24"/>
        </w:rPr>
        <w:t>K</w:t>
      </w:r>
      <w:r w:rsidR="00BB6F39" w:rsidRPr="004979D2">
        <w:rPr>
          <w:rFonts w:ascii="Times New Roman" w:hAnsi="Times New Roman" w:cs="Times New Roman"/>
          <w:sz w:val="24"/>
          <w:szCs w:val="24"/>
        </w:rPr>
        <w:t xml:space="preserve">oncept </w:t>
      </w:r>
      <w:r w:rsidR="00335108" w:rsidRPr="004979D2">
        <w:rPr>
          <w:rFonts w:ascii="Times New Roman" w:hAnsi="Times New Roman" w:cs="Times New Roman"/>
          <w:sz w:val="24"/>
          <w:szCs w:val="24"/>
        </w:rPr>
        <w:t>D</w:t>
      </w:r>
      <w:r w:rsidR="00BB6F39" w:rsidRPr="004979D2">
        <w:rPr>
          <w:rFonts w:ascii="Times New Roman" w:hAnsi="Times New Roman" w:cs="Times New Roman"/>
          <w:sz w:val="24"/>
          <w:szCs w:val="24"/>
        </w:rPr>
        <w:t>okumenteve,</w:t>
      </w:r>
      <w:r w:rsidR="009F32E5" w:rsidRPr="004979D2">
        <w:rPr>
          <w:rFonts w:ascii="Times New Roman" w:hAnsi="Times New Roman" w:cs="Times New Roman"/>
          <w:sz w:val="24"/>
          <w:szCs w:val="24"/>
        </w:rPr>
        <w:t xml:space="preserve"> rekomandime që kishin të bëjnë me pragun që përcakton pozitën dominuese, si dhe komente në lidhje me kapitullin e identifikimit dhe vlerësimit të ndikimeve të ardhshm</w:t>
      </w:r>
      <w:r w:rsidR="00335108" w:rsidRPr="004979D2">
        <w:rPr>
          <w:rFonts w:ascii="Times New Roman" w:hAnsi="Times New Roman" w:cs="Times New Roman"/>
          <w:sz w:val="24"/>
          <w:szCs w:val="24"/>
        </w:rPr>
        <w:t>e</w:t>
      </w:r>
      <w:r w:rsidR="009F32E5" w:rsidRPr="004979D2">
        <w:rPr>
          <w:rFonts w:ascii="Times New Roman" w:hAnsi="Times New Roman" w:cs="Times New Roman"/>
          <w:sz w:val="24"/>
          <w:szCs w:val="24"/>
        </w:rPr>
        <w:t xml:space="preserve">. </w:t>
      </w:r>
    </w:p>
    <w:p w14:paraId="5541F544" w14:textId="7FC693E3" w:rsidR="00455520" w:rsidRPr="004979D2" w:rsidRDefault="00455520"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Gjithashtu palët e interesit dhe publiku i gjerë kanë pasur mundësinë që të kontribuojnë në zhvillimin e mëtutjeshëm të këtij </w:t>
      </w:r>
      <w:r w:rsidR="00335108" w:rsidRPr="004979D2">
        <w:rPr>
          <w:rFonts w:ascii="Times New Roman" w:hAnsi="Times New Roman" w:cs="Times New Roman"/>
          <w:sz w:val="24"/>
          <w:szCs w:val="24"/>
        </w:rPr>
        <w:t>K</w:t>
      </w:r>
      <w:r w:rsidRPr="004979D2">
        <w:rPr>
          <w:rFonts w:ascii="Times New Roman" w:hAnsi="Times New Roman" w:cs="Times New Roman"/>
          <w:sz w:val="24"/>
          <w:szCs w:val="24"/>
        </w:rPr>
        <w:t xml:space="preserve">oncept </w:t>
      </w:r>
      <w:r w:rsidR="00335108" w:rsidRPr="004979D2">
        <w:rPr>
          <w:rFonts w:ascii="Times New Roman" w:hAnsi="Times New Roman" w:cs="Times New Roman"/>
          <w:sz w:val="24"/>
          <w:szCs w:val="24"/>
        </w:rPr>
        <w:t>D</w:t>
      </w:r>
      <w:r w:rsidRPr="004979D2">
        <w:rPr>
          <w:rFonts w:ascii="Times New Roman" w:hAnsi="Times New Roman" w:cs="Times New Roman"/>
          <w:sz w:val="24"/>
          <w:szCs w:val="24"/>
        </w:rPr>
        <w:t xml:space="preserve">okumenti, përmes konsultimeve në platformën </w:t>
      </w:r>
      <w:proofErr w:type="spellStart"/>
      <w:r w:rsidRPr="004979D2">
        <w:rPr>
          <w:rFonts w:ascii="Times New Roman" w:hAnsi="Times New Roman" w:cs="Times New Roman"/>
          <w:sz w:val="24"/>
          <w:szCs w:val="24"/>
        </w:rPr>
        <w:t>online</w:t>
      </w:r>
      <w:proofErr w:type="spellEnd"/>
      <w:r w:rsidR="00335108" w:rsidRPr="004979D2">
        <w:rPr>
          <w:rFonts w:ascii="Times New Roman" w:hAnsi="Times New Roman" w:cs="Times New Roman"/>
          <w:sz w:val="24"/>
          <w:szCs w:val="24"/>
        </w:rPr>
        <w:t xml:space="preserve">. Dokumenti ka qenë i hapur për komente </w:t>
      </w:r>
      <w:r w:rsidR="00CF30CE" w:rsidRPr="004979D2">
        <w:rPr>
          <w:rFonts w:ascii="Times New Roman" w:hAnsi="Times New Roman" w:cs="Times New Roman"/>
          <w:sz w:val="24"/>
          <w:szCs w:val="24"/>
        </w:rPr>
        <w:t>gjatë periudhës 12.12.2018 - 08.01.2019</w:t>
      </w:r>
      <w:r w:rsidR="00335108" w:rsidRPr="004979D2">
        <w:rPr>
          <w:rFonts w:ascii="Times New Roman" w:hAnsi="Times New Roman" w:cs="Times New Roman"/>
          <w:sz w:val="24"/>
          <w:szCs w:val="24"/>
        </w:rPr>
        <w:t xml:space="preserve">, </w:t>
      </w:r>
      <w:r w:rsidR="00CF30CE" w:rsidRPr="004979D2">
        <w:rPr>
          <w:rFonts w:ascii="Times New Roman" w:hAnsi="Times New Roman" w:cs="Times New Roman"/>
          <w:sz w:val="24"/>
          <w:szCs w:val="24"/>
        </w:rPr>
        <w:t xml:space="preserve">megjithatë për afatin kohor prej 15 ditë pune nuk është pranuar asnjë kontribut nga pjesëmarrësit.  </w:t>
      </w:r>
    </w:p>
    <w:p w14:paraId="5E6B0493" w14:textId="00246E72" w:rsidR="00455520" w:rsidRPr="004979D2" w:rsidRDefault="00455520"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Më shumë detaje lidhur me </w:t>
      </w:r>
      <w:r w:rsidR="004E33B6" w:rsidRPr="004979D2">
        <w:rPr>
          <w:rFonts w:ascii="Times New Roman" w:hAnsi="Times New Roman" w:cs="Times New Roman"/>
          <w:sz w:val="24"/>
          <w:szCs w:val="24"/>
        </w:rPr>
        <w:t xml:space="preserve">këtë proces </w:t>
      </w:r>
      <w:r w:rsidRPr="004979D2">
        <w:rPr>
          <w:rFonts w:ascii="Times New Roman" w:hAnsi="Times New Roman" w:cs="Times New Roman"/>
          <w:sz w:val="24"/>
          <w:szCs w:val="24"/>
        </w:rPr>
        <w:t xml:space="preserve">janë paraqitur në raportin përfundimtar të konsultimeve publike. Raporti është pjesë e dokumenteve përcjellëse të Koncept Dokumentit në fushën e konkurrencën dhe i qasshëm për publikun në platformën </w:t>
      </w:r>
      <w:proofErr w:type="spellStart"/>
      <w:r w:rsidRPr="004979D2">
        <w:rPr>
          <w:rFonts w:ascii="Times New Roman" w:hAnsi="Times New Roman" w:cs="Times New Roman"/>
          <w:sz w:val="24"/>
          <w:szCs w:val="24"/>
        </w:rPr>
        <w:t>online</w:t>
      </w:r>
      <w:proofErr w:type="spellEnd"/>
      <w:r w:rsidRPr="004979D2">
        <w:rPr>
          <w:rFonts w:ascii="Times New Roman" w:hAnsi="Times New Roman" w:cs="Times New Roman"/>
          <w:sz w:val="24"/>
          <w:szCs w:val="24"/>
        </w:rPr>
        <w:t xml:space="preserve"> të konsultimeve (</w:t>
      </w:r>
      <w:hyperlink r:id="rId35" w:history="1">
        <w:r w:rsidR="004E33B6" w:rsidRPr="004979D2">
          <w:rPr>
            <w:rStyle w:val="Hyperlink"/>
            <w:rFonts w:ascii="Times New Roman" w:hAnsi="Times New Roman" w:cs="Times New Roman"/>
            <w:sz w:val="24"/>
            <w:szCs w:val="24"/>
          </w:rPr>
          <w:t>http://konsultimet.rks-gov.net/consultationsList.php</w:t>
        </w:r>
      </w:hyperlink>
      <w:r w:rsidR="004E33B6" w:rsidRPr="004979D2">
        <w:rPr>
          <w:rFonts w:ascii="Times New Roman" w:hAnsi="Times New Roman" w:cs="Times New Roman"/>
          <w:sz w:val="24"/>
          <w:szCs w:val="24"/>
        </w:rPr>
        <w:t xml:space="preserve"> </w:t>
      </w:r>
      <w:r w:rsidRPr="004979D2">
        <w:rPr>
          <w:rFonts w:ascii="Times New Roman" w:hAnsi="Times New Roman" w:cs="Times New Roman"/>
          <w:sz w:val="24"/>
          <w:szCs w:val="24"/>
        </w:rPr>
        <w:t>)</w:t>
      </w:r>
    </w:p>
    <w:p w14:paraId="357DB272" w14:textId="77777777" w:rsidR="001C0BEF" w:rsidRDefault="001C0BEF" w:rsidP="002B1BC6">
      <w:pPr>
        <w:pStyle w:val="Caption"/>
        <w:spacing w:line="360" w:lineRule="auto"/>
        <w:rPr>
          <w:rFonts w:ascii="Times New Roman" w:hAnsi="Times New Roman" w:cs="Times New Roman"/>
          <w:sz w:val="24"/>
          <w:szCs w:val="24"/>
        </w:rPr>
      </w:pPr>
    </w:p>
    <w:p w14:paraId="3233979B" w14:textId="77777777" w:rsidR="001C0BEF" w:rsidRDefault="001C0BEF" w:rsidP="002B1BC6">
      <w:pPr>
        <w:pStyle w:val="Caption"/>
        <w:spacing w:line="360" w:lineRule="auto"/>
        <w:rPr>
          <w:rFonts w:ascii="Times New Roman" w:hAnsi="Times New Roman" w:cs="Times New Roman"/>
          <w:sz w:val="24"/>
          <w:szCs w:val="24"/>
        </w:rPr>
      </w:pPr>
    </w:p>
    <w:p w14:paraId="004BE722" w14:textId="77777777" w:rsidR="001C0BEF" w:rsidRDefault="001C0BEF" w:rsidP="002B1BC6">
      <w:pPr>
        <w:pStyle w:val="Caption"/>
        <w:spacing w:line="360" w:lineRule="auto"/>
        <w:rPr>
          <w:rFonts w:ascii="Times New Roman" w:hAnsi="Times New Roman" w:cs="Times New Roman"/>
          <w:sz w:val="24"/>
          <w:szCs w:val="24"/>
        </w:rPr>
      </w:pPr>
    </w:p>
    <w:p w14:paraId="7AEEC450" w14:textId="77777777" w:rsidR="001C0BEF" w:rsidRDefault="001C0BEF" w:rsidP="002B1BC6">
      <w:pPr>
        <w:pStyle w:val="Caption"/>
        <w:spacing w:line="360" w:lineRule="auto"/>
        <w:rPr>
          <w:rFonts w:ascii="Times New Roman" w:hAnsi="Times New Roman" w:cs="Times New Roman"/>
          <w:sz w:val="24"/>
          <w:szCs w:val="24"/>
        </w:rPr>
      </w:pPr>
    </w:p>
    <w:p w14:paraId="34EE1D69" w14:textId="77777777" w:rsidR="001C0BEF" w:rsidRDefault="001C0BEF" w:rsidP="002B1BC6">
      <w:pPr>
        <w:pStyle w:val="Caption"/>
        <w:spacing w:line="360" w:lineRule="auto"/>
        <w:rPr>
          <w:rFonts w:ascii="Times New Roman" w:hAnsi="Times New Roman" w:cs="Times New Roman"/>
          <w:sz w:val="24"/>
          <w:szCs w:val="24"/>
        </w:rPr>
      </w:pPr>
    </w:p>
    <w:p w14:paraId="2DEB2009" w14:textId="77777777" w:rsidR="001C0BEF" w:rsidRDefault="001C0BEF" w:rsidP="002B1BC6">
      <w:pPr>
        <w:pStyle w:val="Caption"/>
        <w:spacing w:line="360" w:lineRule="auto"/>
        <w:rPr>
          <w:rFonts w:ascii="Times New Roman" w:hAnsi="Times New Roman" w:cs="Times New Roman"/>
          <w:sz w:val="24"/>
          <w:szCs w:val="24"/>
        </w:rPr>
      </w:pPr>
    </w:p>
    <w:p w14:paraId="3038B969" w14:textId="77777777" w:rsidR="001C0BEF" w:rsidRDefault="001C0BEF" w:rsidP="002B1BC6">
      <w:pPr>
        <w:pStyle w:val="Caption"/>
        <w:spacing w:line="360" w:lineRule="auto"/>
        <w:rPr>
          <w:rFonts w:ascii="Times New Roman" w:hAnsi="Times New Roman" w:cs="Times New Roman"/>
          <w:sz w:val="24"/>
          <w:szCs w:val="24"/>
        </w:rPr>
      </w:pPr>
    </w:p>
    <w:p w14:paraId="0B2DB735" w14:textId="77777777" w:rsidR="001C0BEF" w:rsidRDefault="001C0BEF" w:rsidP="002B1BC6">
      <w:pPr>
        <w:pStyle w:val="Caption"/>
        <w:spacing w:line="360" w:lineRule="auto"/>
        <w:rPr>
          <w:rFonts w:ascii="Times New Roman" w:hAnsi="Times New Roman" w:cs="Times New Roman"/>
          <w:sz w:val="24"/>
          <w:szCs w:val="24"/>
        </w:rPr>
      </w:pPr>
    </w:p>
    <w:p w14:paraId="73DA195C" w14:textId="77777777" w:rsidR="001C0BEF" w:rsidRDefault="001C0BEF" w:rsidP="002B1BC6">
      <w:pPr>
        <w:pStyle w:val="Caption"/>
        <w:spacing w:line="360" w:lineRule="auto"/>
        <w:rPr>
          <w:rFonts w:ascii="Times New Roman" w:hAnsi="Times New Roman" w:cs="Times New Roman"/>
          <w:sz w:val="24"/>
          <w:szCs w:val="24"/>
        </w:rPr>
      </w:pPr>
    </w:p>
    <w:p w14:paraId="110BC59A" w14:textId="77777777" w:rsidR="001C0BEF" w:rsidRDefault="001C0BEF" w:rsidP="002B1BC6">
      <w:pPr>
        <w:pStyle w:val="Caption"/>
        <w:spacing w:line="360" w:lineRule="auto"/>
        <w:rPr>
          <w:rFonts w:ascii="Times New Roman" w:hAnsi="Times New Roman" w:cs="Times New Roman"/>
          <w:sz w:val="24"/>
          <w:szCs w:val="24"/>
        </w:rPr>
      </w:pPr>
    </w:p>
    <w:p w14:paraId="4A9B5132" w14:textId="77777777" w:rsidR="00CC36BE" w:rsidRPr="004979D2" w:rsidRDefault="009E1A07" w:rsidP="002B1BC6">
      <w:pPr>
        <w:pStyle w:val="Caption"/>
        <w:spacing w:line="360" w:lineRule="auto"/>
        <w:rPr>
          <w:rFonts w:ascii="Times New Roman" w:hAnsi="Times New Roman" w:cs="Times New Roman"/>
          <w:sz w:val="24"/>
          <w:szCs w:val="24"/>
        </w:rPr>
      </w:pPr>
      <w:r w:rsidRPr="004979D2">
        <w:rPr>
          <w:rFonts w:ascii="Times New Roman" w:hAnsi="Times New Roman" w:cs="Times New Roman"/>
          <w:sz w:val="24"/>
          <w:szCs w:val="24"/>
        </w:rPr>
        <w:lastRenderedPageBreak/>
        <w:t>Figur</w:t>
      </w:r>
      <w:r w:rsidR="00293B21" w:rsidRPr="004979D2">
        <w:rPr>
          <w:rFonts w:ascii="Times New Roman" w:hAnsi="Times New Roman" w:cs="Times New Roman"/>
          <w:sz w:val="24"/>
          <w:szCs w:val="24"/>
        </w:rPr>
        <w:t>a</w:t>
      </w:r>
      <w:r w:rsidRPr="004979D2">
        <w:rPr>
          <w:rFonts w:ascii="Times New Roman" w:hAnsi="Times New Roman" w:cs="Times New Roman"/>
          <w:sz w:val="24"/>
          <w:szCs w:val="24"/>
        </w:rPr>
        <w:t xml:space="preserve"> </w:t>
      </w:r>
      <w:r w:rsidR="008904AB" w:rsidRPr="004979D2">
        <w:rPr>
          <w:rFonts w:ascii="Times New Roman" w:hAnsi="Times New Roman" w:cs="Times New Roman"/>
          <w:sz w:val="24"/>
          <w:szCs w:val="24"/>
        </w:rPr>
        <w:t>10</w:t>
      </w:r>
      <w:r w:rsidRPr="004979D2">
        <w:rPr>
          <w:rFonts w:ascii="Times New Roman" w:hAnsi="Times New Roman" w:cs="Times New Roman"/>
          <w:sz w:val="24"/>
          <w:szCs w:val="24"/>
        </w:rPr>
        <w:t xml:space="preserve">: </w:t>
      </w:r>
      <w:r w:rsidR="006E79E5" w:rsidRPr="004979D2">
        <w:rPr>
          <w:rFonts w:ascii="Times New Roman" w:hAnsi="Times New Roman" w:cs="Times New Roman"/>
          <w:sz w:val="24"/>
          <w:szCs w:val="24"/>
        </w:rPr>
        <w:t>P</w:t>
      </w:r>
      <w:r w:rsidR="00293B21" w:rsidRPr="004979D2">
        <w:rPr>
          <w:rFonts w:ascii="Times New Roman" w:hAnsi="Times New Roman" w:cs="Times New Roman"/>
          <w:sz w:val="24"/>
          <w:szCs w:val="24"/>
        </w:rPr>
        <w:t>ërmbledhje e aktiviteteve të komunikimit dhe konsultimit të kryera për një koncept dokument</w:t>
      </w:r>
    </w:p>
    <w:tbl>
      <w:tblPr>
        <w:tblStyle w:val="TableGrid"/>
        <w:tblW w:w="10168" w:type="dxa"/>
        <w:jc w:val="center"/>
        <w:tblLook w:val="04A0" w:firstRow="1" w:lastRow="0" w:firstColumn="1" w:lastColumn="0" w:noHBand="0" w:noVBand="1"/>
      </w:tblPr>
      <w:tblGrid>
        <w:gridCol w:w="1297"/>
        <w:gridCol w:w="1749"/>
        <w:gridCol w:w="1310"/>
        <w:gridCol w:w="2417"/>
        <w:gridCol w:w="1296"/>
        <w:gridCol w:w="1310"/>
        <w:gridCol w:w="1363"/>
      </w:tblGrid>
      <w:tr w:rsidR="005D63B3" w:rsidRPr="004979D2" w14:paraId="2420EA76" w14:textId="77777777" w:rsidTr="001C0BEF">
        <w:trPr>
          <w:jc w:val="center"/>
        </w:trPr>
        <w:tc>
          <w:tcPr>
            <w:tcW w:w="10168" w:type="dxa"/>
            <w:gridSpan w:val="7"/>
          </w:tcPr>
          <w:p w14:paraId="4386C42E" w14:textId="77777777" w:rsidR="00F3653C" w:rsidRPr="004979D2" w:rsidRDefault="00455520" w:rsidP="001C0BEF">
            <w:pPr>
              <w:rPr>
                <w:rFonts w:ascii="Times New Roman" w:hAnsi="Times New Roman" w:cs="Times New Roman"/>
                <w:sz w:val="24"/>
                <w:szCs w:val="24"/>
              </w:rPr>
            </w:pPr>
            <w:r w:rsidRPr="004979D2">
              <w:rPr>
                <w:rFonts w:ascii="Times New Roman" w:hAnsi="Times New Roman" w:cs="Times New Roman"/>
                <w:sz w:val="24"/>
                <w:szCs w:val="24"/>
              </w:rPr>
              <w:t xml:space="preserve">Procesi i  konsultimit synon:  që dokumenti të jetë i qasshëm për publikun në mënyrë që të jepen </w:t>
            </w:r>
            <w:proofErr w:type="spellStart"/>
            <w:r w:rsidRPr="004979D2">
              <w:rPr>
                <w:rFonts w:ascii="Times New Roman" w:hAnsi="Times New Roman" w:cs="Times New Roman"/>
                <w:sz w:val="24"/>
                <w:szCs w:val="24"/>
              </w:rPr>
              <w:t>inputet</w:t>
            </w:r>
            <w:proofErr w:type="spellEnd"/>
            <w:r w:rsidRPr="004979D2">
              <w:rPr>
                <w:rFonts w:ascii="Times New Roman" w:hAnsi="Times New Roman" w:cs="Times New Roman"/>
                <w:sz w:val="24"/>
                <w:szCs w:val="24"/>
              </w:rPr>
              <w:t xml:space="preserve"> apo sugjerimet e nevojshme nga palët e interesit dhe ky dokument të reflektoj interesat e shumicës, duke ofruar opsionin me të mirë në adresimin e problemit të identifikuar. Palët e interesit kanë qenë të përfshira gjithashtu në </w:t>
            </w:r>
            <w:proofErr w:type="spellStart"/>
            <w:r w:rsidRPr="004979D2">
              <w:rPr>
                <w:rFonts w:ascii="Times New Roman" w:hAnsi="Times New Roman" w:cs="Times New Roman"/>
                <w:sz w:val="24"/>
                <w:szCs w:val="24"/>
              </w:rPr>
              <w:t>definimin</w:t>
            </w:r>
            <w:proofErr w:type="spellEnd"/>
            <w:r w:rsidRPr="004979D2">
              <w:rPr>
                <w:rFonts w:ascii="Times New Roman" w:hAnsi="Times New Roman" w:cs="Times New Roman"/>
                <w:sz w:val="24"/>
                <w:szCs w:val="24"/>
              </w:rPr>
              <w:t xml:space="preserve"> e problemit, përmes takimit publik dhe takimeve tjera të </w:t>
            </w:r>
            <w:proofErr w:type="spellStart"/>
            <w:r w:rsidRPr="004979D2">
              <w:rPr>
                <w:rFonts w:ascii="Times New Roman" w:hAnsi="Times New Roman" w:cs="Times New Roman"/>
                <w:sz w:val="24"/>
                <w:szCs w:val="24"/>
              </w:rPr>
              <w:t>organiziara</w:t>
            </w:r>
            <w:proofErr w:type="spellEnd"/>
            <w:r w:rsidRPr="004979D2">
              <w:rPr>
                <w:rFonts w:ascii="Times New Roman" w:hAnsi="Times New Roman" w:cs="Times New Roman"/>
                <w:sz w:val="24"/>
                <w:szCs w:val="24"/>
              </w:rPr>
              <w:t xml:space="preserve"> nga grupi punues.  </w:t>
            </w:r>
          </w:p>
        </w:tc>
      </w:tr>
      <w:tr w:rsidR="005D63B3" w:rsidRPr="004979D2" w14:paraId="123E54F0" w14:textId="77777777" w:rsidTr="001C0BEF">
        <w:trPr>
          <w:jc w:val="center"/>
        </w:trPr>
        <w:tc>
          <w:tcPr>
            <w:tcW w:w="1297" w:type="dxa"/>
          </w:tcPr>
          <w:p w14:paraId="1DCF6ADD" w14:textId="77777777" w:rsidR="005D63B3" w:rsidRPr="004979D2" w:rsidRDefault="00DF1651" w:rsidP="001C0BEF">
            <w:pPr>
              <w:rPr>
                <w:rFonts w:ascii="Times New Roman" w:hAnsi="Times New Roman" w:cs="Times New Roman"/>
                <w:b/>
                <w:sz w:val="24"/>
                <w:szCs w:val="24"/>
              </w:rPr>
            </w:pPr>
            <w:r w:rsidRPr="004979D2">
              <w:rPr>
                <w:rFonts w:ascii="Times New Roman" w:hAnsi="Times New Roman" w:cs="Times New Roman"/>
                <w:b/>
                <w:sz w:val="24"/>
                <w:szCs w:val="24"/>
              </w:rPr>
              <w:t>Qëllimi kryesor</w:t>
            </w:r>
          </w:p>
        </w:tc>
        <w:tc>
          <w:tcPr>
            <w:tcW w:w="1749" w:type="dxa"/>
          </w:tcPr>
          <w:p w14:paraId="39436A64" w14:textId="77777777" w:rsidR="005D63B3" w:rsidRPr="004979D2" w:rsidRDefault="00DF1651" w:rsidP="001C0BEF">
            <w:pPr>
              <w:rPr>
                <w:rFonts w:ascii="Times New Roman" w:hAnsi="Times New Roman" w:cs="Times New Roman"/>
                <w:b/>
                <w:sz w:val="24"/>
                <w:szCs w:val="24"/>
              </w:rPr>
            </w:pPr>
            <w:r w:rsidRPr="004979D2">
              <w:rPr>
                <w:rFonts w:ascii="Times New Roman" w:hAnsi="Times New Roman" w:cs="Times New Roman"/>
                <w:b/>
                <w:sz w:val="24"/>
                <w:szCs w:val="24"/>
              </w:rPr>
              <w:t>Grupi i synuar</w:t>
            </w:r>
          </w:p>
        </w:tc>
        <w:tc>
          <w:tcPr>
            <w:tcW w:w="1310" w:type="dxa"/>
          </w:tcPr>
          <w:p w14:paraId="6A554A74" w14:textId="77777777" w:rsidR="005D63B3" w:rsidRPr="004979D2" w:rsidRDefault="00DF1651" w:rsidP="001C0BEF">
            <w:pPr>
              <w:rPr>
                <w:rFonts w:ascii="Times New Roman" w:hAnsi="Times New Roman" w:cs="Times New Roman"/>
                <w:b/>
                <w:sz w:val="24"/>
                <w:szCs w:val="24"/>
              </w:rPr>
            </w:pPr>
            <w:r w:rsidRPr="004979D2">
              <w:rPr>
                <w:rFonts w:ascii="Times New Roman" w:hAnsi="Times New Roman" w:cs="Times New Roman"/>
                <w:b/>
                <w:sz w:val="24"/>
                <w:szCs w:val="24"/>
              </w:rPr>
              <w:t>Aktiviteti</w:t>
            </w:r>
          </w:p>
        </w:tc>
        <w:tc>
          <w:tcPr>
            <w:tcW w:w="2283" w:type="dxa"/>
          </w:tcPr>
          <w:p w14:paraId="651632F5" w14:textId="77777777" w:rsidR="005D63B3" w:rsidRPr="004979D2" w:rsidRDefault="00DF1651" w:rsidP="001C0BEF">
            <w:pPr>
              <w:rPr>
                <w:rFonts w:ascii="Times New Roman" w:hAnsi="Times New Roman" w:cs="Times New Roman"/>
                <w:b/>
                <w:sz w:val="24"/>
                <w:szCs w:val="24"/>
              </w:rPr>
            </w:pPr>
            <w:r w:rsidRPr="004979D2">
              <w:rPr>
                <w:rFonts w:ascii="Times New Roman" w:hAnsi="Times New Roman" w:cs="Times New Roman"/>
                <w:b/>
                <w:sz w:val="24"/>
                <w:szCs w:val="24"/>
              </w:rPr>
              <w:t>Komunikimi/njoftimi</w:t>
            </w:r>
          </w:p>
        </w:tc>
        <w:tc>
          <w:tcPr>
            <w:tcW w:w="1070" w:type="dxa"/>
          </w:tcPr>
          <w:p w14:paraId="1FADD3A6" w14:textId="77777777" w:rsidR="005D63B3" w:rsidRPr="004979D2" w:rsidRDefault="00DF1651" w:rsidP="001C0BEF">
            <w:pPr>
              <w:rPr>
                <w:rFonts w:ascii="Times New Roman" w:hAnsi="Times New Roman" w:cs="Times New Roman"/>
                <w:b/>
                <w:sz w:val="24"/>
                <w:szCs w:val="24"/>
              </w:rPr>
            </w:pPr>
            <w:r w:rsidRPr="004979D2">
              <w:rPr>
                <w:rFonts w:ascii="Times New Roman" w:hAnsi="Times New Roman" w:cs="Times New Roman"/>
                <w:b/>
                <w:sz w:val="24"/>
                <w:szCs w:val="24"/>
              </w:rPr>
              <w:t>Afati indikativ</w:t>
            </w:r>
          </w:p>
        </w:tc>
        <w:tc>
          <w:tcPr>
            <w:tcW w:w="1256" w:type="dxa"/>
          </w:tcPr>
          <w:p w14:paraId="6A9D3755" w14:textId="77777777" w:rsidR="005D63B3" w:rsidRPr="004979D2" w:rsidRDefault="00DF1651" w:rsidP="001C0BEF">
            <w:pPr>
              <w:rPr>
                <w:rFonts w:ascii="Times New Roman" w:hAnsi="Times New Roman" w:cs="Times New Roman"/>
                <w:b/>
                <w:sz w:val="24"/>
                <w:szCs w:val="24"/>
              </w:rPr>
            </w:pPr>
            <w:r w:rsidRPr="004979D2">
              <w:rPr>
                <w:rFonts w:ascii="Times New Roman" w:hAnsi="Times New Roman" w:cs="Times New Roman"/>
                <w:b/>
                <w:sz w:val="24"/>
                <w:szCs w:val="24"/>
              </w:rPr>
              <w:t>Buxheti i nevojshëm</w:t>
            </w:r>
          </w:p>
        </w:tc>
        <w:tc>
          <w:tcPr>
            <w:tcW w:w="1203" w:type="dxa"/>
          </w:tcPr>
          <w:p w14:paraId="2C60A247" w14:textId="77777777" w:rsidR="005D63B3" w:rsidRPr="004979D2" w:rsidRDefault="00DF1651" w:rsidP="001C0BEF">
            <w:pPr>
              <w:rPr>
                <w:rFonts w:ascii="Times New Roman" w:hAnsi="Times New Roman" w:cs="Times New Roman"/>
                <w:b/>
                <w:sz w:val="24"/>
                <w:szCs w:val="24"/>
              </w:rPr>
            </w:pPr>
            <w:r w:rsidRPr="004979D2">
              <w:rPr>
                <w:rFonts w:ascii="Times New Roman" w:hAnsi="Times New Roman" w:cs="Times New Roman"/>
                <w:b/>
                <w:sz w:val="24"/>
                <w:szCs w:val="24"/>
              </w:rPr>
              <w:t>Personi përgjegjës</w:t>
            </w:r>
          </w:p>
        </w:tc>
      </w:tr>
      <w:tr w:rsidR="0041068B" w:rsidRPr="004979D2" w14:paraId="7EB6E1EA" w14:textId="77777777" w:rsidTr="001C0BEF">
        <w:trPr>
          <w:jc w:val="center"/>
        </w:trPr>
        <w:tc>
          <w:tcPr>
            <w:tcW w:w="1297" w:type="dxa"/>
          </w:tcPr>
          <w:p w14:paraId="7C4D382D" w14:textId="77777777" w:rsidR="0041068B" w:rsidRPr="004979D2" w:rsidRDefault="0041068B" w:rsidP="001C0BEF">
            <w:pPr>
              <w:rPr>
                <w:rFonts w:ascii="Times New Roman" w:hAnsi="Times New Roman" w:cs="Times New Roman"/>
                <w:sz w:val="24"/>
                <w:szCs w:val="24"/>
              </w:rPr>
            </w:pPr>
            <w:r w:rsidRPr="004979D2">
              <w:rPr>
                <w:rFonts w:ascii="Times New Roman" w:hAnsi="Times New Roman" w:cs="Times New Roman"/>
                <w:sz w:val="24"/>
                <w:szCs w:val="24"/>
              </w:rPr>
              <w:t xml:space="preserve">Takimi i hapur për të gjithë palët e interesuara </w:t>
            </w:r>
          </w:p>
        </w:tc>
        <w:tc>
          <w:tcPr>
            <w:tcW w:w="1749" w:type="dxa"/>
          </w:tcPr>
          <w:p w14:paraId="39711102" w14:textId="77777777" w:rsidR="0041068B" w:rsidRPr="004979D2" w:rsidRDefault="0041068B" w:rsidP="001C0BEF">
            <w:pPr>
              <w:rPr>
                <w:rFonts w:ascii="Times New Roman" w:hAnsi="Times New Roman" w:cs="Times New Roman"/>
                <w:sz w:val="24"/>
                <w:szCs w:val="24"/>
              </w:rPr>
            </w:pPr>
            <w:r w:rsidRPr="004979D2">
              <w:rPr>
                <w:rFonts w:ascii="Times New Roman" w:hAnsi="Times New Roman" w:cs="Times New Roman"/>
                <w:sz w:val="24"/>
                <w:szCs w:val="24"/>
              </w:rPr>
              <w:t xml:space="preserve">Të gjitha palët e interesuara publiku (Bota akademike, përfaqësuesit e shoqatave të biznesit; Ekspertë për konkurrencë; përfaqësues të sistemit gjyqësor; shoqata e konsumatorëve; Komisioni Parlamentar për Zhvillim Ekonomik, Tregti; Partnerët Zhvillimor. </w:t>
            </w:r>
          </w:p>
        </w:tc>
        <w:tc>
          <w:tcPr>
            <w:tcW w:w="1310" w:type="dxa"/>
          </w:tcPr>
          <w:p w14:paraId="41A63A8A" w14:textId="77777777" w:rsidR="0041068B" w:rsidRPr="004979D2" w:rsidRDefault="0041068B" w:rsidP="001C0BEF">
            <w:pPr>
              <w:rPr>
                <w:rFonts w:ascii="Times New Roman" w:hAnsi="Times New Roman" w:cs="Times New Roman"/>
                <w:sz w:val="24"/>
                <w:szCs w:val="24"/>
              </w:rPr>
            </w:pPr>
            <w:r w:rsidRPr="004979D2">
              <w:rPr>
                <w:rFonts w:ascii="Times New Roman" w:hAnsi="Times New Roman" w:cs="Times New Roman"/>
                <w:sz w:val="24"/>
                <w:szCs w:val="24"/>
              </w:rPr>
              <w:t xml:space="preserve">Takim publik </w:t>
            </w:r>
          </w:p>
        </w:tc>
        <w:tc>
          <w:tcPr>
            <w:tcW w:w="2283" w:type="dxa"/>
          </w:tcPr>
          <w:p w14:paraId="21209E8B" w14:textId="77777777" w:rsidR="0041068B" w:rsidRPr="004979D2" w:rsidRDefault="0041068B" w:rsidP="001C0BEF">
            <w:pPr>
              <w:rPr>
                <w:rFonts w:ascii="Times New Roman" w:hAnsi="Times New Roman" w:cs="Times New Roman"/>
                <w:sz w:val="24"/>
                <w:szCs w:val="24"/>
              </w:rPr>
            </w:pPr>
            <w:r w:rsidRPr="004979D2">
              <w:rPr>
                <w:rFonts w:ascii="Times New Roman" w:hAnsi="Times New Roman" w:cs="Times New Roman"/>
                <w:sz w:val="24"/>
                <w:szCs w:val="24"/>
              </w:rPr>
              <w:t>Përmes e-</w:t>
            </w:r>
            <w:proofErr w:type="spellStart"/>
            <w:r w:rsidRPr="004979D2">
              <w:rPr>
                <w:rFonts w:ascii="Times New Roman" w:hAnsi="Times New Roman" w:cs="Times New Roman"/>
                <w:sz w:val="24"/>
                <w:szCs w:val="24"/>
              </w:rPr>
              <w:t>mailit</w:t>
            </w:r>
            <w:proofErr w:type="spellEnd"/>
            <w:r w:rsidRPr="004979D2">
              <w:rPr>
                <w:rFonts w:ascii="Times New Roman" w:hAnsi="Times New Roman" w:cs="Times New Roman"/>
                <w:sz w:val="24"/>
                <w:szCs w:val="24"/>
              </w:rPr>
              <w:t xml:space="preserve"> grupet e </w:t>
            </w:r>
            <w:proofErr w:type="spellStart"/>
            <w:r w:rsidRPr="004979D2">
              <w:rPr>
                <w:rFonts w:ascii="Times New Roman" w:hAnsi="Times New Roman" w:cs="Times New Roman"/>
                <w:sz w:val="24"/>
                <w:szCs w:val="24"/>
              </w:rPr>
              <w:t>targetuara</w:t>
            </w:r>
            <w:proofErr w:type="spellEnd"/>
            <w:r w:rsidRPr="004979D2">
              <w:rPr>
                <w:rFonts w:ascii="Times New Roman" w:hAnsi="Times New Roman" w:cs="Times New Roman"/>
                <w:sz w:val="24"/>
                <w:szCs w:val="24"/>
              </w:rPr>
              <w:t xml:space="preserve">; </w:t>
            </w:r>
          </w:p>
          <w:p w14:paraId="7B6F0F3D" w14:textId="77777777" w:rsidR="0041068B" w:rsidRPr="004979D2" w:rsidRDefault="0041068B" w:rsidP="001C0BEF">
            <w:pPr>
              <w:rPr>
                <w:rFonts w:ascii="Times New Roman" w:hAnsi="Times New Roman" w:cs="Times New Roman"/>
                <w:sz w:val="24"/>
                <w:szCs w:val="24"/>
              </w:rPr>
            </w:pPr>
          </w:p>
          <w:p w14:paraId="6EA881B5" w14:textId="77777777" w:rsidR="0041068B" w:rsidRPr="004979D2" w:rsidRDefault="0041068B" w:rsidP="001C0BEF">
            <w:pPr>
              <w:rPr>
                <w:rFonts w:ascii="Times New Roman" w:hAnsi="Times New Roman" w:cs="Times New Roman"/>
                <w:sz w:val="24"/>
                <w:szCs w:val="24"/>
              </w:rPr>
            </w:pPr>
            <w:r w:rsidRPr="004979D2">
              <w:rPr>
                <w:rFonts w:ascii="Times New Roman" w:hAnsi="Times New Roman" w:cs="Times New Roman"/>
                <w:sz w:val="24"/>
                <w:szCs w:val="24"/>
              </w:rPr>
              <w:t>Publiku përmes njoftimit publik</w:t>
            </w:r>
          </w:p>
        </w:tc>
        <w:tc>
          <w:tcPr>
            <w:tcW w:w="1070" w:type="dxa"/>
          </w:tcPr>
          <w:p w14:paraId="5184E1FB" w14:textId="71ACA317" w:rsidR="0041068B" w:rsidRPr="004979D2" w:rsidRDefault="00E152BB" w:rsidP="001C0BEF">
            <w:pPr>
              <w:rPr>
                <w:rFonts w:ascii="Times New Roman" w:hAnsi="Times New Roman" w:cs="Times New Roman"/>
                <w:sz w:val="24"/>
                <w:szCs w:val="24"/>
              </w:rPr>
            </w:pPr>
            <w:r w:rsidRPr="004979D2">
              <w:rPr>
                <w:rFonts w:ascii="Times New Roman" w:hAnsi="Times New Roman" w:cs="Times New Roman"/>
                <w:sz w:val="24"/>
                <w:szCs w:val="24"/>
              </w:rPr>
              <w:t>30</w:t>
            </w:r>
            <w:r w:rsidR="0041068B" w:rsidRPr="004979D2">
              <w:rPr>
                <w:rFonts w:ascii="Times New Roman" w:hAnsi="Times New Roman" w:cs="Times New Roman"/>
                <w:sz w:val="24"/>
                <w:szCs w:val="24"/>
              </w:rPr>
              <w:t xml:space="preserve"> korrik 2018</w:t>
            </w:r>
          </w:p>
        </w:tc>
        <w:tc>
          <w:tcPr>
            <w:tcW w:w="1256" w:type="dxa"/>
          </w:tcPr>
          <w:p w14:paraId="71DE434E" w14:textId="77777777" w:rsidR="0041068B" w:rsidRPr="004979D2" w:rsidRDefault="0041068B" w:rsidP="001C0BEF">
            <w:pPr>
              <w:rPr>
                <w:rFonts w:ascii="Times New Roman" w:hAnsi="Times New Roman" w:cs="Times New Roman"/>
                <w:sz w:val="24"/>
                <w:szCs w:val="24"/>
              </w:rPr>
            </w:pPr>
            <w:r w:rsidRPr="004979D2">
              <w:rPr>
                <w:rFonts w:ascii="Times New Roman" w:hAnsi="Times New Roman" w:cs="Times New Roman"/>
                <w:sz w:val="24"/>
                <w:szCs w:val="24"/>
              </w:rPr>
              <w:t xml:space="preserve">Salla; </w:t>
            </w:r>
          </w:p>
          <w:p w14:paraId="76C90177" w14:textId="77777777" w:rsidR="0041068B" w:rsidRPr="004979D2" w:rsidRDefault="0041068B" w:rsidP="001C0BEF">
            <w:pPr>
              <w:rPr>
                <w:rFonts w:ascii="Times New Roman" w:hAnsi="Times New Roman" w:cs="Times New Roman"/>
                <w:sz w:val="24"/>
                <w:szCs w:val="24"/>
              </w:rPr>
            </w:pPr>
            <w:r w:rsidRPr="004979D2">
              <w:rPr>
                <w:rFonts w:ascii="Times New Roman" w:hAnsi="Times New Roman" w:cs="Times New Roman"/>
                <w:sz w:val="24"/>
                <w:szCs w:val="24"/>
              </w:rPr>
              <w:t xml:space="preserve">Përkthimi; </w:t>
            </w:r>
          </w:p>
          <w:p w14:paraId="184A356F" w14:textId="77777777" w:rsidR="0041068B" w:rsidRPr="004979D2" w:rsidRDefault="0041068B" w:rsidP="001C0BEF">
            <w:pPr>
              <w:rPr>
                <w:rFonts w:ascii="Times New Roman" w:hAnsi="Times New Roman" w:cs="Times New Roman"/>
                <w:sz w:val="24"/>
                <w:szCs w:val="24"/>
              </w:rPr>
            </w:pPr>
            <w:r w:rsidRPr="004979D2">
              <w:rPr>
                <w:rFonts w:ascii="Times New Roman" w:hAnsi="Times New Roman" w:cs="Times New Roman"/>
                <w:sz w:val="24"/>
                <w:szCs w:val="24"/>
              </w:rPr>
              <w:t xml:space="preserve">Pijet freskuese; </w:t>
            </w:r>
          </w:p>
          <w:p w14:paraId="71F098E5" w14:textId="77777777" w:rsidR="0041068B" w:rsidRPr="004979D2" w:rsidRDefault="0041068B" w:rsidP="001C0BEF">
            <w:pPr>
              <w:rPr>
                <w:rFonts w:ascii="Times New Roman" w:hAnsi="Times New Roman" w:cs="Times New Roman"/>
                <w:sz w:val="24"/>
                <w:szCs w:val="24"/>
              </w:rPr>
            </w:pPr>
          </w:p>
        </w:tc>
        <w:tc>
          <w:tcPr>
            <w:tcW w:w="1203" w:type="dxa"/>
          </w:tcPr>
          <w:p w14:paraId="36268486" w14:textId="77777777" w:rsidR="0041068B" w:rsidRPr="004979D2" w:rsidRDefault="005C4DF4" w:rsidP="001C0BEF">
            <w:pPr>
              <w:rPr>
                <w:rFonts w:ascii="Times New Roman" w:hAnsi="Times New Roman" w:cs="Times New Roman"/>
                <w:sz w:val="24"/>
                <w:szCs w:val="24"/>
              </w:rPr>
            </w:pPr>
            <w:r w:rsidRPr="004979D2">
              <w:rPr>
                <w:rFonts w:ascii="Times New Roman" w:hAnsi="Times New Roman" w:cs="Times New Roman"/>
                <w:sz w:val="24"/>
                <w:szCs w:val="24"/>
              </w:rPr>
              <w:t>Bleron Menzelxhiu</w:t>
            </w:r>
          </w:p>
        </w:tc>
      </w:tr>
      <w:tr w:rsidR="001A7D6D" w:rsidRPr="004979D2" w14:paraId="2659C5D6" w14:textId="77777777" w:rsidTr="001C0BEF">
        <w:trPr>
          <w:jc w:val="center"/>
        </w:trPr>
        <w:tc>
          <w:tcPr>
            <w:tcW w:w="1297" w:type="dxa"/>
          </w:tcPr>
          <w:p w14:paraId="4905DB06" w14:textId="77777777" w:rsidR="001A7D6D" w:rsidRPr="004979D2" w:rsidRDefault="00BB099D" w:rsidP="001C0BEF">
            <w:pPr>
              <w:rPr>
                <w:rFonts w:ascii="Times New Roman" w:hAnsi="Times New Roman" w:cs="Times New Roman"/>
                <w:sz w:val="24"/>
                <w:szCs w:val="24"/>
              </w:rPr>
            </w:pPr>
            <w:r w:rsidRPr="004979D2">
              <w:rPr>
                <w:rFonts w:ascii="Times New Roman" w:hAnsi="Times New Roman" w:cs="Times New Roman"/>
                <w:sz w:val="24"/>
                <w:szCs w:val="24"/>
              </w:rPr>
              <w:t>Konsultimi</w:t>
            </w:r>
            <w:r w:rsidR="00E152BB" w:rsidRPr="004979D2">
              <w:rPr>
                <w:rFonts w:ascii="Times New Roman" w:hAnsi="Times New Roman" w:cs="Times New Roman"/>
                <w:sz w:val="24"/>
                <w:szCs w:val="24"/>
              </w:rPr>
              <w:t xml:space="preserve"> paraprak dhe </w:t>
            </w:r>
            <w:r w:rsidRPr="004979D2">
              <w:rPr>
                <w:rFonts w:ascii="Times New Roman" w:hAnsi="Times New Roman" w:cs="Times New Roman"/>
                <w:sz w:val="24"/>
                <w:szCs w:val="24"/>
              </w:rPr>
              <w:t xml:space="preserve"> publik me shkrim</w:t>
            </w:r>
          </w:p>
        </w:tc>
        <w:tc>
          <w:tcPr>
            <w:tcW w:w="1749" w:type="dxa"/>
          </w:tcPr>
          <w:p w14:paraId="00B04954" w14:textId="77777777" w:rsidR="001A7D6D" w:rsidRPr="004979D2" w:rsidRDefault="00BB099D" w:rsidP="001C0BEF">
            <w:pPr>
              <w:rPr>
                <w:rFonts w:ascii="Times New Roman" w:hAnsi="Times New Roman" w:cs="Times New Roman"/>
                <w:sz w:val="24"/>
                <w:szCs w:val="24"/>
              </w:rPr>
            </w:pPr>
            <w:r w:rsidRPr="004979D2">
              <w:rPr>
                <w:rFonts w:ascii="Times New Roman" w:hAnsi="Times New Roman" w:cs="Times New Roman"/>
                <w:sz w:val="24"/>
                <w:szCs w:val="24"/>
              </w:rPr>
              <w:t>Të gjitha palët e interesuara</w:t>
            </w:r>
          </w:p>
        </w:tc>
        <w:tc>
          <w:tcPr>
            <w:tcW w:w="1310" w:type="dxa"/>
          </w:tcPr>
          <w:p w14:paraId="05F9CE52" w14:textId="77777777" w:rsidR="001A7D6D" w:rsidRPr="004979D2" w:rsidRDefault="00BB099D" w:rsidP="001C0BEF">
            <w:pPr>
              <w:rPr>
                <w:rFonts w:ascii="Times New Roman" w:hAnsi="Times New Roman" w:cs="Times New Roman"/>
                <w:sz w:val="24"/>
                <w:szCs w:val="24"/>
              </w:rPr>
            </w:pPr>
            <w:r w:rsidRPr="004979D2">
              <w:rPr>
                <w:rFonts w:ascii="Times New Roman" w:hAnsi="Times New Roman" w:cs="Times New Roman"/>
                <w:sz w:val="24"/>
                <w:szCs w:val="24"/>
              </w:rPr>
              <w:t>Publikimi i konsultimit në portalin për konsultim publik</w:t>
            </w:r>
          </w:p>
        </w:tc>
        <w:tc>
          <w:tcPr>
            <w:tcW w:w="2283" w:type="dxa"/>
          </w:tcPr>
          <w:p w14:paraId="5B6CD91C" w14:textId="77777777" w:rsidR="001A7D6D" w:rsidRPr="004979D2" w:rsidRDefault="00455520" w:rsidP="001C0BEF">
            <w:pPr>
              <w:rPr>
                <w:rFonts w:ascii="Times New Roman" w:hAnsi="Times New Roman" w:cs="Times New Roman"/>
                <w:sz w:val="24"/>
                <w:szCs w:val="24"/>
              </w:rPr>
            </w:pPr>
            <w:r w:rsidRPr="004979D2">
              <w:rPr>
                <w:rFonts w:ascii="Times New Roman" w:hAnsi="Times New Roman" w:cs="Times New Roman"/>
                <w:sz w:val="24"/>
                <w:szCs w:val="24"/>
              </w:rPr>
              <w:t>Njoftim për media për fillimin e konsultimeve publike; dërgimi i njoftimit tek palët e interesit që gjenden në bazën e të dhënave</w:t>
            </w:r>
          </w:p>
        </w:tc>
        <w:tc>
          <w:tcPr>
            <w:tcW w:w="1070" w:type="dxa"/>
          </w:tcPr>
          <w:p w14:paraId="79D1EAC8" w14:textId="77777777" w:rsidR="00707E9F" w:rsidRPr="004979D2" w:rsidRDefault="006D5AB3" w:rsidP="001C0BEF">
            <w:pPr>
              <w:rPr>
                <w:rFonts w:ascii="Times New Roman" w:hAnsi="Times New Roman" w:cs="Times New Roman"/>
                <w:sz w:val="24"/>
                <w:szCs w:val="24"/>
              </w:rPr>
            </w:pPr>
            <w:r w:rsidRPr="004979D2">
              <w:rPr>
                <w:rFonts w:ascii="Times New Roman" w:hAnsi="Times New Roman" w:cs="Times New Roman"/>
                <w:sz w:val="24"/>
                <w:szCs w:val="24"/>
              </w:rPr>
              <w:t>12.12</w:t>
            </w:r>
            <w:r w:rsidR="00707E9F" w:rsidRPr="004979D2">
              <w:rPr>
                <w:rFonts w:ascii="Times New Roman" w:hAnsi="Times New Roman" w:cs="Times New Roman"/>
                <w:sz w:val="24"/>
                <w:szCs w:val="24"/>
              </w:rPr>
              <w:t>.2018</w:t>
            </w:r>
          </w:p>
          <w:p w14:paraId="0528F2EC" w14:textId="77777777" w:rsidR="00707E9F" w:rsidRPr="004979D2" w:rsidRDefault="00707E9F" w:rsidP="001C0BEF">
            <w:pPr>
              <w:rPr>
                <w:rFonts w:ascii="Times New Roman" w:hAnsi="Times New Roman" w:cs="Times New Roman"/>
                <w:sz w:val="24"/>
                <w:szCs w:val="24"/>
              </w:rPr>
            </w:pPr>
            <w:r w:rsidRPr="004979D2">
              <w:rPr>
                <w:rFonts w:ascii="Times New Roman" w:hAnsi="Times New Roman" w:cs="Times New Roman"/>
                <w:sz w:val="24"/>
                <w:szCs w:val="24"/>
              </w:rPr>
              <w:t xml:space="preserve">    deri </w:t>
            </w:r>
          </w:p>
          <w:p w14:paraId="0EFBE961" w14:textId="77777777" w:rsidR="006D5AB3" w:rsidRPr="004979D2" w:rsidRDefault="006D5AB3" w:rsidP="001C0BEF">
            <w:pPr>
              <w:rPr>
                <w:rFonts w:ascii="Times New Roman" w:hAnsi="Times New Roman" w:cs="Times New Roman"/>
                <w:sz w:val="24"/>
                <w:szCs w:val="24"/>
              </w:rPr>
            </w:pPr>
            <w:r w:rsidRPr="004979D2">
              <w:rPr>
                <w:rFonts w:ascii="Times New Roman" w:hAnsi="Times New Roman" w:cs="Times New Roman"/>
                <w:sz w:val="24"/>
                <w:szCs w:val="24"/>
              </w:rPr>
              <w:t>08.01.2019</w:t>
            </w:r>
          </w:p>
          <w:p w14:paraId="7134F711" w14:textId="77777777" w:rsidR="001A7D6D" w:rsidRPr="004979D2" w:rsidRDefault="00707E9F" w:rsidP="001C0BEF">
            <w:pPr>
              <w:rPr>
                <w:rFonts w:ascii="Times New Roman" w:hAnsi="Times New Roman" w:cs="Times New Roman"/>
                <w:sz w:val="24"/>
                <w:szCs w:val="24"/>
              </w:rPr>
            </w:pPr>
            <w:r w:rsidRPr="004979D2">
              <w:rPr>
                <w:rFonts w:ascii="Times New Roman" w:hAnsi="Times New Roman" w:cs="Times New Roman"/>
                <w:sz w:val="24"/>
                <w:szCs w:val="24"/>
              </w:rPr>
              <w:t>(15 ditë pune)</w:t>
            </w:r>
            <w:r w:rsidRPr="004979D2" w:rsidDel="00707E9F">
              <w:rPr>
                <w:rFonts w:ascii="Times New Roman" w:hAnsi="Times New Roman" w:cs="Times New Roman"/>
                <w:sz w:val="24"/>
                <w:szCs w:val="24"/>
              </w:rPr>
              <w:t xml:space="preserve"> </w:t>
            </w:r>
          </w:p>
        </w:tc>
        <w:tc>
          <w:tcPr>
            <w:tcW w:w="1256" w:type="dxa"/>
          </w:tcPr>
          <w:p w14:paraId="17F7364C" w14:textId="06F993D0" w:rsidR="001A7D6D" w:rsidRPr="004979D2" w:rsidRDefault="00F23DBF" w:rsidP="001C0BEF">
            <w:pPr>
              <w:rPr>
                <w:rFonts w:ascii="Times New Roman" w:hAnsi="Times New Roman" w:cs="Times New Roman"/>
                <w:sz w:val="24"/>
                <w:szCs w:val="24"/>
              </w:rPr>
            </w:pPr>
            <w:r w:rsidRPr="004979D2">
              <w:rPr>
                <w:rFonts w:ascii="Times New Roman" w:hAnsi="Times New Roman" w:cs="Times New Roman"/>
                <w:sz w:val="24"/>
                <w:szCs w:val="24"/>
              </w:rPr>
              <w:t xml:space="preserve">Nuk </w:t>
            </w:r>
            <w:r w:rsidR="00E152BB" w:rsidRPr="004979D2">
              <w:rPr>
                <w:rFonts w:ascii="Times New Roman" w:hAnsi="Times New Roman" w:cs="Times New Roman"/>
                <w:sz w:val="24"/>
                <w:szCs w:val="24"/>
              </w:rPr>
              <w:t>k</w:t>
            </w:r>
            <w:r w:rsidRPr="004979D2">
              <w:rPr>
                <w:rFonts w:ascii="Times New Roman" w:hAnsi="Times New Roman" w:cs="Times New Roman"/>
                <w:sz w:val="24"/>
                <w:szCs w:val="24"/>
              </w:rPr>
              <w:t>a</w:t>
            </w:r>
          </w:p>
        </w:tc>
        <w:tc>
          <w:tcPr>
            <w:tcW w:w="1203" w:type="dxa"/>
          </w:tcPr>
          <w:p w14:paraId="01EAC37A" w14:textId="77777777" w:rsidR="001A7D6D" w:rsidRPr="004979D2" w:rsidRDefault="00455520" w:rsidP="001C0BEF">
            <w:pPr>
              <w:rPr>
                <w:rFonts w:ascii="Times New Roman" w:hAnsi="Times New Roman" w:cs="Times New Roman"/>
                <w:sz w:val="24"/>
                <w:szCs w:val="24"/>
              </w:rPr>
            </w:pPr>
            <w:r w:rsidRPr="004979D2">
              <w:rPr>
                <w:rFonts w:ascii="Times New Roman" w:hAnsi="Times New Roman" w:cs="Times New Roman"/>
                <w:sz w:val="24"/>
                <w:szCs w:val="24"/>
              </w:rPr>
              <w:t>Bleron Menzelxhiu</w:t>
            </w:r>
          </w:p>
        </w:tc>
      </w:tr>
    </w:tbl>
    <w:p w14:paraId="550730E3" w14:textId="77777777" w:rsidR="001C0BEF" w:rsidRDefault="001C0BEF" w:rsidP="002B1BC6">
      <w:pPr>
        <w:pStyle w:val="Heading1"/>
        <w:spacing w:line="360" w:lineRule="auto"/>
        <w:rPr>
          <w:rFonts w:ascii="Times New Roman" w:hAnsi="Times New Roman" w:cs="Times New Roman"/>
          <w:b/>
          <w:sz w:val="24"/>
          <w:szCs w:val="24"/>
        </w:rPr>
      </w:pPr>
    </w:p>
    <w:p w14:paraId="5D076428" w14:textId="77777777" w:rsidR="00A61B6E" w:rsidRPr="004979D2" w:rsidRDefault="001C43F5" w:rsidP="002B1BC6">
      <w:pPr>
        <w:pStyle w:val="Heading1"/>
        <w:spacing w:line="360" w:lineRule="auto"/>
        <w:rPr>
          <w:rFonts w:ascii="Times New Roman" w:hAnsi="Times New Roman" w:cs="Times New Roman"/>
          <w:sz w:val="24"/>
          <w:szCs w:val="24"/>
        </w:rPr>
      </w:pPr>
      <w:bookmarkStart w:id="48" w:name="_Toc1114332"/>
      <w:r w:rsidRPr="004979D2">
        <w:rPr>
          <w:rFonts w:ascii="Times New Roman" w:hAnsi="Times New Roman" w:cs="Times New Roman"/>
          <w:b/>
          <w:sz w:val="24"/>
          <w:szCs w:val="24"/>
        </w:rPr>
        <w:t>KAPITULLI 6: KRAHASIMI I OPSIONEVE</w:t>
      </w:r>
      <w:bookmarkEnd w:id="48"/>
    </w:p>
    <w:p w14:paraId="7F9A32F6" w14:textId="38ADEF03" w:rsidR="00FE49EB" w:rsidRPr="004979D2" w:rsidRDefault="00FE49EB"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Opsioni i parë </w:t>
      </w:r>
      <w:r w:rsidR="00643464" w:rsidRPr="004979D2">
        <w:rPr>
          <w:rFonts w:ascii="Times New Roman" w:hAnsi="Times New Roman" w:cs="Times New Roman"/>
          <w:sz w:val="24"/>
          <w:szCs w:val="24"/>
        </w:rPr>
        <w:t xml:space="preserve">(1) </w:t>
      </w:r>
      <w:r w:rsidRPr="004979D2">
        <w:rPr>
          <w:rFonts w:ascii="Times New Roman" w:hAnsi="Times New Roman" w:cs="Times New Roman"/>
          <w:sz w:val="24"/>
          <w:szCs w:val="24"/>
        </w:rPr>
        <w:t>dhe opsioni i tret</w:t>
      </w:r>
      <w:r w:rsidR="004A4335" w:rsidRPr="004979D2">
        <w:rPr>
          <w:rFonts w:ascii="Times New Roman" w:hAnsi="Times New Roman" w:cs="Times New Roman"/>
          <w:sz w:val="24"/>
          <w:szCs w:val="24"/>
        </w:rPr>
        <w:t>ë</w:t>
      </w:r>
      <w:r w:rsidRPr="004979D2">
        <w:rPr>
          <w:rFonts w:ascii="Times New Roman" w:hAnsi="Times New Roman" w:cs="Times New Roman"/>
          <w:sz w:val="24"/>
          <w:szCs w:val="24"/>
        </w:rPr>
        <w:t xml:space="preserve"> </w:t>
      </w:r>
      <w:r w:rsidR="00643464" w:rsidRPr="004979D2">
        <w:rPr>
          <w:rFonts w:ascii="Times New Roman" w:hAnsi="Times New Roman" w:cs="Times New Roman"/>
          <w:sz w:val="24"/>
          <w:szCs w:val="24"/>
        </w:rPr>
        <w:t xml:space="preserve">(3) </w:t>
      </w:r>
      <w:r w:rsidRPr="004979D2">
        <w:rPr>
          <w:rFonts w:ascii="Times New Roman" w:hAnsi="Times New Roman" w:cs="Times New Roman"/>
          <w:sz w:val="24"/>
          <w:szCs w:val="24"/>
        </w:rPr>
        <w:t>nuk do të kenë ndikime pozitive në adresimin e problemit kryesor t</w:t>
      </w:r>
      <w:r w:rsidR="004A4335" w:rsidRPr="004979D2">
        <w:rPr>
          <w:rFonts w:ascii="Times New Roman" w:hAnsi="Times New Roman" w:cs="Times New Roman"/>
          <w:sz w:val="24"/>
          <w:szCs w:val="24"/>
        </w:rPr>
        <w:t>ë</w:t>
      </w:r>
      <w:r w:rsidRPr="004979D2">
        <w:rPr>
          <w:rFonts w:ascii="Times New Roman" w:hAnsi="Times New Roman" w:cs="Times New Roman"/>
          <w:sz w:val="24"/>
          <w:szCs w:val="24"/>
        </w:rPr>
        <w:t xml:space="preserve"> identifikuar n</w:t>
      </w:r>
      <w:r w:rsidR="004A4335" w:rsidRPr="004979D2">
        <w:rPr>
          <w:rFonts w:ascii="Times New Roman" w:hAnsi="Times New Roman" w:cs="Times New Roman"/>
          <w:sz w:val="24"/>
          <w:szCs w:val="24"/>
        </w:rPr>
        <w:t>ë</w:t>
      </w:r>
      <w:r w:rsidRPr="004979D2">
        <w:rPr>
          <w:rFonts w:ascii="Times New Roman" w:hAnsi="Times New Roman" w:cs="Times New Roman"/>
          <w:sz w:val="24"/>
          <w:szCs w:val="24"/>
        </w:rPr>
        <w:t xml:space="preserve"> këtë Koncept Dokument. Përkundrazi, mund të kenë </w:t>
      </w:r>
      <w:r w:rsidRPr="004979D2">
        <w:rPr>
          <w:rFonts w:ascii="Times New Roman" w:hAnsi="Times New Roman" w:cs="Times New Roman"/>
          <w:sz w:val="24"/>
          <w:szCs w:val="24"/>
        </w:rPr>
        <w:lastRenderedPageBreak/>
        <w:t>ndikim t</w:t>
      </w:r>
      <w:r w:rsidR="004A4335" w:rsidRPr="004979D2">
        <w:rPr>
          <w:rFonts w:ascii="Times New Roman" w:hAnsi="Times New Roman" w:cs="Times New Roman"/>
          <w:sz w:val="24"/>
          <w:szCs w:val="24"/>
        </w:rPr>
        <w:t>ë</w:t>
      </w:r>
      <w:r w:rsidRPr="004979D2">
        <w:rPr>
          <w:rFonts w:ascii="Times New Roman" w:hAnsi="Times New Roman" w:cs="Times New Roman"/>
          <w:sz w:val="24"/>
          <w:szCs w:val="24"/>
        </w:rPr>
        <w:t xml:space="preserve"> kundërt në problemin e identifikuara duke rritur peshën negative t</w:t>
      </w:r>
      <w:r w:rsidR="004A4335" w:rsidRPr="004979D2">
        <w:rPr>
          <w:rFonts w:ascii="Times New Roman" w:hAnsi="Times New Roman" w:cs="Times New Roman"/>
          <w:sz w:val="24"/>
          <w:szCs w:val="24"/>
        </w:rPr>
        <w:t>ë</w:t>
      </w:r>
      <w:r w:rsidRPr="004979D2">
        <w:rPr>
          <w:rFonts w:ascii="Times New Roman" w:hAnsi="Times New Roman" w:cs="Times New Roman"/>
          <w:sz w:val="24"/>
          <w:szCs w:val="24"/>
        </w:rPr>
        <w:t xml:space="preserve"> efekteve n</w:t>
      </w:r>
      <w:r w:rsidR="004A4335" w:rsidRPr="004979D2">
        <w:rPr>
          <w:rFonts w:ascii="Times New Roman" w:hAnsi="Times New Roman" w:cs="Times New Roman"/>
          <w:sz w:val="24"/>
          <w:szCs w:val="24"/>
        </w:rPr>
        <w:t>ë</w:t>
      </w:r>
      <w:r w:rsidRPr="004979D2">
        <w:rPr>
          <w:rFonts w:ascii="Times New Roman" w:hAnsi="Times New Roman" w:cs="Times New Roman"/>
          <w:sz w:val="24"/>
          <w:szCs w:val="24"/>
        </w:rPr>
        <w:t xml:space="preserve"> tregun e lir</w:t>
      </w:r>
      <w:r w:rsidR="004A4335" w:rsidRPr="004979D2">
        <w:rPr>
          <w:rFonts w:ascii="Times New Roman" w:hAnsi="Times New Roman" w:cs="Times New Roman"/>
          <w:sz w:val="24"/>
          <w:szCs w:val="24"/>
        </w:rPr>
        <w:t>ë</w:t>
      </w:r>
      <w:r w:rsidRPr="004979D2">
        <w:rPr>
          <w:rFonts w:ascii="Times New Roman" w:hAnsi="Times New Roman" w:cs="Times New Roman"/>
          <w:sz w:val="24"/>
          <w:szCs w:val="24"/>
        </w:rPr>
        <w:t xml:space="preserve"> dhe n</w:t>
      </w:r>
      <w:r w:rsidR="004A4335" w:rsidRPr="004979D2">
        <w:rPr>
          <w:rFonts w:ascii="Times New Roman" w:hAnsi="Times New Roman" w:cs="Times New Roman"/>
          <w:sz w:val="24"/>
          <w:szCs w:val="24"/>
        </w:rPr>
        <w:t>ë</w:t>
      </w:r>
      <w:r w:rsidRPr="004979D2">
        <w:rPr>
          <w:rFonts w:ascii="Times New Roman" w:hAnsi="Times New Roman" w:cs="Times New Roman"/>
          <w:sz w:val="24"/>
          <w:szCs w:val="24"/>
        </w:rPr>
        <w:t xml:space="preserve"> mbrojtje t</w:t>
      </w:r>
      <w:r w:rsidR="004A4335" w:rsidRPr="004979D2">
        <w:rPr>
          <w:rFonts w:ascii="Times New Roman" w:hAnsi="Times New Roman" w:cs="Times New Roman"/>
          <w:sz w:val="24"/>
          <w:szCs w:val="24"/>
        </w:rPr>
        <w:t>ë</w:t>
      </w:r>
      <w:r w:rsidRPr="004979D2">
        <w:rPr>
          <w:rFonts w:ascii="Times New Roman" w:hAnsi="Times New Roman" w:cs="Times New Roman"/>
          <w:sz w:val="24"/>
          <w:szCs w:val="24"/>
        </w:rPr>
        <w:t xml:space="preserve"> konkur</w:t>
      </w:r>
      <w:r w:rsidR="004A4335" w:rsidRPr="004979D2">
        <w:rPr>
          <w:rFonts w:ascii="Times New Roman" w:hAnsi="Times New Roman" w:cs="Times New Roman"/>
          <w:sz w:val="24"/>
          <w:szCs w:val="24"/>
        </w:rPr>
        <w:t>r</w:t>
      </w:r>
      <w:r w:rsidRPr="004979D2">
        <w:rPr>
          <w:rFonts w:ascii="Times New Roman" w:hAnsi="Times New Roman" w:cs="Times New Roman"/>
          <w:sz w:val="24"/>
          <w:szCs w:val="24"/>
        </w:rPr>
        <w:t>enc</w:t>
      </w:r>
      <w:r w:rsidR="004A4335" w:rsidRPr="004979D2">
        <w:rPr>
          <w:rFonts w:ascii="Times New Roman" w:hAnsi="Times New Roman" w:cs="Times New Roman"/>
          <w:sz w:val="24"/>
          <w:szCs w:val="24"/>
        </w:rPr>
        <w:t>ë</w:t>
      </w:r>
      <w:r w:rsidRPr="004979D2">
        <w:rPr>
          <w:rFonts w:ascii="Times New Roman" w:hAnsi="Times New Roman" w:cs="Times New Roman"/>
          <w:sz w:val="24"/>
          <w:szCs w:val="24"/>
        </w:rPr>
        <w:t>s. Në anën tjetër, opsioni i dyt</w:t>
      </w:r>
      <w:r w:rsidR="004A4335" w:rsidRPr="004979D2">
        <w:rPr>
          <w:rFonts w:ascii="Times New Roman" w:hAnsi="Times New Roman" w:cs="Times New Roman"/>
          <w:sz w:val="24"/>
          <w:szCs w:val="24"/>
        </w:rPr>
        <w:t>ë</w:t>
      </w:r>
      <w:r w:rsidR="00643464" w:rsidRPr="004979D2">
        <w:rPr>
          <w:rFonts w:ascii="Times New Roman" w:hAnsi="Times New Roman" w:cs="Times New Roman"/>
          <w:sz w:val="24"/>
          <w:szCs w:val="24"/>
        </w:rPr>
        <w:t xml:space="preserve"> (2)</w:t>
      </w:r>
      <w:r w:rsidRPr="004979D2">
        <w:rPr>
          <w:rFonts w:ascii="Times New Roman" w:hAnsi="Times New Roman" w:cs="Times New Roman"/>
          <w:sz w:val="24"/>
          <w:szCs w:val="24"/>
        </w:rPr>
        <w:t xml:space="preserve"> do të ketë ndikim të drejtpërdrejtë në përmirësimin e infrastrukturës ligjore e cila rregullon dhe mbron tregun e lir</w:t>
      </w:r>
      <w:r w:rsidR="008C0BE2" w:rsidRPr="004979D2">
        <w:rPr>
          <w:rFonts w:ascii="Times New Roman" w:hAnsi="Times New Roman" w:cs="Times New Roman"/>
          <w:sz w:val="24"/>
          <w:szCs w:val="24"/>
        </w:rPr>
        <w:t>ë</w:t>
      </w:r>
      <w:r w:rsidRPr="004979D2">
        <w:rPr>
          <w:rFonts w:ascii="Times New Roman" w:hAnsi="Times New Roman" w:cs="Times New Roman"/>
          <w:sz w:val="24"/>
          <w:szCs w:val="24"/>
        </w:rPr>
        <w:t xml:space="preserve"> dhe konkurrencën n</w:t>
      </w:r>
      <w:r w:rsidR="004A4335" w:rsidRPr="004979D2">
        <w:rPr>
          <w:rFonts w:ascii="Times New Roman" w:hAnsi="Times New Roman" w:cs="Times New Roman"/>
          <w:sz w:val="24"/>
          <w:szCs w:val="24"/>
        </w:rPr>
        <w:t>ë</w:t>
      </w:r>
      <w:r w:rsidRPr="004979D2">
        <w:rPr>
          <w:rFonts w:ascii="Times New Roman" w:hAnsi="Times New Roman" w:cs="Times New Roman"/>
          <w:sz w:val="24"/>
          <w:szCs w:val="24"/>
        </w:rPr>
        <w:t xml:space="preserve"> Republikën e Kosovës. </w:t>
      </w:r>
    </w:p>
    <w:p w14:paraId="36B8ECFE" w14:textId="330D0555" w:rsidR="00E333B3" w:rsidRPr="004979D2" w:rsidRDefault="00E333B3"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Problemi që është identifikuar në këtë Koncept Dokument </w:t>
      </w:r>
      <w:r w:rsidRPr="004979D2">
        <w:rPr>
          <w:rFonts w:ascii="Times New Roman" w:hAnsi="Times New Roman" w:cs="Times New Roman"/>
          <w:i/>
          <w:sz w:val="24"/>
          <w:szCs w:val="24"/>
        </w:rPr>
        <w:t xml:space="preserve">“Vështirësi në funksionimin e lirë të tregut dhe mbrojtjen e konkurrencës” </w:t>
      </w:r>
      <w:r w:rsidRPr="004979D2">
        <w:rPr>
          <w:rFonts w:ascii="Times New Roman" w:hAnsi="Times New Roman" w:cs="Times New Roman"/>
          <w:sz w:val="24"/>
          <w:szCs w:val="24"/>
        </w:rPr>
        <w:t xml:space="preserve">është kryesisht i ndërlidhur me bazën aktuale ligjore. </w:t>
      </w:r>
      <w:proofErr w:type="spellStart"/>
      <w:r w:rsidR="00E40C31" w:rsidRPr="004979D2">
        <w:rPr>
          <w:rFonts w:ascii="Times New Roman" w:hAnsi="Times New Roman" w:cs="Times New Roman"/>
          <w:sz w:val="24"/>
          <w:szCs w:val="24"/>
        </w:rPr>
        <w:t>Opisioni</w:t>
      </w:r>
      <w:proofErr w:type="spellEnd"/>
      <w:r w:rsidR="00E40C31" w:rsidRPr="004979D2">
        <w:rPr>
          <w:rFonts w:ascii="Times New Roman" w:hAnsi="Times New Roman" w:cs="Times New Roman"/>
          <w:sz w:val="24"/>
          <w:szCs w:val="24"/>
        </w:rPr>
        <w:t xml:space="preserve"> i dytë</w:t>
      </w:r>
      <w:r w:rsidR="00643464" w:rsidRPr="004979D2">
        <w:rPr>
          <w:rFonts w:ascii="Times New Roman" w:hAnsi="Times New Roman" w:cs="Times New Roman"/>
          <w:sz w:val="24"/>
          <w:szCs w:val="24"/>
        </w:rPr>
        <w:t xml:space="preserve"> (2)</w:t>
      </w:r>
      <w:r w:rsidR="00E40C31" w:rsidRPr="004979D2">
        <w:rPr>
          <w:rFonts w:ascii="Times New Roman" w:hAnsi="Times New Roman" w:cs="Times New Roman"/>
          <w:sz w:val="24"/>
          <w:szCs w:val="24"/>
        </w:rPr>
        <w:t xml:space="preserve"> do të sjell ndryshime substanciale në politikën ekzistuese, ku përmes hartimit të ligjit të ri për mbrojtjen e konkurrencës synohet përmirësimi i kornizës ligjore dhe zbatimi efektiv i ligjit. </w:t>
      </w:r>
    </w:p>
    <w:p w14:paraId="1C439D83" w14:textId="1592671F" w:rsidR="00E40C31" w:rsidRPr="004979D2" w:rsidRDefault="00117147" w:rsidP="002B1BC6">
      <w:pPr>
        <w:pStyle w:val="Heading2"/>
        <w:spacing w:line="360" w:lineRule="auto"/>
        <w:rPr>
          <w:rFonts w:cs="Times New Roman"/>
          <w:szCs w:val="24"/>
        </w:rPr>
      </w:pPr>
      <w:bookmarkStart w:id="49" w:name="_Toc1114333"/>
      <w:r w:rsidRPr="004979D2">
        <w:rPr>
          <w:rFonts w:cs="Times New Roman"/>
          <w:szCs w:val="24"/>
        </w:rPr>
        <w:t xml:space="preserve">6.1: </w:t>
      </w:r>
      <w:r w:rsidR="00A477AE" w:rsidRPr="004979D2">
        <w:rPr>
          <w:rFonts w:cs="Times New Roman"/>
          <w:szCs w:val="24"/>
        </w:rPr>
        <w:t>Planet e zbatimit për opsionet e ndryshme</w:t>
      </w:r>
      <w:bookmarkEnd w:id="49"/>
    </w:p>
    <w:p w14:paraId="560ABEA8" w14:textId="2C8AD08D" w:rsidR="00E70022" w:rsidRPr="004979D2" w:rsidRDefault="00E40C31"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Në këtë nënkapitull është paraqitu</w:t>
      </w:r>
      <w:r w:rsidR="004F27D0" w:rsidRPr="004979D2">
        <w:rPr>
          <w:rFonts w:ascii="Times New Roman" w:hAnsi="Times New Roman" w:cs="Times New Roman"/>
          <w:sz w:val="24"/>
          <w:szCs w:val="24"/>
        </w:rPr>
        <w:t>r</w:t>
      </w:r>
      <w:r w:rsidRPr="004979D2">
        <w:rPr>
          <w:rFonts w:ascii="Times New Roman" w:hAnsi="Times New Roman" w:cs="Times New Roman"/>
          <w:sz w:val="24"/>
          <w:szCs w:val="24"/>
        </w:rPr>
        <w:t xml:space="preserve"> plani i zbatimit për opsion</w:t>
      </w:r>
      <w:r w:rsidR="004F27D0" w:rsidRPr="004979D2">
        <w:rPr>
          <w:rFonts w:ascii="Times New Roman" w:hAnsi="Times New Roman" w:cs="Times New Roman"/>
          <w:sz w:val="24"/>
          <w:szCs w:val="24"/>
        </w:rPr>
        <w:t xml:space="preserve">in </w:t>
      </w:r>
      <w:r w:rsidR="00643464" w:rsidRPr="004979D2">
        <w:rPr>
          <w:rFonts w:ascii="Times New Roman" w:hAnsi="Times New Roman" w:cs="Times New Roman"/>
          <w:sz w:val="24"/>
          <w:szCs w:val="24"/>
        </w:rPr>
        <w:t xml:space="preserve">e dytë (2), </w:t>
      </w:r>
      <w:r w:rsidR="004F27D0" w:rsidRPr="004979D2">
        <w:rPr>
          <w:rFonts w:ascii="Times New Roman" w:hAnsi="Times New Roman" w:cs="Times New Roman"/>
          <w:sz w:val="24"/>
          <w:szCs w:val="24"/>
        </w:rPr>
        <w:t>që</w:t>
      </w:r>
      <w:r w:rsidR="00643464" w:rsidRPr="004979D2">
        <w:rPr>
          <w:rFonts w:ascii="Times New Roman" w:hAnsi="Times New Roman" w:cs="Times New Roman"/>
          <w:sz w:val="24"/>
          <w:szCs w:val="24"/>
        </w:rPr>
        <w:t xml:space="preserve"> është edhe opsioni i rekomanduar pasi që</w:t>
      </w:r>
      <w:r w:rsidR="004F27D0" w:rsidRPr="004979D2">
        <w:rPr>
          <w:rFonts w:ascii="Times New Roman" w:hAnsi="Times New Roman" w:cs="Times New Roman"/>
          <w:sz w:val="24"/>
          <w:szCs w:val="24"/>
        </w:rPr>
        <w:t xml:space="preserve"> synon përmirësimin e kornizës ligjore në fushën e konkurrencës dhe për opsionin </w:t>
      </w:r>
      <w:r w:rsidR="00643464" w:rsidRPr="004979D2">
        <w:rPr>
          <w:rFonts w:ascii="Times New Roman" w:hAnsi="Times New Roman" w:cs="Times New Roman"/>
          <w:sz w:val="24"/>
          <w:szCs w:val="24"/>
        </w:rPr>
        <w:t>e tretë (</w:t>
      </w:r>
      <w:r w:rsidR="004F27D0" w:rsidRPr="004979D2">
        <w:rPr>
          <w:rFonts w:ascii="Times New Roman" w:hAnsi="Times New Roman" w:cs="Times New Roman"/>
          <w:sz w:val="24"/>
          <w:szCs w:val="24"/>
        </w:rPr>
        <w:t>3</w:t>
      </w:r>
      <w:r w:rsidR="00643464" w:rsidRPr="004979D2">
        <w:rPr>
          <w:rFonts w:ascii="Times New Roman" w:hAnsi="Times New Roman" w:cs="Times New Roman"/>
          <w:sz w:val="24"/>
          <w:szCs w:val="24"/>
        </w:rPr>
        <w:t>)</w:t>
      </w:r>
      <w:r w:rsidR="004F27D0" w:rsidRPr="004979D2">
        <w:rPr>
          <w:rFonts w:ascii="Times New Roman" w:hAnsi="Times New Roman" w:cs="Times New Roman"/>
          <w:sz w:val="24"/>
          <w:szCs w:val="24"/>
        </w:rPr>
        <w:t xml:space="preserve"> që ka për qëllim ngritjen e kapaciteteve të AKK-së.</w:t>
      </w:r>
      <w:r w:rsidR="00CD254E" w:rsidRPr="004979D2" w:rsidDel="00CD254E">
        <w:rPr>
          <w:rFonts w:ascii="Times New Roman" w:hAnsi="Times New Roman" w:cs="Times New Roman"/>
          <w:sz w:val="24"/>
          <w:szCs w:val="24"/>
        </w:rPr>
        <w:t xml:space="preserve"> </w:t>
      </w:r>
    </w:p>
    <w:p w14:paraId="1F672945" w14:textId="77777777" w:rsidR="00E70022" w:rsidRPr="004979D2" w:rsidRDefault="00E70022" w:rsidP="002B1BC6">
      <w:pPr>
        <w:spacing w:after="200" w:line="360" w:lineRule="auto"/>
        <w:rPr>
          <w:rFonts w:ascii="Times New Roman" w:eastAsia="Calibri" w:hAnsi="Times New Roman" w:cs="Times New Roman"/>
          <w:i/>
          <w:iCs/>
          <w:color w:val="44546A"/>
          <w:sz w:val="24"/>
          <w:szCs w:val="24"/>
        </w:rPr>
      </w:pPr>
      <w:r w:rsidRPr="004979D2">
        <w:rPr>
          <w:rFonts w:ascii="Times New Roman" w:eastAsia="Calibri" w:hAnsi="Times New Roman" w:cs="Times New Roman"/>
          <w:i/>
          <w:iCs/>
          <w:color w:val="44546A"/>
          <w:sz w:val="24"/>
          <w:szCs w:val="24"/>
        </w:rPr>
        <w:t>Figura 11: Plani i zbatimit për Opsionin 2</w:t>
      </w:r>
    </w:p>
    <w:tbl>
      <w:tblPr>
        <w:tblStyle w:val="TableGrid"/>
        <w:tblpPr w:leftFromText="180" w:rightFromText="180" w:vertAnchor="text" w:horzAnchor="margin" w:tblpXSpec="center" w:tblpY="260"/>
        <w:tblW w:w="10890" w:type="dxa"/>
        <w:tblLayout w:type="fixed"/>
        <w:tblLook w:val="04A0" w:firstRow="1" w:lastRow="0" w:firstColumn="1" w:lastColumn="0" w:noHBand="0" w:noVBand="1"/>
      </w:tblPr>
      <w:tblGrid>
        <w:gridCol w:w="1890"/>
        <w:gridCol w:w="1080"/>
        <w:gridCol w:w="1314"/>
        <w:gridCol w:w="882"/>
        <w:gridCol w:w="882"/>
        <w:gridCol w:w="882"/>
        <w:gridCol w:w="882"/>
        <w:gridCol w:w="891"/>
        <w:gridCol w:w="1089"/>
        <w:gridCol w:w="1098"/>
      </w:tblGrid>
      <w:tr w:rsidR="00E70022" w:rsidRPr="004979D2" w14:paraId="4955A082" w14:textId="77777777" w:rsidTr="00B11DC4">
        <w:trPr>
          <w:trHeight w:val="719"/>
        </w:trPr>
        <w:tc>
          <w:tcPr>
            <w:tcW w:w="1890" w:type="dxa"/>
          </w:tcPr>
          <w:p w14:paraId="553E622B"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Qëllimi i</w:t>
            </w:r>
          </w:p>
          <w:p w14:paraId="554900A8"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politikës</w:t>
            </w:r>
          </w:p>
        </w:tc>
        <w:tc>
          <w:tcPr>
            <w:tcW w:w="7902" w:type="dxa"/>
            <w:gridSpan w:val="8"/>
          </w:tcPr>
          <w:p w14:paraId="6CAB2297"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Përmirësimi i kornizës ligjore në fushën e konkurrencës</w:t>
            </w:r>
          </w:p>
        </w:tc>
        <w:tc>
          <w:tcPr>
            <w:tcW w:w="1098" w:type="dxa"/>
            <w:vMerge w:val="restart"/>
          </w:tcPr>
          <w:p w14:paraId="7C5AFAD4"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Shifra e kostos së pritur</w:t>
            </w:r>
          </w:p>
        </w:tc>
      </w:tr>
      <w:tr w:rsidR="00E70022" w:rsidRPr="004979D2" w14:paraId="34E23390" w14:textId="77777777" w:rsidTr="00B11DC4">
        <w:tc>
          <w:tcPr>
            <w:tcW w:w="1890" w:type="dxa"/>
          </w:tcPr>
          <w:p w14:paraId="74FB810D"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Objektivi strategjik</w:t>
            </w:r>
          </w:p>
        </w:tc>
        <w:tc>
          <w:tcPr>
            <w:tcW w:w="7902" w:type="dxa"/>
            <w:gridSpan w:val="8"/>
          </w:tcPr>
          <w:p w14:paraId="6F92CA27" w14:textId="77777777" w:rsidR="00E70022" w:rsidRPr="004979D2" w:rsidRDefault="00E70022" w:rsidP="001C0BEF">
            <w:pPr>
              <w:spacing w:after="160"/>
              <w:rPr>
                <w:rFonts w:ascii="Times New Roman" w:eastAsia="Calibri" w:hAnsi="Times New Roman" w:cs="Times New Roman"/>
                <w:sz w:val="24"/>
                <w:szCs w:val="24"/>
              </w:rPr>
            </w:pPr>
          </w:p>
          <w:p w14:paraId="6D6232BA"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 xml:space="preserve">Mbrojtja dhe inkurajimi i konkurrencës së lirë si mjet i promovimit të </w:t>
            </w:r>
            <w:proofErr w:type="spellStart"/>
            <w:r w:rsidRPr="004979D2">
              <w:rPr>
                <w:rFonts w:ascii="Times New Roman" w:eastAsia="Calibri" w:hAnsi="Times New Roman" w:cs="Times New Roman"/>
                <w:sz w:val="24"/>
                <w:szCs w:val="24"/>
              </w:rPr>
              <w:t>efiqiencës</w:t>
            </w:r>
            <w:proofErr w:type="spellEnd"/>
            <w:r w:rsidRPr="004979D2">
              <w:rPr>
                <w:rFonts w:ascii="Times New Roman" w:eastAsia="Calibri" w:hAnsi="Times New Roman" w:cs="Times New Roman"/>
                <w:sz w:val="24"/>
                <w:szCs w:val="24"/>
              </w:rPr>
              <w:t xml:space="preserve"> ekonomike dhe rritjes së mirëqenies së konsumatorit.</w:t>
            </w:r>
          </w:p>
        </w:tc>
        <w:tc>
          <w:tcPr>
            <w:tcW w:w="1098" w:type="dxa"/>
            <w:vMerge/>
          </w:tcPr>
          <w:p w14:paraId="6B40ED73" w14:textId="77777777" w:rsidR="00E70022" w:rsidRPr="004979D2" w:rsidRDefault="00E70022" w:rsidP="001C0BEF">
            <w:pPr>
              <w:spacing w:after="160"/>
              <w:rPr>
                <w:rFonts w:ascii="Times New Roman" w:eastAsia="Calibri" w:hAnsi="Times New Roman" w:cs="Times New Roman"/>
                <w:sz w:val="24"/>
                <w:szCs w:val="24"/>
              </w:rPr>
            </w:pPr>
          </w:p>
        </w:tc>
      </w:tr>
      <w:tr w:rsidR="00E70022" w:rsidRPr="004979D2" w14:paraId="7941C63E" w14:textId="77777777" w:rsidTr="00B11DC4">
        <w:tc>
          <w:tcPr>
            <w:tcW w:w="1890" w:type="dxa"/>
          </w:tcPr>
          <w:p w14:paraId="64E0EC9C" w14:textId="77777777" w:rsidR="00E70022" w:rsidRPr="004979D2" w:rsidRDefault="00E70022" w:rsidP="001C0BEF">
            <w:pPr>
              <w:spacing w:after="160"/>
              <w:rPr>
                <w:rFonts w:ascii="Times New Roman" w:eastAsia="Calibri" w:hAnsi="Times New Roman" w:cs="Times New Roman"/>
                <w:sz w:val="24"/>
                <w:szCs w:val="24"/>
              </w:rPr>
            </w:pPr>
          </w:p>
        </w:tc>
        <w:tc>
          <w:tcPr>
            <w:tcW w:w="7902" w:type="dxa"/>
            <w:gridSpan w:val="8"/>
          </w:tcPr>
          <w:p w14:paraId="23E1F996" w14:textId="77777777" w:rsidR="00E70022" w:rsidRPr="004979D2" w:rsidRDefault="00E70022" w:rsidP="001C0BEF">
            <w:pPr>
              <w:spacing w:after="160"/>
              <w:rPr>
                <w:rFonts w:ascii="Times New Roman" w:eastAsia="Calibri" w:hAnsi="Times New Roman" w:cs="Times New Roman"/>
                <w:sz w:val="24"/>
                <w:szCs w:val="24"/>
              </w:rPr>
            </w:pPr>
          </w:p>
        </w:tc>
        <w:tc>
          <w:tcPr>
            <w:tcW w:w="1098" w:type="dxa"/>
            <w:vMerge/>
          </w:tcPr>
          <w:p w14:paraId="2F30ABF6" w14:textId="77777777" w:rsidR="00E70022" w:rsidRPr="004979D2" w:rsidRDefault="00E70022" w:rsidP="001C0BEF">
            <w:pPr>
              <w:spacing w:after="160"/>
              <w:rPr>
                <w:rFonts w:ascii="Times New Roman" w:eastAsia="Calibri" w:hAnsi="Times New Roman" w:cs="Times New Roman"/>
                <w:sz w:val="24"/>
                <w:szCs w:val="24"/>
              </w:rPr>
            </w:pPr>
          </w:p>
        </w:tc>
      </w:tr>
      <w:tr w:rsidR="00E70022" w:rsidRPr="004979D2" w14:paraId="0FED5469" w14:textId="77777777" w:rsidTr="00B11DC4">
        <w:tc>
          <w:tcPr>
            <w:tcW w:w="1890" w:type="dxa"/>
            <w:vMerge w:val="restart"/>
          </w:tcPr>
          <w:p w14:paraId="6B5F3C78" w14:textId="33466C75"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Objektivi Specifik 1</w:t>
            </w:r>
          </w:p>
          <w:p w14:paraId="3F9FC2DA"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 xml:space="preserve">1- Deri në dhjetor të vitit 2020, infrastruktura ligjore që rregullon fushën e </w:t>
            </w:r>
            <w:r w:rsidRPr="004979D2">
              <w:rPr>
                <w:rFonts w:ascii="Times New Roman" w:eastAsia="Calibri" w:hAnsi="Times New Roman" w:cs="Times New Roman"/>
                <w:b/>
                <w:sz w:val="24"/>
                <w:szCs w:val="24"/>
              </w:rPr>
              <w:lastRenderedPageBreak/>
              <w:t>konkurrencës është e plotë, e qartë dhe e avancuar në raport me standardet e BE-së.</w:t>
            </w:r>
          </w:p>
        </w:tc>
        <w:tc>
          <w:tcPr>
            <w:tcW w:w="1080" w:type="dxa"/>
            <w:vMerge w:val="restart"/>
          </w:tcPr>
          <w:p w14:paraId="6F02F764"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lastRenderedPageBreak/>
              <w:t xml:space="preserve">Produkti 1.1 </w:t>
            </w:r>
          </w:p>
        </w:tc>
        <w:tc>
          <w:tcPr>
            <w:tcW w:w="6822" w:type="dxa"/>
            <w:gridSpan w:val="7"/>
          </w:tcPr>
          <w:p w14:paraId="5FD99B22"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 xml:space="preserve">Ligji i ri për mbrojtjen e konkurrencës i miratuar. </w:t>
            </w:r>
          </w:p>
          <w:p w14:paraId="3A213F18" w14:textId="77777777" w:rsidR="00E70022" w:rsidRPr="004979D2" w:rsidRDefault="00E70022" w:rsidP="001C0BEF">
            <w:pPr>
              <w:spacing w:after="160"/>
              <w:rPr>
                <w:rFonts w:ascii="Times New Roman" w:eastAsia="Calibri" w:hAnsi="Times New Roman" w:cs="Times New Roman"/>
                <w:sz w:val="24"/>
                <w:szCs w:val="24"/>
              </w:rPr>
            </w:pPr>
          </w:p>
        </w:tc>
        <w:tc>
          <w:tcPr>
            <w:tcW w:w="1098" w:type="dxa"/>
          </w:tcPr>
          <w:p w14:paraId="287E4A18" w14:textId="77777777" w:rsidR="00E70022" w:rsidRPr="004979D2" w:rsidRDefault="00E70022" w:rsidP="001C0BEF">
            <w:pPr>
              <w:spacing w:after="160"/>
              <w:rPr>
                <w:rFonts w:ascii="Times New Roman" w:eastAsia="Calibri" w:hAnsi="Times New Roman" w:cs="Times New Roman"/>
                <w:sz w:val="24"/>
                <w:szCs w:val="24"/>
              </w:rPr>
            </w:pPr>
          </w:p>
        </w:tc>
      </w:tr>
      <w:tr w:rsidR="00E70022" w:rsidRPr="004979D2" w14:paraId="53E009F6" w14:textId="77777777" w:rsidTr="00B11DC4">
        <w:tc>
          <w:tcPr>
            <w:tcW w:w="1890" w:type="dxa"/>
            <w:vMerge/>
          </w:tcPr>
          <w:p w14:paraId="1ECC03E2" w14:textId="77777777" w:rsidR="00E70022" w:rsidRPr="004979D2" w:rsidRDefault="00E70022" w:rsidP="001C0BEF">
            <w:pPr>
              <w:spacing w:after="160"/>
              <w:rPr>
                <w:rFonts w:ascii="Times New Roman" w:eastAsia="Calibri" w:hAnsi="Times New Roman" w:cs="Times New Roman"/>
                <w:sz w:val="24"/>
                <w:szCs w:val="24"/>
              </w:rPr>
            </w:pPr>
          </w:p>
        </w:tc>
        <w:tc>
          <w:tcPr>
            <w:tcW w:w="1080" w:type="dxa"/>
            <w:vMerge/>
          </w:tcPr>
          <w:p w14:paraId="13BDB05F" w14:textId="77777777" w:rsidR="00E70022" w:rsidRPr="004979D2" w:rsidRDefault="00E70022" w:rsidP="001C0BEF">
            <w:pPr>
              <w:spacing w:after="160"/>
              <w:rPr>
                <w:rFonts w:ascii="Times New Roman" w:eastAsia="Calibri" w:hAnsi="Times New Roman" w:cs="Times New Roman"/>
                <w:sz w:val="24"/>
                <w:szCs w:val="24"/>
              </w:rPr>
            </w:pPr>
          </w:p>
        </w:tc>
        <w:tc>
          <w:tcPr>
            <w:tcW w:w="1314" w:type="dxa"/>
          </w:tcPr>
          <w:p w14:paraId="6F23F9FC" w14:textId="77777777" w:rsidR="00E70022" w:rsidRPr="004979D2" w:rsidRDefault="00E70022" w:rsidP="001C0BEF">
            <w:pPr>
              <w:spacing w:after="160"/>
              <w:rPr>
                <w:rFonts w:ascii="Times New Roman" w:eastAsia="Calibri" w:hAnsi="Times New Roman" w:cs="Times New Roman"/>
                <w:sz w:val="24"/>
                <w:szCs w:val="24"/>
              </w:rPr>
            </w:pPr>
          </w:p>
        </w:tc>
        <w:tc>
          <w:tcPr>
            <w:tcW w:w="882" w:type="dxa"/>
          </w:tcPr>
          <w:p w14:paraId="523A31B5"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1</w:t>
            </w:r>
          </w:p>
          <w:p w14:paraId="1D91BBA8"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(2019)</w:t>
            </w:r>
          </w:p>
        </w:tc>
        <w:tc>
          <w:tcPr>
            <w:tcW w:w="882" w:type="dxa"/>
          </w:tcPr>
          <w:p w14:paraId="7AD8D9C5"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2</w:t>
            </w:r>
          </w:p>
          <w:p w14:paraId="6C274E2E"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(2020)</w:t>
            </w:r>
          </w:p>
        </w:tc>
        <w:tc>
          <w:tcPr>
            <w:tcW w:w="882" w:type="dxa"/>
          </w:tcPr>
          <w:p w14:paraId="3AEF1F0A"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3</w:t>
            </w:r>
          </w:p>
          <w:p w14:paraId="0286A4DE"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(2021)</w:t>
            </w:r>
          </w:p>
        </w:tc>
        <w:tc>
          <w:tcPr>
            <w:tcW w:w="882" w:type="dxa"/>
          </w:tcPr>
          <w:p w14:paraId="026F9126"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4</w:t>
            </w:r>
          </w:p>
          <w:p w14:paraId="0D2010A3"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(2022)</w:t>
            </w:r>
          </w:p>
        </w:tc>
        <w:tc>
          <w:tcPr>
            <w:tcW w:w="891" w:type="dxa"/>
          </w:tcPr>
          <w:p w14:paraId="222AFFAC"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5</w:t>
            </w:r>
          </w:p>
          <w:p w14:paraId="669F401E"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(2023)</w:t>
            </w:r>
          </w:p>
        </w:tc>
        <w:tc>
          <w:tcPr>
            <w:tcW w:w="1089" w:type="dxa"/>
          </w:tcPr>
          <w:p w14:paraId="066BB660"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Institucioni /departamenti përgjegjës</w:t>
            </w:r>
          </w:p>
        </w:tc>
        <w:tc>
          <w:tcPr>
            <w:tcW w:w="1098" w:type="dxa"/>
          </w:tcPr>
          <w:p w14:paraId="6D403938" w14:textId="77777777" w:rsidR="00E70022" w:rsidRPr="004979D2" w:rsidRDefault="00E70022" w:rsidP="001C0BEF">
            <w:pPr>
              <w:spacing w:after="160"/>
              <w:rPr>
                <w:rFonts w:ascii="Times New Roman" w:eastAsia="Calibri" w:hAnsi="Times New Roman" w:cs="Times New Roman"/>
                <w:sz w:val="24"/>
                <w:szCs w:val="24"/>
              </w:rPr>
            </w:pPr>
          </w:p>
        </w:tc>
      </w:tr>
      <w:tr w:rsidR="00E70022" w:rsidRPr="004979D2" w14:paraId="4124FEDE" w14:textId="77777777" w:rsidTr="00B11DC4">
        <w:trPr>
          <w:trHeight w:val="1133"/>
        </w:trPr>
        <w:tc>
          <w:tcPr>
            <w:tcW w:w="1890" w:type="dxa"/>
            <w:vMerge/>
          </w:tcPr>
          <w:p w14:paraId="54EAFC81" w14:textId="77777777" w:rsidR="00E70022" w:rsidRPr="004979D2" w:rsidRDefault="00E70022" w:rsidP="001C0BEF">
            <w:pPr>
              <w:spacing w:after="160"/>
              <w:rPr>
                <w:rFonts w:ascii="Times New Roman" w:eastAsia="Calibri" w:hAnsi="Times New Roman" w:cs="Times New Roman"/>
                <w:sz w:val="24"/>
                <w:szCs w:val="24"/>
              </w:rPr>
            </w:pPr>
          </w:p>
        </w:tc>
        <w:tc>
          <w:tcPr>
            <w:tcW w:w="1080" w:type="dxa"/>
            <w:vMerge/>
          </w:tcPr>
          <w:p w14:paraId="55E5CE68" w14:textId="77777777" w:rsidR="00E70022" w:rsidRPr="004979D2" w:rsidRDefault="00E70022" w:rsidP="001C0BEF">
            <w:pPr>
              <w:spacing w:after="160"/>
              <w:rPr>
                <w:rFonts w:ascii="Times New Roman" w:eastAsia="Calibri" w:hAnsi="Times New Roman" w:cs="Times New Roman"/>
                <w:sz w:val="24"/>
                <w:szCs w:val="24"/>
              </w:rPr>
            </w:pPr>
          </w:p>
        </w:tc>
        <w:tc>
          <w:tcPr>
            <w:tcW w:w="1314" w:type="dxa"/>
          </w:tcPr>
          <w:p w14:paraId="6C2C5B0C"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 xml:space="preserve">Aktiviteti 1.1.1 </w:t>
            </w:r>
            <w:r w:rsidRPr="004979D2">
              <w:rPr>
                <w:rFonts w:ascii="Times New Roman" w:eastAsia="Calibri" w:hAnsi="Times New Roman" w:cs="Times New Roman"/>
                <w:sz w:val="24"/>
                <w:szCs w:val="24"/>
              </w:rPr>
              <w:t>Hartimi i ligjit të ri</w:t>
            </w:r>
          </w:p>
        </w:tc>
        <w:tc>
          <w:tcPr>
            <w:tcW w:w="882" w:type="dxa"/>
          </w:tcPr>
          <w:p w14:paraId="7CADD171"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3.640</w:t>
            </w:r>
            <w:r w:rsidRPr="004979D2">
              <w:rPr>
                <w:rFonts w:ascii="Times New Roman" w:hAnsi="Times New Roman" w:cs="Times New Roman"/>
                <w:sz w:val="24"/>
                <w:szCs w:val="24"/>
              </w:rPr>
              <w:t>€</w:t>
            </w:r>
          </w:p>
        </w:tc>
        <w:tc>
          <w:tcPr>
            <w:tcW w:w="882" w:type="dxa"/>
          </w:tcPr>
          <w:p w14:paraId="3348E672"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3.640</w:t>
            </w:r>
            <w:r w:rsidRPr="004979D2">
              <w:rPr>
                <w:rFonts w:ascii="Times New Roman" w:hAnsi="Times New Roman" w:cs="Times New Roman"/>
                <w:sz w:val="24"/>
                <w:szCs w:val="24"/>
              </w:rPr>
              <w:t>€</w:t>
            </w:r>
          </w:p>
        </w:tc>
        <w:tc>
          <w:tcPr>
            <w:tcW w:w="882" w:type="dxa"/>
          </w:tcPr>
          <w:p w14:paraId="0EBD69C6"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82" w:type="dxa"/>
          </w:tcPr>
          <w:p w14:paraId="138F99EA"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91" w:type="dxa"/>
          </w:tcPr>
          <w:p w14:paraId="07105657"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1089" w:type="dxa"/>
          </w:tcPr>
          <w:p w14:paraId="18CD0127"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MTI</w:t>
            </w:r>
          </w:p>
          <w:p w14:paraId="0BB1FBD4"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AKK</w:t>
            </w:r>
          </w:p>
          <w:p w14:paraId="4616B281" w14:textId="77777777" w:rsidR="00E70022" w:rsidRPr="004979D2" w:rsidRDefault="00E70022" w:rsidP="001C0BEF">
            <w:pPr>
              <w:spacing w:after="160"/>
              <w:rPr>
                <w:rFonts w:ascii="Times New Roman" w:eastAsia="Calibri" w:hAnsi="Times New Roman" w:cs="Times New Roman"/>
                <w:sz w:val="24"/>
                <w:szCs w:val="24"/>
              </w:rPr>
            </w:pPr>
          </w:p>
        </w:tc>
        <w:tc>
          <w:tcPr>
            <w:tcW w:w="1098" w:type="dxa"/>
          </w:tcPr>
          <w:p w14:paraId="6FCAEB6F" w14:textId="77777777" w:rsidR="00E70022" w:rsidRPr="004979D2" w:rsidRDefault="00E70022" w:rsidP="001C0BEF">
            <w:pPr>
              <w:spacing w:after="160"/>
              <w:jc w:val="right"/>
              <w:rPr>
                <w:rFonts w:ascii="Times New Roman" w:eastAsia="Calibri" w:hAnsi="Times New Roman" w:cs="Times New Roman"/>
                <w:sz w:val="24"/>
                <w:szCs w:val="24"/>
              </w:rPr>
            </w:pPr>
            <w:r w:rsidRPr="004979D2">
              <w:rPr>
                <w:rFonts w:ascii="Times New Roman" w:eastAsia="Calibri" w:hAnsi="Times New Roman" w:cs="Times New Roman"/>
                <w:sz w:val="24"/>
                <w:szCs w:val="24"/>
              </w:rPr>
              <w:t>7.280</w:t>
            </w:r>
            <w:r w:rsidRPr="004979D2">
              <w:rPr>
                <w:rFonts w:ascii="Times New Roman" w:hAnsi="Times New Roman" w:cs="Times New Roman"/>
                <w:sz w:val="24"/>
                <w:szCs w:val="24"/>
              </w:rPr>
              <w:t>€</w:t>
            </w:r>
          </w:p>
          <w:p w14:paraId="56B6E2BB" w14:textId="77777777" w:rsidR="00E70022" w:rsidRPr="004979D2" w:rsidRDefault="00E70022" w:rsidP="001C0BEF">
            <w:pPr>
              <w:spacing w:after="160"/>
              <w:rPr>
                <w:rFonts w:ascii="Times New Roman" w:eastAsia="Calibri" w:hAnsi="Times New Roman" w:cs="Times New Roman"/>
                <w:sz w:val="24"/>
                <w:szCs w:val="24"/>
              </w:rPr>
            </w:pPr>
          </w:p>
        </w:tc>
      </w:tr>
      <w:tr w:rsidR="00E70022" w:rsidRPr="004979D2" w14:paraId="4379D0A5" w14:textId="77777777" w:rsidTr="00B11DC4">
        <w:trPr>
          <w:trHeight w:val="1610"/>
        </w:trPr>
        <w:tc>
          <w:tcPr>
            <w:tcW w:w="1890" w:type="dxa"/>
            <w:vMerge/>
          </w:tcPr>
          <w:p w14:paraId="435269CF" w14:textId="77777777" w:rsidR="00E70022" w:rsidRPr="004979D2" w:rsidRDefault="00E70022" w:rsidP="001C0BEF">
            <w:pPr>
              <w:spacing w:after="160"/>
              <w:rPr>
                <w:rFonts w:ascii="Times New Roman" w:eastAsia="Calibri" w:hAnsi="Times New Roman" w:cs="Times New Roman"/>
                <w:sz w:val="24"/>
                <w:szCs w:val="24"/>
              </w:rPr>
            </w:pPr>
          </w:p>
        </w:tc>
        <w:tc>
          <w:tcPr>
            <w:tcW w:w="1080" w:type="dxa"/>
            <w:vMerge/>
          </w:tcPr>
          <w:p w14:paraId="4BB1F7E6" w14:textId="77777777" w:rsidR="00E70022" w:rsidRPr="004979D2" w:rsidRDefault="00E70022" w:rsidP="001C0BEF">
            <w:pPr>
              <w:spacing w:after="160"/>
              <w:rPr>
                <w:rFonts w:ascii="Times New Roman" w:eastAsia="Calibri" w:hAnsi="Times New Roman" w:cs="Times New Roman"/>
                <w:sz w:val="24"/>
                <w:szCs w:val="24"/>
              </w:rPr>
            </w:pPr>
          </w:p>
        </w:tc>
        <w:tc>
          <w:tcPr>
            <w:tcW w:w="1314" w:type="dxa"/>
          </w:tcPr>
          <w:p w14:paraId="05801A42"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 xml:space="preserve">Aktiviteti 1.1.2 </w:t>
            </w:r>
            <w:r w:rsidRPr="004979D2">
              <w:rPr>
                <w:rFonts w:ascii="Times New Roman" w:eastAsia="Calibri" w:hAnsi="Times New Roman" w:cs="Times New Roman"/>
                <w:sz w:val="24"/>
                <w:szCs w:val="24"/>
              </w:rPr>
              <w:t>Konsultimet paraprake me ministritë e linjës dhe palët e interesit</w:t>
            </w:r>
          </w:p>
        </w:tc>
        <w:tc>
          <w:tcPr>
            <w:tcW w:w="882" w:type="dxa"/>
          </w:tcPr>
          <w:p w14:paraId="1E7C1871"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82" w:type="dxa"/>
          </w:tcPr>
          <w:p w14:paraId="19C25EF3"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82" w:type="dxa"/>
          </w:tcPr>
          <w:p w14:paraId="50C15715"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82" w:type="dxa"/>
          </w:tcPr>
          <w:p w14:paraId="2436B36C"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91" w:type="dxa"/>
          </w:tcPr>
          <w:p w14:paraId="618DF433"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1089" w:type="dxa"/>
          </w:tcPr>
          <w:p w14:paraId="1DDE2AB0"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MTI</w:t>
            </w:r>
          </w:p>
          <w:p w14:paraId="6F185376"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 xml:space="preserve">AKK </w:t>
            </w:r>
          </w:p>
          <w:p w14:paraId="1346D88C"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Ministritë e linjës</w:t>
            </w:r>
          </w:p>
          <w:p w14:paraId="1FEE1DF2"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Palët e interesit</w:t>
            </w:r>
          </w:p>
        </w:tc>
        <w:tc>
          <w:tcPr>
            <w:tcW w:w="1098" w:type="dxa"/>
          </w:tcPr>
          <w:p w14:paraId="0CFF9167"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Nuk ka kosto buxhetore</w:t>
            </w:r>
          </w:p>
        </w:tc>
      </w:tr>
      <w:tr w:rsidR="00E70022" w:rsidRPr="004979D2" w14:paraId="16A452EA" w14:textId="77777777" w:rsidTr="00B11DC4">
        <w:trPr>
          <w:trHeight w:val="1637"/>
        </w:trPr>
        <w:tc>
          <w:tcPr>
            <w:tcW w:w="1890" w:type="dxa"/>
            <w:vMerge/>
          </w:tcPr>
          <w:p w14:paraId="33461492" w14:textId="77777777" w:rsidR="00E70022" w:rsidRPr="004979D2" w:rsidRDefault="00E70022" w:rsidP="001C0BEF">
            <w:pPr>
              <w:spacing w:after="160"/>
              <w:rPr>
                <w:rFonts w:ascii="Times New Roman" w:eastAsia="Calibri" w:hAnsi="Times New Roman" w:cs="Times New Roman"/>
                <w:sz w:val="24"/>
                <w:szCs w:val="24"/>
              </w:rPr>
            </w:pPr>
          </w:p>
        </w:tc>
        <w:tc>
          <w:tcPr>
            <w:tcW w:w="1080" w:type="dxa"/>
            <w:vMerge/>
          </w:tcPr>
          <w:p w14:paraId="228FFB95" w14:textId="77777777" w:rsidR="00E70022" w:rsidRPr="004979D2" w:rsidRDefault="00E70022" w:rsidP="001C0BEF">
            <w:pPr>
              <w:spacing w:after="160"/>
              <w:rPr>
                <w:rFonts w:ascii="Times New Roman" w:eastAsia="Calibri" w:hAnsi="Times New Roman" w:cs="Times New Roman"/>
                <w:sz w:val="24"/>
                <w:szCs w:val="24"/>
              </w:rPr>
            </w:pPr>
          </w:p>
        </w:tc>
        <w:tc>
          <w:tcPr>
            <w:tcW w:w="1314" w:type="dxa"/>
          </w:tcPr>
          <w:p w14:paraId="08B3551B"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 xml:space="preserve">Aktiviteti 1.1.3 </w:t>
            </w:r>
            <w:r w:rsidRPr="004979D2">
              <w:rPr>
                <w:rFonts w:ascii="Times New Roman" w:eastAsia="Calibri" w:hAnsi="Times New Roman" w:cs="Times New Roman"/>
                <w:sz w:val="24"/>
                <w:szCs w:val="24"/>
              </w:rPr>
              <w:t>Paraqitja e ligjit të ri me të gjitha dokumentet përkatëse për miratim nga Qeveria</w:t>
            </w:r>
          </w:p>
        </w:tc>
        <w:tc>
          <w:tcPr>
            <w:tcW w:w="882" w:type="dxa"/>
          </w:tcPr>
          <w:p w14:paraId="62D49558"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82" w:type="dxa"/>
          </w:tcPr>
          <w:p w14:paraId="10723514"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82" w:type="dxa"/>
          </w:tcPr>
          <w:p w14:paraId="086AE728"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82" w:type="dxa"/>
          </w:tcPr>
          <w:p w14:paraId="0832A76D"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91" w:type="dxa"/>
          </w:tcPr>
          <w:p w14:paraId="1A4DB56D"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1089" w:type="dxa"/>
          </w:tcPr>
          <w:p w14:paraId="3235CC3F"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MTI</w:t>
            </w:r>
          </w:p>
          <w:p w14:paraId="54E968D3"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AKK</w:t>
            </w:r>
          </w:p>
          <w:p w14:paraId="19673BA0"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ZKM</w:t>
            </w:r>
          </w:p>
        </w:tc>
        <w:tc>
          <w:tcPr>
            <w:tcW w:w="1098" w:type="dxa"/>
          </w:tcPr>
          <w:p w14:paraId="28671BDA"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Nuk ka kosto buxhetore</w:t>
            </w:r>
          </w:p>
        </w:tc>
      </w:tr>
      <w:tr w:rsidR="00E70022" w:rsidRPr="004979D2" w14:paraId="7D06096C" w14:textId="77777777" w:rsidTr="00B11DC4">
        <w:trPr>
          <w:trHeight w:val="782"/>
        </w:trPr>
        <w:tc>
          <w:tcPr>
            <w:tcW w:w="1890" w:type="dxa"/>
            <w:vMerge/>
          </w:tcPr>
          <w:p w14:paraId="390D90E2" w14:textId="77777777" w:rsidR="00E70022" w:rsidRPr="004979D2" w:rsidRDefault="00E70022" w:rsidP="001C0BEF">
            <w:pPr>
              <w:spacing w:after="160"/>
              <w:rPr>
                <w:rFonts w:ascii="Times New Roman" w:eastAsia="Calibri" w:hAnsi="Times New Roman" w:cs="Times New Roman"/>
                <w:sz w:val="24"/>
                <w:szCs w:val="24"/>
              </w:rPr>
            </w:pPr>
          </w:p>
        </w:tc>
        <w:tc>
          <w:tcPr>
            <w:tcW w:w="1080" w:type="dxa"/>
            <w:vMerge/>
          </w:tcPr>
          <w:p w14:paraId="587BF894" w14:textId="77777777" w:rsidR="00E70022" w:rsidRPr="004979D2" w:rsidRDefault="00E70022" w:rsidP="001C0BEF">
            <w:pPr>
              <w:spacing w:after="160"/>
              <w:rPr>
                <w:rFonts w:ascii="Times New Roman" w:eastAsia="Calibri" w:hAnsi="Times New Roman" w:cs="Times New Roman"/>
                <w:sz w:val="24"/>
                <w:szCs w:val="24"/>
              </w:rPr>
            </w:pPr>
          </w:p>
        </w:tc>
        <w:tc>
          <w:tcPr>
            <w:tcW w:w="1314" w:type="dxa"/>
          </w:tcPr>
          <w:p w14:paraId="26FC34BC"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 xml:space="preserve">Aktiviteti 1.1.4 </w:t>
            </w:r>
            <w:r w:rsidRPr="004979D2">
              <w:rPr>
                <w:rFonts w:ascii="Times New Roman" w:eastAsia="Calibri" w:hAnsi="Times New Roman" w:cs="Times New Roman"/>
                <w:sz w:val="24"/>
                <w:szCs w:val="24"/>
              </w:rPr>
              <w:t xml:space="preserve">Sigurimi i miratimit nga Qeveria  </w:t>
            </w:r>
          </w:p>
        </w:tc>
        <w:tc>
          <w:tcPr>
            <w:tcW w:w="882" w:type="dxa"/>
          </w:tcPr>
          <w:p w14:paraId="347FEA83"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82" w:type="dxa"/>
          </w:tcPr>
          <w:p w14:paraId="2A5471BE"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82" w:type="dxa"/>
          </w:tcPr>
          <w:p w14:paraId="049C4AD0"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82" w:type="dxa"/>
          </w:tcPr>
          <w:p w14:paraId="7AEEB74B"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91" w:type="dxa"/>
          </w:tcPr>
          <w:p w14:paraId="32FABF1E"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1089" w:type="dxa"/>
          </w:tcPr>
          <w:p w14:paraId="5882B9F0" w14:textId="77777777" w:rsidR="00E70022" w:rsidRPr="004979D2" w:rsidRDefault="00E70022" w:rsidP="001C0BEF">
            <w:pPr>
              <w:spacing w:after="160"/>
              <w:rPr>
                <w:rFonts w:ascii="Times New Roman" w:eastAsia="Calibri" w:hAnsi="Times New Roman" w:cs="Times New Roman"/>
                <w:sz w:val="24"/>
                <w:szCs w:val="24"/>
              </w:rPr>
            </w:pPr>
          </w:p>
          <w:p w14:paraId="2A241670"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Qeveria</w:t>
            </w:r>
          </w:p>
        </w:tc>
        <w:tc>
          <w:tcPr>
            <w:tcW w:w="1098" w:type="dxa"/>
          </w:tcPr>
          <w:p w14:paraId="457D8FE4"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Nuk ka kosto buxhetore</w:t>
            </w:r>
          </w:p>
        </w:tc>
      </w:tr>
      <w:tr w:rsidR="00E70022" w:rsidRPr="004979D2" w14:paraId="62397EBA" w14:textId="77777777" w:rsidTr="00B11DC4">
        <w:trPr>
          <w:trHeight w:val="890"/>
        </w:trPr>
        <w:tc>
          <w:tcPr>
            <w:tcW w:w="1890" w:type="dxa"/>
            <w:vMerge/>
          </w:tcPr>
          <w:p w14:paraId="6BA46E24" w14:textId="77777777" w:rsidR="00E70022" w:rsidRPr="004979D2" w:rsidRDefault="00E70022" w:rsidP="001C0BEF">
            <w:pPr>
              <w:spacing w:after="160"/>
              <w:rPr>
                <w:rFonts w:ascii="Times New Roman" w:eastAsia="Calibri" w:hAnsi="Times New Roman" w:cs="Times New Roman"/>
                <w:sz w:val="24"/>
                <w:szCs w:val="24"/>
              </w:rPr>
            </w:pPr>
          </w:p>
        </w:tc>
        <w:tc>
          <w:tcPr>
            <w:tcW w:w="1080" w:type="dxa"/>
            <w:vMerge/>
          </w:tcPr>
          <w:p w14:paraId="1E22494D" w14:textId="77777777" w:rsidR="00E70022" w:rsidRPr="004979D2" w:rsidRDefault="00E70022" w:rsidP="001C0BEF">
            <w:pPr>
              <w:spacing w:after="160"/>
              <w:rPr>
                <w:rFonts w:ascii="Times New Roman" w:eastAsia="Calibri" w:hAnsi="Times New Roman" w:cs="Times New Roman"/>
                <w:sz w:val="24"/>
                <w:szCs w:val="24"/>
              </w:rPr>
            </w:pPr>
          </w:p>
        </w:tc>
        <w:tc>
          <w:tcPr>
            <w:tcW w:w="1314" w:type="dxa"/>
          </w:tcPr>
          <w:p w14:paraId="2462C9F1"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 xml:space="preserve">Aktiviteti 1.1.5 </w:t>
            </w:r>
            <w:r w:rsidRPr="004979D2">
              <w:rPr>
                <w:rFonts w:ascii="Times New Roman" w:eastAsia="Calibri" w:hAnsi="Times New Roman" w:cs="Times New Roman"/>
                <w:sz w:val="24"/>
                <w:szCs w:val="24"/>
              </w:rPr>
              <w:t>Sigurimi i miratimit nga Parlamenti</w:t>
            </w:r>
          </w:p>
        </w:tc>
        <w:tc>
          <w:tcPr>
            <w:tcW w:w="882" w:type="dxa"/>
          </w:tcPr>
          <w:p w14:paraId="7CE9FA83"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82" w:type="dxa"/>
          </w:tcPr>
          <w:p w14:paraId="373C7D3C"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82" w:type="dxa"/>
          </w:tcPr>
          <w:p w14:paraId="269D3433"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82" w:type="dxa"/>
          </w:tcPr>
          <w:p w14:paraId="77E8545A"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91" w:type="dxa"/>
          </w:tcPr>
          <w:p w14:paraId="26F8FA02"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1089" w:type="dxa"/>
          </w:tcPr>
          <w:p w14:paraId="389BD533"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 xml:space="preserve"> Qeveria</w:t>
            </w:r>
          </w:p>
          <w:p w14:paraId="4D4EE164"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Kuvendi</w:t>
            </w:r>
          </w:p>
        </w:tc>
        <w:tc>
          <w:tcPr>
            <w:tcW w:w="1098" w:type="dxa"/>
          </w:tcPr>
          <w:p w14:paraId="66298754"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Nuk ka kosto buxhetore</w:t>
            </w:r>
          </w:p>
        </w:tc>
      </w:tr>
      <w:tr w:rsidR="00E70022" w:rsidRPr="004979D2" w14:paraId="5F591E2E" w14:textId="77777777" w:rsidTr="00B11DC4">
        <w:trPr>
          <w:trHeight w:val="1034"/>
        </w:trPr>
        <w:tc>
          <w:tcPr>
            <w:tcW w:w="1890" w:type="dxa"/>
            <w:vMerge/>
          </w:tcPr>
          <w:p w14:paraId="52BF7DE9" w14:textId="77777777" w:rsidR="00E70022" w:rsidRPr="004979D2" w:rsidRDefault="00E70022" w:rsidP="001C0BEF">
            <w:pPr>
              <w:spacing w:after="160"/>
              <w:rPr>
                <w:rFonts w:ascii="Times New Roman" w:eastAsia="Calibri" w:hAnsi="Times New Roman" w:cs="Times New Roman"/>
                <w:sz w:val="24"/>
                <w:szCs w:val="24"/>
              </w:rPr>
            </w:pPr>
          </w:p>
        </w:tc>
        <w:tc>
          <w:tcPr>
            <w:tcW w:w="1080" w:type="dxa"/>
            <w:vMerge/>
          </w:tcPr>
          <w:p w14:paraId="174E3368" w14:textId="77777777" w:rsidR="00E70022" w:rsidRPr="004979D2" w:rsidRDefault="00E70022" w:rsidP="001C0BEF">
            <w:pPr>
              <w:spacing w:after="160"/>
              <w:rPr>
                <w:rFonts w:ascii="Times New Roman" w:eastAsia="Calibri" w:hAnsi="Times New Roman" w:cs="Times New Roman"/>
                <w:sz w:val="24"/>
                <w:szCs w:val="24"/>
              </w:rPr>
            </w:pPr>
          </w:p>
        </w:tc>
        <w:tc>
          <w:tcPr>
            <w:tcW w:w="1314" w:type="dxa"/>
          </w:tcPr>
          <w:p w14:paraId="2E16D581"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 xml:space="preserve">Aktiviteti 1.1.6 </w:t>
            </w:r>
            <w:r w:rsidRPr="004979D2">
              <w:rPr>
                <w:rFonts w:ascii="Times New Roman" w:eastAsia="Calibri" w:hAnsi="Times New Roman" w:cs="Times New Roman"/>
                <w:sz w:val="24"/>
                <w:szCs w:val="24"/>
              </w:rPr>
              <w:t xml:space="preserve">Informimi i palëve të interesit </w:t>
            </w:r>
            <w:r w:rsidRPr="004979D2">
              <w:rPr>
                <w:rFonts w:ascii="Times New Roman" w:eastAsia="Calibri" w:hAnsi="Times New Roman" w:cs="Times New Roman"/>
                <w:sz w:val="24"/>
                <w:szCs w:val="24"/>
              </w:rPr>
              <w:lastRenderedPageBreak/>
              <w:t xml:space="preserve">mbi ligjin e ri </w:t>
            </w:r>
            <w:proofErr w:type="spellStart"/>
            <w:r w:rsidRPr="004979D2">
              <w:rPr>
                <w:rFonts w:ascii="Times New Roman" w:eastAsia="Calibri" w:hAnsi="Times New Roman" w:cs="Times New Roman"/>
                <w:sz w:val="24"/>
                <w:szCs w:val="24"/>
              </w:rPr>
              <w:t>permes</w:t>
            </w:r>
            <w:proofErr w:type="spellEnd"/>
            <w:r w:rsidRPr="004979D2">
              <w:rPr>
                <w:rFonts w:ascii="Times New Roman" w:eastAsia="Calibri" w:hAnsi="Times New Roman" w:cs="Times New Roman"/>
                <w:sz w:val="24"/>
                <w:szCs w:val="24"/>
              </w:rPr>
              <w:t xml:space="preserve"> platformave te komunikimit. </w:t>
            </w:r>
          </w:p>
        </w:tc>
        <w:tc>
          <w:tcPr>
            <w:tcW w:w="882" w:type="dxa"/>
          </w:tcPr>
          <w:p w14:paraId="3D097C99"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lastRenderedPageBreak/>
              <w:t>0</w:t>
            </w:r>
          </w:p>
        </w:tc>
        <w:tc>
          <w:tcPr>
            <w:tcW w:w="882" w:type="dxa"/>
          </w:tcPr>
          <w:p w14:paraId="2FFDBF0B"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2.000</w:t>
            </w:r>
            <w:r w:rsidRPr="004979D2">
              <w:rPr>
                <w:rFonts w:ascii="Times New Roman" w:hAnsi="Times New Roman" w:cs="Times New Roman"/>
                <w:sz w:val="24"/>
                <w:szCs w:val="24"/>
              </w:rPr>
              <w:t>€</w:t>
            </w:r>
          </w:p>
        </w:tc>
        <w:tc>
          <w:tcPr>
            <w:tcW w:w="882" w:type="dxa"/>
          </w:tcPr>
          <w:p w14:paraId="3496CB15"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2.000</w:t>
            </w:r>
            <w:r w:rsidRPr="004979D2">
              <w:rPr>
                <w:rFonts w:ascii="Times New Roman" w:hAnsi="Times New Roman" w:cs="Times New Roman"/>
                <w:sz w:val="24"/>
                <w:szCs w:val="24"/>
              </w:rPr>
              <w:t>€</w:t>
            </w:r>
          </w:p>
        </w:tc>
        <w:tc>
          <w:tcPr>
            <w:tcW w:w="882" w:type="dxa"/>
          </w:tcPr>
          <w:p w14:paraId="17F9C66A"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91" w:type="dxa"/>
          </w:tcPr>
          <w:p w14:paraId="643D858E"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1089" w:type="dxa"/>
          </w:tcPr>
          <w:p w14:paraId="27398981"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 xml:space="preserve">MTI </w:t>
            </w:r>
          </w:p>
          <w:p w14:paraId="655CE96F"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AKK</w:t>
            </w:r>
          </w:p>
        </w:tc>
        <w:tc>
          <w:tcPr>
            <w:tcW w:w="1098" w:type="dxa"/>
          </w:tcPr>
          <w:p w14:paraId="387443C8"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4.000€</w:t>
            </w:r>
          </w:p>
        </w:tc>
      </w:tr>
      <w:tr w:rsidR="00E70022" w:rsidRPr="004979D2" w14:paraId="05435838" w14:textId="77777777" w:rsidTr="00B11DC4">
        <w:trPr>
          <w:trHeight w:val="449"/>
        </w:trPr>
        <w:tc>
          <w:tcPr>
            <w:tcW w:w="1890" w:type="dxa"/>
            <w:vMerge/>
          </w:tcPr>
          <w:p w14:paraId="78E7B255" w14:textId="77777777" w:rsidR="00E70022" w:rsidRPr="004979D2" w:rsidRDefault="00E70022" w:rsidP="001C0BEF">
            <w:pPr>
              <w:spacing w:after="160"/>
              <w:rPr>
                <w:rFonts w:ascii="Times New Roman" w:eastAsia="Calibri" w:hAnsi="Times New Roman" w:cs="Times New Roman"/>
                <w:sz w:val="24"/>
                <w:szCs w:val="24"/>
              </w:rPr>
            </w:pPr>
          </w:p>
        </w:tc>
        <w:tc>
          <w:tcPr>
            <w:tcW w:w="1080" w:type="dxa"/>
            <w:vMerge w:val="restart"/>
          </w:tcPr>
          <w:p w14:paraId="6BB16F19"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 xml:space="preserve">Produkti 1.2 </w:t>
            </w:r>
          </w:p>
        </w:tc>
        <w:tc>
          <w:tcPr>
            <w:tcW w:w="6822" w:type="dxa"/>
            <w:gridSpan w:val="7"/>
          </w:tcPr>
          <w:p w14:paraId="10FFF477"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 xml:space="preserve">Aktet nënligjore te miratuara </w:t>
            </w:r>
            <w:proofErr w:type="spellStart"/>
            <w:r w:rsidRPr="004979D2">
              <w:rPr>
                <w:rFonts w:ascii="Times New Roman" w:eastAsia="Calibri" w:hAnsi="Times New Roman" w:cs="Times New Roman"/>
                <w:sz w:val="24"/>
                <w:szCs w:val="24"/>
              </w:rPr>
              <w:t>simbas</w:t>
            </w:r>
            <w:proofErr w:type="spellEnd"/>
            <w:r w:rsidRPr="004979D2">
              <w:rPr>
                <w:rFonts w:ascii="Times New Roman" w:eastAsia="Calibri" w:hAnsi="Times New Roman" w:cs="Times New Roman"/>
                <w:sz w:val="24"/>
                <w:szCs w:val="24"/>
              </w:rPr>
              <w:t xml:space="preserve"> ligjit te ri </w:t>
            </w:r>
          </w:p>
          <w:p w14:paraId="46523FBD" w14:textId="77777777" w:rsidR="00E70022" w:rsidRPr="004979D2" w:rsidRDefault="00E70022" w:rsidP="001C0BEF">
            <w:pPr>
              <w:spacing w:after="160"/>
              <w:rPr>
                <w:rFonts w:ascii="Times New Roman" w:eastAsia="Calibri" w:hAnsi="Times New Roman" w:cs="Times New Roman"/>
                <w:sz w:val="24"/>
                <w:szCs w:val="24"/>
              </w:rPr>
            </w:pPr>
          </w:p>
        </w:tc>
        <w:tc>
          <w:tcPr>
            <w:tcW w:w="1098" w:type="dxa"/>
          </w:tcPr>
          <w:p w14:paraId="5C640C93" w14:textId="77777777" w:rsidR="00E70022" w:rsidRPr="004979D2" w:rsidRDefault="00E70022" w:rsidP="001C0BEF">
            <w:pPr>
              <w:spacing w:after="160"/>
              <w:rPr>
                <w:rFonts w:ascii="Times New Roman" w:eastAsia="Calibri" w:hAnsi="Times New Roman" w:cs="Times New Roman"/>
                <w:sz w:val="24"/>
                <w:szCs w:val="24"/>
              </w:rPr>
            </w:pPr>
          </w:p>
        </w:tc>
      </w:tr>
      <w:tr w:rsidR="00E70022" w:rsidRPr="004979D2" w14:paraId="1660D592" w14:textId="77777777" w:rsidTr="00B11DC4">
        <w:tc>
          <w:tcPr>
            <w:tcW w:w="1890" w:type="dxa"/>
            <w:vMerge/>
          </w:tcPr>
          <w:p w14:paraId="039C16A4" w14:textId="77777777" w:rsidR="00E70022" w:rsidRPr="004979D2" w:rsidRDefault="00E70022" w:rsidP="001C0BEF">
            <w:pPr>
              <w:spacing w:after="160"/>
              <w:rPr>
                <w:rFonts w:ascii="Times New Roman" w:eastAsia="Calibri" w:hAnsi="Times New Roman" w:cs="Times New Roman"/>
                <w:sz w:val="24"/>
                <w:szCs w:val="24"/>
              </w:rPr>
            </w:pPr>
          </w:p>
        </w:tc>
        <w:tc>
          <w:tcPr>
            <w:tcW w:w="1080" w:type="dxa"/>
            <w:vMerge/>
          </w:tcPr>
          <w:p w14:paraId="161D5132" w14:textId="77777777" w:rsidR="00E70022" w:rsidRPr="004979D2" w:rsidRDefault="00E70022" w:rsidP="001C0BEF">
            <w:pPr>
              <w:spacing w:after="160"/>
              <w:rPr>
                <w:rFonts w:ascii="Times New Roman" w:eastAsia="Calibri" w:hAnsi="Times New Roman" w:cs="Times New Roman"/>
                <w:sz w:val="24"/>
                <w:szCs w:val="24"/>
              </w:rPr>
            </w:pPr>
          </w:p>
        </w:tc>
        <w:tc>
          <w:tcPr>
            <w:tcW w:w="1314" w:type="dxa"/>
          </w:tcPr>
          <w:p w14:paraId="7DC0A6CE" w14:textId="77777777" w:rsidR="00E70022" w:rsidRPr="004979D2" w:rsidRDefault="00E70022" w:rsidP="001C0BEF">
            <w:pPr>
              <w:spacing w:after="160"/>
              <w:rPr>
                <w:rFonts w:ascii="Times New Roman" w:eastAsia="Calibri" w:hAnsi="Times New Roman" w:cs="Times New Roman"/>
                <w:sz w:val="24"/>
                <w:szCs w:val="24"/>
              </w:rPr>
            </w:pPr>
          </w:p>
        </w:tc>
        <w:tc>
          <w:tcPr>
            <w:tcW w:w="882" w:type="dxa"/>
          </w:tcPr>
          <w:p w14:paraId="62CC1D27"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1</w:t>
            </w:r>
          </w:p>
          <w:p w14:paraId="4B8745CC"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(2019)</w:t>
            </w:r>
          </w:p>
        </w:tc>
        <w:tc>
          <w:tcPr>
            <w:tcW w:w="882" w:type="dxa"/>
          </w:tcPr>
          <w:p w14:paraId="1F8D7AC7"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2</w:t>
            </w:r>
          </w:p>
          <w:p w14:paraId="11ABEBB4"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(2020)</w:t>
            </w:r>
          </w:p>
        </w:tc>
        <w:tc>
          <w:tcPr>
            <w:tcW w:w="882" w:type="dxa"/>
          </w:tcPr>
          <w:p w14:paraId="0B7E0FD7"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3</w:t>
            </w:r>
          </w:p>
          <w:p w14:paraId="7E326E76"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(2021)</w:t>
            </w:r>
          </w:p>
        </w:tc>
        <w:tc>
          <w:tcPr>
            <w:tcW w:w="882" w:type="dxa"/>
          </w:tcPr>
          <w:p w14:paraId="6FC4B062"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4</w:t>
            </w:r>
          </w:p>
          <w:p w14:paraId="67AF81AE"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(2022)</w:t>
            </w:r>
          </w:p>
        </w:tc>
        <w:tc>
          <w:tcPr>
            <w:tcW w:w="891" w:type="dxa"/>
          </w:tcPr>
          <w:p w14:paraId="530EE792"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5</w:t>
            </w:r>
          </w:p>
          <w:p w14:paraId="7DD6B370"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(2023)</w:t>
            </w:r>
          </w:p>
        </w:tc>
        <w:tc>
          <w:tcPr>
            <w:tcW w:w="1089" w:type="dxa"/>
          </w:tcPr>
          <w:p w14:paraId="30AEC301"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Institucioni /departamenti përgjegjës</w:t>
            </w:r>
          </w:p>
        </w:tc>
        <w:tc>
          <w:tcPr>
            <w:tcW w:w="1098" w:type="dxa"/>
          </w:tcPr>
          <w:p w14:paraId="3B7BC5D2" w14:textId="77777777" w:rsidR="00E70022" w:rsidRPr="004979D2" w:rsidRDefault="00E70022" w:rsidP="001C0BEF">
            <w:pPr>
              <w:spacing w:after="160"/>
              <w:rPr>
                <w:rFonts w:ascii="Times New Roman" w:eastAsia="Calibri" w:hAnsi="Times New Roman" w:cs="Times New Roman"/>
                <w:sz w:val="24"/>
                <w:szCs w:val="24"/>
              </w:rPr>
            </w:pPr>
          </w:p>
        </w:tc>
      </w:tr>
      <w:tr w:rsidR="00E70022" w:rsidRPr="004979D2" w14:paraId="48722B91" w14:textId="77777777" w:rsidTr="00B11DC4">
        <w:trPr>
          <w:trHeight w:val="773"/>
        </w:trPr>
        <w:tc>
          <w:tcPr>
            <w:tcW w:w="1890" w:type="dxa"/>
            <w:vMerge/>
          </w:tcPr>
          <w:p w14:paraId="1BEDF212" w14:textId="77777777" w:rsidR="00E70022" w:rsidRPr="004979D2" w:rsidRDefault="00E70022" w:rsidP="001C0BEF">
            <w:pPr>
              <w:spacing w:after="160"/>
              <w:rPr>
                <w:rFonts w:ascii="Times New Roman" w:eastAsia="Calibri" w:hAnsi="Times New Roman" w:cs="Times New Roman"/>
                <w:sz w:val="24"/>
                <w:szCs w:val="24"/>
              </w:rPr>
            </w:pPr>
          </w:p>
        </w:tc>
        <w:tc>
          <w:tcPr>
            <w:tcW w:w="1080" w:type="dxa"/>
            <w:vMerge/>
          </w:tcPr>
          <w:p w14:paraId="126C6094" w14:textId="77777777" w:rsidR="00E70022" w:rsidRPr="004979D2" w:rsidRDefault="00E70022" w:rsidP="001C0BEF">
            <w:pPr>
              <w:spacing w:after="160"/>
              <w:rPr>
                <w:rFonts w:ascii="Times New Roman" w:eastAsia="Calibri" w:hAnsi="Times New Roman" w:cs="Times New Roman"/>
                <w:sz w:val="24"/>
                <w:szCs w:val="24"/>
              </w:rPr>
            </w:pPr>
          </w:p>
        </w:tc>
        <w:tc>
          <w:tcPr>
            <w:tcW w:w="1314" w:type="dxa"/>
          </w:tcPr>
          <w:p w14:paraId="62C1BE8B"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 xml:space="preserve">Aktiviteti 1.2.1 </w:t>
            </w:r>
            <w:r w:rsidRPr="004979D2">
              <w:rPr>
                <w:rFonts w:ascii="Times New Roman" w:eastAsia="Calibri" w:hAnsi="Times New Roman" w:cs="Times New Roman"/>
                <w:sz w:val="24"/>
                <w:szCs w:val="24"/>
              </w:rPr>
              <w:t>Hartimi ose rishikimi i akteve nënligjore</w:t>
            </w:r>
          </w:p>
        </w:tc>
        <w:tc>
          <w:tcPr>
            <w:tcW w:w="882" w:type="dxa"/>
          </w:tcPr>
          <w:p w14:paraId="3DB7BDDA"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82" w:type="dxa"/>
          </w:tcPr>
          <w:p w14:paraId="4CFB287D"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82" w:type="dxa"/>
          </w:tcPr>
          <w:p w14:paraId="5A4D2A83"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6.000</w:t>
            </w:r>
            <w:r w:rsidRPr="004979D2">
              <w:rPr>
                <w:rFonts w:ascii="Times New Roman" w:hAnsi="Times New Roman" w:cs="Times New Roman"/>
                <w:sz w:val="24"/>
                <w:szCs w:val="24"/>
              </w:rPr>
              <w:t>€</w:t>
            </w:r>
          </w:p>
        </w:tc>
        <w:tc>
          <w:tcPr>
            <w:tcW w:w="882" w:type="dxa"/>
          </w:tcPr>
          <w:p w14:paraId="5D64BB08"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6.000</w:t>
            </w:r>
            <w:r w:rsidRPr="004979D2">
              <w:rPr>
                <w:rFonts w:ascii="Times New Roman" w:hAnsi="Times New Roman" w:cs="Times New Roman"/>
                <w:sz w:val="24"/>
                <w:szCs w:val="24"/>
              </w:rPr>
              <w:t>€</w:t>
            </w:r>
          </w:p>
        </w:tc>
        <w:tc>
          <w:tcPr>
            <w:tcW w:w="891" w:type="dxa"/>
          </w:tcPr>
          <w:p w14:paraId="7C67FAC5"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6.000</w:t>
            </w:r>
            <w:r w:rsidRPr="004979D2">
              <w:rPr>
                <w:rFonts w:ascii="Times New Roman" w:hAnsi="Times New Roman" w:cs="Times New Roman"/>
                <w:sz w:val="24"/>
                <w:szCs w:val="24"/>
              </w:rPr>
              <w:t>€</w:t>
            </w:r>
          </w:p>
        </w:tc>
        <w:tc>
          <w:tcPr>
            <w:tcW w:w="1089" w:type="dxa"/>
          </w:tcPr>
          <w:p w14:paraId="3C0C41BE"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AKK</w:t>
            </w:r>
          </w:p>
        </w:tc>
        <w:tc>
          <w:tcPr>
            <w:tcW w:w="1098" w:type="dxa"/>
          </w:tcPr>
          <w:p w14:paraId="3D42D856"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18.000€</w:t>
            </w:r>
          </w:p>
        </w:tc>
      </w:tr>
      <w:tr w:rsidR="00E70022" w:rsidRPr="004979D2" w14:paraId="61F913BE" w14:textId="77777777" w:rsidTr="00B11DC4">
        <w:trPr>
          <w:trHeight w:val="764"/>
        </w:trPr>
        <w:tc>
          <w:tcPr>
            <w:tcW w:w="1890" w:type="dxa"/>
            <w:vMerge/>
          </w:tcPr>
          <w:p w14:paraId="5EFE28B9" w14:textId="77777777" w:rsidR="00E70022" w:rsidRPr="004979D2" w:rsidRDefault="00E70022" w:rsidP="001C0BEF">
            <w:pPr>
              <w:spacing w:after="160"/>
              <w:rPr>
                <w:rFonts w:ascii="Times New Roman" w:eastAsia="Calibri" w:hAnsi="Times New Roman" w:cs="Times New Roman"/>
                <w:sz w:val="24"/>
                <w:szCs w:val="24"/>
              </w:rPr>
            </w:pPr>
          </w:p>
        </w:tc>
        <w:tc>
          <w:tcPr>
            <w:tcW w:w="1080" w:type="dxa"/>
            <w:vMerge/>
          </w:tcPr>
          <w:p w14:paraId="576D333F" w14:textId="77777777" w:rsidR="00E70022" w:rsidRPr="004979D2" w:rsidRDefault="00E70022" w:rsidP="001C0BEF">
            <w:pPr>
              <w:spacing w:after="160"/>
              <w:rPr>
                <w:rFonts w:ascii="Times New Roman" w:eastAsia="Calibri" w:hAnsi="Times New Roman" w:cs="Times New Roman"/>
                <w:sz w:val="24"/>
                <w:szCs w:val="24"/>
              </w:rPr>
            </w:pPr>
          </w:p>
        </w:tc>
        <w:tc>
          <w:tcPr>
            <w:tcW w:w="1314" w:type="dxa"/>
          </w:tcPr>
          <w:p w14:paraId="1353E343"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 xml:space="preserve">Aktiviteti 1.2.2 </w:t>
            </w:r>
            <w:r w:rsidRPr="004979D2">
              <w:rPr>
                <w:rFonts w:ascii="Times New Roman" w:eastAsia="Calibri" w:hAnsi="Times New Roman" w:cs="Times New Roman"/>
                <w:sz w:val="24"/>
                <w:szCs w:val="24"/>
              </w:rPr>
              <w:t>Miratimi i akteve nënligjore</w:t>
            </w:r>
          </w:p>
        </w:tc>
        <w:tc>
          <w:tcPr>
            <w:tcW w:w="882" w:type="dxa"/>
          </w:tcPr>
          <w:p w14:paraId="14423FFC"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82" w:type="dxa"/>
          </w:tcPr>
          <w:p w14:paraId="4C9D5454"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82" w:type="dxa"/>
          </w:tcPr>
          <w:p w14:paraId="4AB8F3AE"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82" w:type="dxa"/>
          </w:tcPr>
          <w:p w14:paraId="346939E5"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91" w:type="dxa"/>
          </w:tcPr>
          <w:p w14:paraId="43DEDE4F"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1089" w:type="dxa"/>
          </w:tcPr>
          <w:p w14:paraId="5803478D"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AKK</w:t>
            </w:r>
          </w:p>
          <w:p w14:paraId="10DCD7AC"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Qeveria</w:t>
            </w:r>
          </w:p>
        </w:tc>
        <w:tc>
          <w:tcPr>
            <w:tcW w:w="1098" w:type="dxa"/>
          </w:tcPr>
          <w:p w14:paraId="034AA719"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Nuk ka kosto buxhetore</w:t>
            </w:r>
          </w:p>
        </w:tc>
      </w:tr>
      <w:tr w:rsidR="00E70022" w:rsidRPr="004979D2" w14:paraId="6BBA0D41" w14:textId="77777777" w:rsidTr="00B11DC4">
        <w:trPr>
          <w:trHeight w:val="234"/>
        </w:trPr>
        <w:tc>
          <w:tcPr>
            <w:tcW w:w="1890" w:type="dxa"/>
            <w:vMerge w:val="restart"/>
          </w:tcPr>
          <w:p w14:paraId="2B773991"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Objektivi Specifik 2</w:t>
            </w:r>
          </w:p>
          <w:p w14:paraId="17E83C7B"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 xml:space="preserve"> - Deri në vitin 2021, Autoriteti Kosovar i Konkurrencës dhe gjykatat kanë kapacitetet e nevojshme për realizimin efektiv dhe efikas të  detyrave dhe përgjegjësive që burojnë nga </w:t>
            </w:r>
            <w:r w:rsidRPr="004979D2">
              <w:rPr>
                <w:rFonts w:ascii="Times New Roman" w:eastAsia="Calibri" w:hAnsi="Times New Roman" w:cs="Times New Roman"/>
                <w:b/>
                <w:sz w:val="24"/>
                <w:szCs w:val="24"/>
              </w:rPr>
              <w:lastRenderedPageBreak/>
              <w:t>korniza ligjore për mbrojtjen e konkurrencës.</w:t>
            </w:r>
          </w:p>
          <w:p w14:paraId="4364F521" w14:textId="77777777" w:rsidR="00E70022" w:rsidRPr="004979D2" w:rsidRDefault="00E70022" w:rsidP="001C0BEF">
            <w:pPr>
              <w:spacing w:after="160"/>
              <w:rPr>
                <w:rFonts w:ascii="Times New Roman" w:eastAsia="Calibri" w:hAnsi="Times New Roman" w:cs="Times New Roman"/>
                <w:sz w:val="24"/>
                <w:szCs w:val="24"/>
              </w:rPr>
            </w:pPr>
          </w:p>
        </w:tc>
        <w:tc>
          <w:tcPr>
            <w:tcW w:w="1080" w:type="dxa"/>
            <w:vMerge w:val="restart"/>
          </w:tcPr>
          <w:p w14:paraId="131CC08B"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lastRenderedPageBreak/>
              <w:t xml:space="preserve">Produkti 2.1 </w:t>
            </w:r>
          </w:p>
        </w:tc>
        <w:tc>
          <w:tcPr>
            <w:tcW w:w="7920" w:type="dxa"/>
            <w:gridSpan w:val="8"/>
          </w:tcPr>
          <w:p w14:paraId="511347E5"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Procedurat e brendshme në AKK të zbatuara</w:t>
            </w:r>
          </w:p>
        </w:tc>
      </w:tr>
      <w:tr w:rsidR="00E70022" w:rsidRPr="004979D2" w14:paraId="021B42F8" w14:textId="77777777" w:rsidTr="00B11DC4">
        <w:trPr>
          <w:trHeight w:val="1135"/>
        </w:trPr>
        <w:tc>
          <w:tcPr>
            <w:tcW w:w="1890" w:type="dxa"/>
            <w:vMerge/>
          </w:tcPr>
          <w:p w14:paraId="5B9B7A7C" w14:textId="77777777" w:rsidR="00E70022" w:rsidRPr="004979D2" w:rsidRDefault="00E70022" w:rsidP="001C0BEF">
            <w:pPr>
              <w:spacing w:after="160"/>
              <w:rPr>
                <w:rFonts w:ascii="Times New Roman" w:eastAsia="Calibri" w:hAnsi="Times New Roman" w:cs="Times New Roman"/>
                <w:sz w:val="24"/>
                <w:szCs w:val="24"/>
              </w:rPr>
            </w:pPr>
          </w:p>
        </w:tc>
        <w:tc>
          <w:tcPr>
            <w:tcW w:w="1080" w:type="dxa"/>
            <w:vMerge/>
          </w:tcPr>
          <w:p w14:paraId="76B6DB42" w14:textId="77777777" w:rsidR="00E70022" w:rsidRPr="004979D2" w:rsidRDefault="00E70022" w:rsidP="001C0BEF">
            <w:pPr>
              <w:spacing w:after="160"/>
              <w:rPr>
                <w:rFonts w:ascii="Times New Roman" w:eastAsia="Calibri" w:hAnsi="Times New Roman" w:cs="Times New Roman"/>
                <w:sz w:val="24"/>
                <w:szCs w:val="24"/>
              </w:rPr>
            </w:pPr>
          </w:p>
        </w:tc>
        <w:tc>
          <w:tcPr>
            <w:tcW w:w="1314" w:type="dxa"/>
          </w:tcPr>
          <w:p w14:paraId="6006689D" w14:textId="77777777" w:rsidR="00E70022" w:rsidRPr="004979D2" w:rsidRDefault="00E70022" w:rsidP="001C0BEF">
            <w:pPr>
              <w:spacing w:after="160"/>
              <w:rPr>
                <w:rFonts w:ascii="Times New Roman" w:eastAsia="Calibri" w:hAnsi="Times New Roman" w:cs="Times New Roman"/>
                <w:sz w:val="24"/>
                <w:szCs w:val="24"/>
              </w:rPr>
            </w:pPr>
          </w:p>
        </w:tc>
        <w:tc>
          <w:tcPr>
            <w:tcW w:w="882" w:type="dxa"/>
          </w:tcPr>
          <w:p w14:paraId="70E82F9D"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1</w:t>
            </w:r>
          </w:p>
          <w:p w14:paraId="16779F69"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(2019)</w:t>
            </w:r>
          </w:p>
        </w:tc>
        <w:tc>
          <w:tcPr>
            <w:tcW w:w="882" w:type="dxa"/>
          </w:tcPr>
          <w:p w14:paraId="062B3EEA"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2</w:t>
            </w:r>
          </w:p>
          <w:p w14:paraId="44193A39"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(2020)</w:t>
            </w:r>
          </w:p>
        </w:tc>
        <w:tc>
          <w:tcPr>
            <w:tcW w:w="882" w:type="dxa"/>
          </w:tcPr>
          <w:p w14:paraId="16DB84C9"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3</w:t>
            </w:r>
          </w:p>
          <w:p w14:paraId="7E81D1F5"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(2021)</w:t>
            </w:r>
          </w:p>
        </w:tc>
        <w:tc>
          <w:tcPr>
            <w:tcW w:w="882" w:type="dxa"/>
          </w:tcPr>
          <w:p w14:paraId="55609405"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4</w:t>
            </w:r>
          </w:p>
          <w:p w14:paraId="751B72EF"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(2022)</w:t>
            </w:r>
          </w:p>
        </w:tc>
        <w:tc>
          <w:tcPr>
            <w:tcW w:w="891" w:type="dxa"/>
          </w:tcPr>
          <w:p w14:paraId="391522FA"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5</w:t>
            </w:r>
          </w:p>
          <w:p w14:paraId="7AEB96BA"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(2023)</w:t>
            </w:r>
          </w:p>
        </w:tc>
        <w:tc>
          <w:tcPr>
            <w:tcW w:w="1089" w:type="dxa"/>
          </w:tcPr>
          <w:p w14:paraId="3B024978"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Institucioni/Departamenti përgjegjës</w:t>
            </w:r>
          </w:p>
        </w:tc>
        <w:tc>
          <w:tcPr>
            <w:tcW w:w="1098" w:type="dxa"/>
          </w:tcPr>
          <w:p w14:paraId="61C949A6" w14:textId="77777777" w:rsidR="00E70022" w:rsidRPr="004979D2" w:rsidRDefault="00E70022" w:rsidP="001C0BEF">
            <w:pPr>
              <w:spacing w:after="160"/>
              <w:rPr>
                <w:rFonts w:ascii="Times New Roman" w:eastAsia="Calibri" w:hAnsi="Times New Roman" w:cs="Times New Roman"/>
                <w:sz w:val="24"/>
                <w:szCs w:val="24"/>
              </w:rPr>
            </w:pPr>
          </w:p>
        </w:tc>
      </w:tr>
      <w:tr w:rsidR="00E70022" w:rsidRPr="004979D2" w14:paraId="64110403" w14:textId="77777777" w:rsidTr="00B11DC4">
        <w:trPr>
          <w:trHeight w:val="1241"/>
        </w:trPr>
        <w:tc>
          <w:tcPr>
            <w:tcW w:w="1890" w:type="dxa"/>
            <w:vMerge/>
          </w:tcPr>
          <w:p w14:paraId="6AE4D984" w14:textId="77777777" w:rsidR="00E70022" w:rsidRPr="004979D2" w:rsidRDefault="00E70022" w:rsidP="001C0BEF">
            <w:pPr>
              <w:spacing w:after="160"/>
              <w:rPr>
                <w:rFonts w:ascii="Times New Roman" w:eastAsia="Calibri" w:hAnsi="Times New Roman" w:cs="Times New Roman"/>
                <w:sz w:val="24"/>
                <w:szCs w:val="24"/>
              </w:rPr>
            </w:pPr>
          </w:p>
        </w:tc>
        <w:tc>
          <w:tcPr>
            <w:tcW w:w="1080" w:type="dxa"/>
            <w:vMerge/>
          </w:tcPr>
          <w:p w14:paraId="68798A59" w14:textId="77777777" w:rsidR="00E70022" w:rsidRPr="004979D2" w:rsidRDefault="00E70022" w:rsidP="001C0BEF">
            <w:pPr>
              <w:spacing w:after="160"/>
              <w:rPr>
                <w:rFonts w:ascii="Times New Roman" w:eastAsia="Calibri" w:hAnsi="Times New Roman" w:cs="Times New Roman"/>
                <w:sz w:val="24"/>
                <w:szCs w:val="24"/>
              </w:rPr>
            </w:pPr>
          </w:p>
        </w:tc>
        <w:tc>
          <w:tcPr>
            <w:tcW w:w="1314" w:type="dxa"/>
          </w:tcPr>
          <w:p w14:paraId="19BD7098"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Aktiviteti 2.1.1</w:t>
            </w:r>
            <w:r w:rsidRPr="004979D2">
              <w:rPr>
                <w:rFonts w:ascii="Times New Roman" w:eastAsia="Calibri" w:hAnsi="Times New Roman" w:cs="Times New Roman"/>
                <w:sz w:val="24"/>
                <w:szCs w:val="24"/>
              </w:rPr>
              <w:t xml:space="preserve">  Identifikimi, hulumtimi dhe monitorimi i tregjeve </w:t>
            </w:r>
            <w:proofErr w:type="spellStart"/>
            <w:r w:rsidRPr="004979D2">
              <w:rPr>
                <w:rFonts w:ascii="Times New Roman" w:eastAsia="Calibri" w:hAnsi="Times New Roman" w:cs="Times New Roman"/>
                <w:sz w:val="24"/>
                <w:szCs w:val="24"/>
              </w:rPr>
              <w:lastRenderedPageBreak/>
              <w:t>perkatese</w:t>
            </w:r>
            <w:proofErr w:type="spellEnd"/>
          </w:p>
        </w:tc>
        <w:tc>
          <w:tcPr>
            <w:tcW w:w="882" w:type="dxa"/>
          </w:tcPr>
          <w:p w14:paraId="13953F27"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lastRenderedPageBreak/>
              <w:t>2.560</w:t>
            </w:r>
            <w:r w:rsidRPr="004979D2">
              <w:rPr>
                <w:rFonts w:ascii="Times New Roman" w:hAnsi="Times New Roman" w:cs="Times New Roman"/>
                <w:sz w:val="24"/>
                <w:szCs w:val="24"/>
              </w:rPr>
              <w:t>€</w:t>
            </w:r>
          </w:p>
        </w:tc>
        <w:tc>
          <w:tcPr>
            <w:tcW w:w="882" w:type="dxa"/>
          </w:tcPr>
          <w:p w14:paraId="5FA47D07"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2.560</w:t>
            </w:r>
            <w:r w:rsidRPr="004979D2">
              <w:rPr>
                <w:rFonts w:ascii="Times New Roman" w:hAnsi="Times New Roman" w:cs="Times New Roman"/>
                <w:sz w:val="24"/>
                <w:szCs w:val="24"/>
              </w:rPr>
              <w:t>€</w:t>
            </w:r>
          </w:p>
        </w:tc>
        <w:tc>
          <w:tcPr>
            <w:tcW w:w="882" w:type="dxa"/>
          </w:tcPr>
          <w:p w14:paraId="445D68C8"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82" w:type="dxa"/>
          </w:tcPr>
          <w:p w14:paraId="4E89A86E"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91" w:type="dxa"/>
          </w:tcPr>
          <w:p w14:paraId="120F73C2"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1089" w:type="dxa"/>
          </w:tcPr>
          <w:p w14:paraId="75D88D40"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AKK</w:t>
            </w:r>
          </w:p>
        </w:tc>
        <w:tc>
          <w:tcPr>
            <w:tcW w:w="1098" w:type="dxa"/>
          </w:tcPr>
          <w:p w14:paraId="0FAFBDCC"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5.120€</w:t>
            </w:r>
          </w:p>
        </w:tc>
      </w:tr>
      <w:tr w:rsidR="00E70022" w:rsidRPr="004979D2" w14:paraId="3798EC90" w14:textId="77777777" w:rsidTr="00B11DC4">
        <w:trPr>
          <w:trHeight w:val="890"/>
        </w:trPr>
        <w:tc>
          <w:tcPr>
            <w:tcW w:w="1890" w:type="dxa"/>
            <w:vMerge w:val="restart"/>
          </w:tcPr>
          <w:p w14:paraId="7BD3DD2C" w14:textId="77777777" w:rsidR="00E70022" w:rsidRPr="004979D2" w:rsidRDefault="00E70022" w:rsidP="001C0BEF">
            <w:pPr>
              <w:spacing w:after="160"/>
              <w:rPr>
                <w:rFonts w:ascii="Times New Roman" w:eastAsia="Calibri" w:hAnsi="Times New Roman" w:cs="Times New Roman"/>
                <w:sz w:val="24"/>
                <w:szCs w:val="24"/>
              </w:rPr>
            </w:pPr>
          </w:p>
        </w:tc>
        <w:tc>
          <w:tcPr>
            <w:tcW w:w="1080" w:type="dxa"/>
            <w:vMerge w:val="restart"/>
          </w:tcPr>
          <w:p w14:paraId="09D8EB61"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 xml:space="preserve">Produkti 2.2 </w:t>
            </w:r>
          </w:p>
        </w:tc>
        <w:tc>
          <w:tcPr>
            <w:tcW w:w="7920" w:type="dxa"/>
            <w:gridSpan w:val="8"/>
          </w:tcPr>
          <w:p w14:paraId="61CAAE98"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Kapacitetet e brendshme të AKK të fuqizuara</w:t>
            </w:r>
          </w:p>
        </w:tc>
      </w:tr>
      <w:tr w:rsidR="00E70022" w:rsidRPr="004979D2" w14:paraId="70624020" w14:textId="77777777" w:rsidTr="00B11DC4">
        <w:trPr>
          <w:trHeight w:val="480"/>
        </w:trPr>
        <w:tc>
          <w:tcPr>
            <w:tcW w:w="1890" w:type="dxa"/>
            <w:vMerge/>
          </w:tcPr>
          <w:p w14:paraId="00B82702" w14:textId="77777777" w:rsidR="00E70022" w:rsidRPr="004979D2" w:rsidRDefault="00E70022" w:rsidP="001C0BEF">
            <w:pPr>
              <w:spacing w:after="160"/>
              <w:rPr>
                <w:rFonts w:ascii="Times New Roman" w:eastAsia="Calibri" w:hAnsi="Times New Roman" w:cs="Times New Roman"/>
                <w:sz w:val="24"/>
                <w:szCs w:val="24"/>
              </w:rPr>
            </w:pPr>
          </w:p>
        </w:tc>
        <w:tc>
          <w:tcPr>
            <w:tcW w:w="1080" w:type="dxa"/>
            <w:vMerge/>
          </w:tcPr>
          <w:p w14:paraId="33BD3146" w14:textId="77777777" w:rsidR="00E70022" w:rsidRPr="004979D2" w:rsidRDefault="00E70022" w:rsidP="001C0BEF">
            <w:pPr>
              <w:spacing w:after="160"/>
              <w:rPr>
                <w:rFonts w:ascii="Times New Roman" w:eastAsia="Calibri" w:hAnsi="Times New Roman" w:cs="Times New Roman"/>
                <w:sz w:val="24"/>
                <w:szCs w:val="24"/>
              </w:rPr>
            </w:pPr>
          </w:p>
        </w:tc>
        <w:tc>
          <w:tcPr>
            <w:tcW w:w="1314" w:type="dxa"/>
          </w:tcPr>
          <w:p w14:paraId="7C181116" w14:textId="77777777" w:rsidR="00E70022" w:rsidRPr="004979D2" w:rsidRDefault="00E70022" w:rsidP="001C0BEF">
            <w:pPr>
              <w:spacing w:after="160"/>
              <w:rPr>
                <w:rFonts w:ascii="Times New Roman" w:eastAsia="Calibri" w:hAnsi="Times New Roman" w:cs="Times New Roman"/>
                <w:sz w:val="24"/>
                <w:szCs w:val="24"/>
              </w:rPr>
            </w:pPr>
          </w:p>
        </w:tc>
        <w:tc>
          <w:tcPr>
            <w:tcW w:w="882" w:type="dxa"/>
          </w:tcPr>
          <w:p w14:paraId="42546959"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1</w:t>
            </w:r>
          </w:p>
          <w:p w14:paraId="3B5A503A"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(2019)</w:t>
            </w:r>
          </w:p>
        </w:tc>
        <w:tc>
          <w:tcPr>
            <w:tcW w:w="882" w:type="dxa"/>
          </w:tcPr>
          <w:p w14:paraId="12C49332"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2</w:t>
            </w:r>
          </w:p>
          <w:p w14:paraId="1A4F9BA4"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(2020)</w:t>
            </w:r>
          </w:p>
        </w:tc>
        <w:tc>
          <w:tcPr>
            <w:tcW w:w="882" w:type="dxa"/>
          </w:tcPr>
          <w:p w14:paraId="7B129813"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3</w:t>
            </w:r>
          </w:p>
          <w:p w14:paraId="13610545"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(2021)</w:t>
            </w:r>
          </w:p>
        </w:tc>
        <w:tc>
          <w:tcPr>
            <w:tcW w:w="882" w:type="dxa"/>
          </w:tcPr>
          <w:p w14:paraId="0C13DEFE"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4</w:t>
            </w:r>
          </w:p>
          <w:p w14:paraId="715E6F37"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(2022)</w:t>
            </w:r>
          </w:p>
        </w:tc>
        <w:tc>
          <w:tcPr>
            <w:tcW w:w="891" w:type="dxa"/>
          </w:tcPr>
          <w:p w14:paraId="4EDD92FB"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5</w:t>
            </w:r>
          </w:p>
          <w:p w14:paraId="255C86B8"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(2023)</w:t>
            </w:r>
          </w:p>
        </w:tc>
        <w:tc>
          <w:tcPr>
            <w:tcW w:w="1089" w:type="dxa"/>
          </w:tcPr>
          <w:p w14:paraId="69A90B05"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Institucioni/Departamenti përgjegjës</w:t>
            </w:r>
          </w:p>
        </w:tc>
        <w:tc>
          <w:tcPr>
            <w:tcW w:w="1098" w:type="dxa"/>
          </w:tcPr>
          <w:p w14:paraId="1518B847" w14:textId="77777777" w:rsidR="00E70022" w:rsidRPr="004979D2" w:rsidRDefault="00E70022" w:rsidP="001C0BEF">
            <w:pPr>
              <w:spacing w:after="160"/>
              <w:rPr>
                <w:rFonts w:ascii="Times New Roman" w:eastAsia="Calibri" w:hAnsi="Times New Roman" w:cs="Times New Roman"/>
                <w:sz w:val="24"/>
                <w:szCs w:val="24"/>
              </w:rPr>
            </w:pPr>
          </w:p>
        </w:tc>
      </w:tr>
      <w:tr w:rsidR="00E70022" w:rsidRPr="004979D2" w14:paraId="38B241ED" w14:textId="77777777" w:rsidTr="00B11DC4">
        <w:trPr>
          <w:trHeight w:val="872"/>
        </w:trPr>
        <w:tc>
          <w:tcPr>
            <w:tcW w:w="1890" w:type="dxa"/>
            <w:vMerge/>
          </w:tcPr>
          <w:p w14:paraId="0442FEA5" w14:textId="77777777" w:rsidR="00E70022" w:rsidRPr="004979D2" w:rsidRDefault="00E70022" w:rsidP="001C0BEF">
            <w:pPr>
              <w:spacing w:after="160"/>
              <w:rPr>
                <w:rFonts w:ascii="Times New Roman" w:eastAsia="Calibri" w:hAnsi="Times New Roman" w:cs="Times New Roman"/>
                <w:sz w:val="24"/>
                <w:szCs w:val="24"/>
              </w:rPr>
            </w:pPr>
          </w:p>
        </w:tc>
        <w:tc>
          <w:tcPr>
            <w:tcW w:w="1080" w:type="dxa"/>
            <w:vMerge/>
          </w:tcPr>
          <w:p w14:paraId="192FAC87" w14:textId="77777777" w:rsidR="00E70022" w:rsidRPr="004979D2" w:rsidRDefault="00E70022" w:rsidP="001C0BEF">
            <w:pPr>
              <w:spacing w:after="160"/>
              <w:rPr>
                <w:rFonts w:ascii="Times New Roman" w:eastAsia="Calibri" w:hAnsi="Times New Roman" w:cs="Times New Roman"/>
                <w:sz w:val="24"/>
                <w:szCs w:val="24"/>
              </w:rPr>
            </w:pPr>
          </w:p>
        </w:tc>
        <w:tc>
          <w:tcPr>
            <w:tcW w:w="1314" w:type="dxa"/>
          </w:tcPr>
          <w:p w14:paraId="54FA6D71" w14:textId="77777777" w:rsidR="00E70022" w:rsidRPr="004979D2" w:rsidRDefault="00E70022" w:rsidP="001C0BEF">
            <w:pPr>
              <w:rPr>
                <w:rFonts w:ascii="Times New Roman" w:eastAsia="Calibri" w:hAnsi="Times New Roman" w:cs="Times New Roman"/>
                <w:sz w:val="24"/>
                <w:szCs w:val="24"/>
              </w:rPr>
            </w:pPr>
            <w:r w:rsidRPr="004979D2">
              <w:rPr>
                <w:rFonts w:ascii="Times New Roman" w:eastAsia="Calibri" w:hAnsi="Times New Roman" w:cs="Times New Roman"/>
                <w:b/>
                <w:sz w:val="24"/>
                <w:szCs w:val="24"/>
              </w:rPr>
              <w:t xml:space="preserve">Aktiviteti 2.2.1 </w:t>
            </w:r>
          </w:p>
          <w:p w14:paraId="26455CF2" w14:textId="77777777" w:rsidR="00E70022" w:rsidRPr="004979D2" w:rsidRDefault="00E70022" w:rsidP="001C0BEF">
            <w:pPr>
              <w:rPr>
                <w:rFonts w:ascii="Times New Roman" w:eastAsia="Calibri" w:hAnsi="Times New Roman" w:cs="Times New Roman"/>
                <w:sz w:val="24"/>
                <w:szCs w:val="24"/>
              </w:rPr>
            </w:pPr>
            <w:r w:rsidRPr="004979D2">
              <w:rPr>
                <w:rFonts w:ascii="Times New Roman" w:eastAsia="Calibri" w:hAnsi="Times New Roman" w:cs="Times New Roman"/>
                <w:sz w:val="24"/>
                <w:szCs w:val="24"/>
              </w:rPr>
              <w:t xml:space="preserve">Rekrutimi i 4 zyrtareve te </w:t>
            </w:r>
            <w:proofErr w:type="spellStart"/>
            <w:r w:rsidRPr="004979D2">
              <w:rPr>
                <w:rFonts w:ascii="Times New Roman" w:eastAsia="Calibri" w:hAnsi="Times New Roman" w:cs="Times New Roman"/>
                <w:sz w:val="24"/>
                <w:szCs w:val="24"/>
              </w:rPr>
              <w:t>rinjë</w:t>
            </w:r>
            <w:proofErr w:type="spellEnd"/>
          </w:p>
        </w:tc>
        <w:tc>
          <w:tcPr>
            <w:tcW w:w="882" w:type="dxa"/>
          </w:tcPr>
          <w:p w14:paraId="4E0B8209"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 xml:space="preserve"> 38.500 </w:t>
            </w:r>
            <w:r w:rsidRPr="004979D2">
              <w:rPr>
                <w:rFonts w:ascii="Times New Roman" w:hAnsi="Times New Roman" w:cs="Times New Roman"/>
                <w:sz w:val="24"/>
                <w:szCs w:val="24"/>
              </w:rPr>
              <w:t>€</w:t>
            </w:r>
          </w:p>
        </w:tc>
        <w:tc>
          <w:tcPr>
            <w:tcW w:w="882" w:type="dxa"/>
          </w:tcPr>
          <w:p w14:paraId="2A88701B"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32.700</w:t>
            </w:r>
            <w:r w:rsidRPr="004979D2">
              <w:rPr>
                <w:rFonts w:ascii="Times New Roman" w:hAnsi="Times New Roman" w:cs="Times New Roman"/>
                <w:sz w:val="24"/>
                <w:szCs w:val="24"/>
              </w:rPr>
              <w:t>€</w:t>
            </w:r>
          </w:p>
        </w:tc>
        <w:tc>
          <w:tcPr>
            <w:tcW w:w="882" w:type="dxa"/>
          </w:tcPr>
          <w:p w14:paraId="4F4197AC"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32.900</w:t>
            </w:r>
            <w:r w:rsidRPr="004979D2">
              <w:rPr>
                <w:rFonts w:ascii="Times New Roman" w:hAnsi="Times New Roman" w:cs="Times New Roman"/>
                <w:sz w:val="24"/>
                <w:szCs w:val="24"/>
              </w:rPr>
              <w:t>€</w:t>
            </w:r>
          </w:p>
        </w:tc>
        <w:tc>
          <w:tcPr>
            <w:tcW w:w="882" w:type="dxa"/>
          </w:tcPr>
          <w:p w14:paraId="22646F7D"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33.100</w:t>
            </w:r>
            <w:r w:rsidRPr="004979D2">
              <w:rPr>
                <w:rFonts w:ascii="Times New Roman" w:hAnsi="Times New Roman" w:cs="Times New Roman"/>
                <w:sz w:val="24"/>
                <w:szCs w:val="24"/>
              </w:rPr>
              <w:t>€</w:t>
            </w:r>
          </w:p>
        </w:tc>
        <w:tc>
          <w:tcPr>
            <w:tcW w:w="891" w:type="dxa"/>
          </w:tcPr>
          <w:p w14:paraId="0215C543"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 xml:space="preserve">33.300 </w:t>
            </w:r>
            <w:r w:rsidRPr="004979D2">
              <w:rPr>
                <w:rFonts w:ascii="Times New Roman" w:hAnsi="Times New Roman" w:cs="Times New Roman"/>
                <w:sz w:val="24"/>
                <w:szCs w:val="24"/>
              </w:rPr>
              <w:t>€</w:t>
            </w:r>
          </w:p>
        </w:tc>
        <w:tc>
          <w:tcPr>
            <w:tcW w:w="1089" w:type="dxa"/>
          </w:tcPr>
          <w:p w14:paraId="183D4D52"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AKK</w:t>
            </w:r>
          </w:p>
          <w:p w14:paraId="02CBFC31" w14:textId="77777777" w:rsidR="00E70022" w:rsidRPr="004979D2" w:rsidRDefault="00E70022" w:rsidP="001C0BEF">
            <w:pPr>
              <w:spacing w:after="160"/>
              <w:rPr>
                <w:rFonts w:ascii="Times New Roman" w:eastAsia="Calibri" w:hAnsi="Times New Roman" w:cs="Times New Roman"/>
                <w:sz w:val="24"/>
                <w:szCs w:val="24"/>
              </w:rPr>
            </w:pPr>
          </w:p>
        </w:tc>
        <w:tc>
          <w:tcPr>
            <w:tcW w:w="1098" w:type="dxa"/>
          </w:tcPr>
          <w:p w14:paraId="66968D29"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170.500€</w:t>
            </w:r>
          </w:p>
        </w:tc>
      </w:tr>
      <w:tr w:rsidR="00E70022" w:rsidRPr="004979D2" w14:paraId="6665E84D" w14:textId="77777777" w:rsidTr="00B11DC4">
        <w:trPr>
          <w:trHeight w:val="710"/>
        </w:trPr>
        <w:tc>
          <w:tcPr>
            <w:tcW w:w="1890" w:type="dxa"/>
            <w:vMerge/>
          </w:tcPr>
          <w:p w14:paraId="2997FE63" w14:textId="77777777" w:rsidR="00E70022" w:rsidRPr="004979D2" w:rsidRDefault="00E70022" w:rsidP="001C0BEF">
            <w:pPr>
              <w:spacing w:after="160"/>
              <w:rPr>
                <w:rFonts w:ascii="Times New Roman" w:eastAsia="Calibri" w:hAnsi="Times New Roman" w:cs="Times New Roman"/>
                <w:sz w:val="24"/>
                <w:szCs w:val="24"/>
              </w:rPr>
            </w:pPr>
          </w:p>
        </w:tc>
        <w:tc>
          <w:tcPr>
            <w:tcW w:w="1080" w:type="dxa"/>
            <w:vMerge/>
          </w:tcPr>
          <w:p w14:paraId="4706D4E9" w14:textId="77777777" w:rsidR="00E70022" w:rsidRPr="004979D2" w:rsidRDefault="00E70022" w:rsidP="001C0BEF">
            <w:pPr>
              <w:spacing w:after="160"/>
              <w:rPr>
                <w:rFonts w:ascii="Times New Roman" w:eastAsia="Calibri" w:hAnsi="Times New Roman" w:cs="Times New Roman"/>
                <w:sz w:val="24"/>
                <w:szCs w:val="24"/>
              </w:rPr>
            </w:pPr>
          </w:p>
        </w:tc>
        <w:tc>
          <w:tcPr>
            <w:tcW w:w="1314" w:type="dxa"/>
          </w:tcPr>
          <w:p w14:paraId="6C22CA48"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Aktiviteti 2.2.2</w:t>
            </w:r>
            <w:r w:rsidRPr="004979D2">
              <w:rPr>
                <w:rFonts w:ascii="Times New Roman" w:eastAsia="Calibri" w:hAnsi="Times New Roman" w:cs="Times New Roman"/>
                <w:sz w:val="24"/>
                <w:szCs w:val="24"/>
              </w:rPr>
              <w:br/>
              <w:t xml:space="preserve">Trajnimi i zyrtarëve të AKK-së mbi ligjin e ri dhe praktikat e BE-së </w:t>
            </w:r>
          </w:p>
        </w:tc>
        <w:tc>
          <w:tcPr>
            <w:tcW w:w="882" w:type="dxa"/>
          </w:tcPr>
          <w:p w14:paraId="0DB70B9E"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3.000</w:t>
            </w:r>
            <w:r w:rsidRPr="004979D2">
              <w:rPr>
                <w:rFonts w:ascii="Times New Roman" w:hAnsi="Times New Roman" w:cs="Times New Roman"/>
                <w:sz w:val="24"/>
                <w:szCs w:val="24"/>
              </w:rPr>
              <w:t>€</w:t>
            </w:r>
          </w:p>
        </w:tc>
        <w:tc>
          <w:tcPr>
            <w:tcW w:w="882" w:type="dxa"/>
          </w:tcPr>
          <w:p w14:paraId="42456F9C"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3.000</w:t>
            </w:r>
            <w:r w:rsidRPr="004979D2">
              <w:rPr>
                <w:rFonts w:ascii="Times New Roman" w:hAnsi="Times New Roman" w:cs="Times New Roman"/>
                <w:sz w:val="24"/>
                <w:szCs w:val="24"/>
              </w:rPr>
              <w:t>€</w:t>
            </w:r>
          </w:p>
        </w:tc>
        <w:tc>
          <w:tcPr>
            <w:tcW w:w="882" w:type="dxa"/>
          </w:tcPr>
          <w:p w14:paraId="7CD78AE3"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3.000</w:t>
            </w:r>
            <w:r w:rsidRPr="004979D2">
              <w:rPr>
                <w:rFonts w:ascii="Times New Roman" w:hAnsi="Times New Roman" w:cs="Times New Roman"/>
                <w:sz w:val="24"/>
                <w:szCs w:val="24"/>
              </w:rPr>
              <w:t>€</w:t>
            </w:r>
          </w:p>
        </w:tc>
        <w:tc>
          <w:tcPr>
            <w:tcW w:w="882" w:type="dxa"/>
          </w:tcPr>
          <w:p w14:paraId="73F810C9"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3.000</w:t>
            </w:r>
            <w:r w:rsidRPr="004979D2">
              <w:rPr>
                <w:rFonts w:ascii="Times New Roman" w:hAnsi="Times New Roman" w:cs="Times New Roman"/>
                <w:sz w:val="24"/>
                <w:szCs w:val="24"/>
              </w:rPr>
              <w:t>€</w:t>
            </w:r>
          </w:p>
        </w:tc>
        <w:tc>
          <w:tcPr>
            <w:tcW w:w="891" w:type="dxa"/>
          </w:tcPr>
          <w:p w14:paraId="0EA8E5A2"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3.000</w:t>
            </w:r>
            <w:r w:rsidRPr="004979D2">
              <w:rPr>
                <w:rFonts w:ascii="Times New Roman" w:hAnsi="Times New Roman" w:cs="Times New Roman"/>
                <w:sz w:val="24"/>
                <w:szCs w:val="24"/>
              </w:rPr>
              <w:t>€</w:t>
            </w:r>
          </w:p>
        </w:tc>
        <w:tc>
          <w:tcPr>
            <w:tcW w:w="1089" w:type="dxa"/>
          </w:tcPr>
          <w:p w14:paraId="007E4003"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Donatorë</w:t>
            </w:r>
          </w:p>
          <w:p w14:paraId="066A637F"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AKK</w:t>
            </w:r>
          </w:p>
          <w:p w14:paraId="3A77BFA7" w14:textId="77777777" w:rsidR="00E70022" w:rsidRPr="004979D2" w:rsidRDefault="00E70022" w:rsidP="001C0BEF">
            <w:pPr>
              <w:spacing w:after="160"/>
              <w:rPr>
                <w:rFonts w:ascii="Times New Roman" w:eastAsia="Calibri" w:hAnsi="Times New Roman" w:cs="Times New Roman"/>
                <w:sz w:val="24"/>
                <w:szCs w:val="24"/>
              </w:rPr>
            </w:pPr>
          </w:p>
        </w:tc>
        <w:tc>
          <w:tcPr>
            <w:tcW w:w="1098" w:type="dxa"/>
          </w:tcPr>
          <w:p w14:paraId="1F0037B5"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15.000€</w:t>
            </w:r>
          </w:p>
        </w:tc>
      </w:tr>
      <w:tr w:rsidR="00E70022" w:rsidRPr="004979D2" w14:paraId="42255437" w14:textId="77777777" w:rsidTr="00B11DC4">
        <w:trPr>
          <w:trHeight w:val="1493"/>
        </w:trPr>
        <w:tc>
          <w:tcPr>
            <w:tcW w:w="1890" w:type="dxa"/>
            <w:vMerge/>
          </w:tcPr>
          <w:p w14:paraId="6E8DD219" w14:textId="77777777" w:rsidR="00E70022" w:rsidRPr="004979D2" w:rsidRDefault="00E70022" w:rsidP="001C0BEF">
            <w:pPr>
              <w:spacing w:after="160"/>
              <w:rPr>
                <w:rFonts w:ascii="Times New Roman" w:eastAsia="Calibri" w:hAnsi="Times New Roman" w:cs="Times New Roman"/>
                <w:sz w:val="24"/>
                <w:szCs w:val="24"/>
              </w:rPr>
            </w:pPr>
          </w:p>
        </w:tc>
        <w:tc>
          <w:tcPr>
            <w:tcW w:w="1080" w:type="dxa"/>
            <w:vMerge/>
          </w:tcPr>
          <w:p w14:paraId="51C1FA26" w14:textId="77777777" w:rsidR="00E70022" w:rsidRPr="004979D2" w:rsidRDefault="00E70022" w:rsidP="001C0BEF">
            <w:pPr>
              <w:spacing w:after="160"/>
              <w:rPr>
                <w:rFonts w:ascii="Times New Roman" w:eastAsia="Calibri" w:hAnsi="Times New Roman" w:cs="Times New Roman"/>
                <w:sz w:val="24"/>
                <w:szCs w:val="24"/>
              </w:rPr>
            </w:pPr>
          </w:p>
        </w:tc>
        <w:tc>
          <w:tcPr>
            <w:tcW w:w="1314" w:type="dxa"/>
          </w:tcPr>
          <w:p w14:paraId="19A66165"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 xml:space="preserve">Aktiviteti 2.2.3 </w:t>
            </w:r>
            <w:r w:rsidRPr="004979D2">
              <w:rPr>
                <w:rFonts w:ascii="Times New Roman" w:eastAsia="Calibri" w:hAnsi="Times New Roman" w:cs="Times New Roman"/>
                <w:sz w:val="24"/>
                <w:szCs w:val="24"/>
              </w:rPr>
              <w:t xml:space="preserve">Bashkëpunimi përmes takimeve dhe </w:t>
            </w:r>
            <w:proofErr w:type="spellStart"/>
            <w:r w:rsidRPr="004979D2">
              <w:rPr>
                <w:rFonts w:ascii="Times New Roman" w:eastAsia="Calibri" w:hAnsi="Times New Roman" w:cs="Times New Roman"/>
                <w:sz w:val="24"/>
                <w:szCs w:val="24"/>
              </w:rPr>
              <w:t>MoU</w:t>
            </w:r>
            <w:proofErr w:type="spellEnd"/>
            <w:r w:rsidRPr="004979D2">
              <w:rPr>
                <w:rFonts w:ascii="Times New Roman" w:eastAsia="Calibri" w:hAnsi="Times New Roman" w:cs="Times New Roman"/>
                <w:sz w:val="24"/>
                <w:szCs w:val="24"/>
              </w:rPr>
              <w:t xml:space="preserve">-ve me </w:t>
            </w:r>
            <w:proofErr w:type="spellStart"/>
            <w:r w:rsidRPr="004979D2">
              <w:rPr>
                <w:rFonts w:ascii="Times New Roman" w:eastAsia="Calibri" w:hAnsi="Times New Roman" w:cs="Times New Roman"/>
                <w:sz w:val="24"/>
                <w:szCs w:val="24"/>
              </w:rPr>
              <w:t>aktere</w:t>
            </w:r>
            <w:proofErr w:type="spellEnd"/>
            <w:r w:rsidRPr="004979D2">
              <w:rPr>
                <w:rFonts w:ascii="Times New Roman" w:eastAsia="Calibri" w:hAnsi="Times New Roman" w:cs="Times New Roman"/>
                <w:sz w:val="24"/>
                <w:szCs w:val="24"/>
              </w:rPr>
              <w:t xml:space="preserve"> vendore dhe </w:t>
            </w:r>
            <w:proofErr w:type="spellStart"/>
            <w:r w:rsidRPr="004979D2">
              <w:rPr>
                <w:rFonts w:ascii="Times New Roman" w:eastAsia="Calibri" w:hAnsi="Times New Roman" w:cs="Times New Roman"/>
                <w:sz w:val="24"/>
                <w:szCs w:val="24"/>
              </w:rPr>
              <w:t>nderkombetar</w:t>
            </w:r>
            <w:proofErr w:type="spellEnd"/>
            <w:r w:rsidRPr="004979D2">
              <w:rPr>
                <w:rFonts w:ascii="Times New Roman" w:eastAsia="Calibri" w:hAnsi="Times New Roman" w:cs="Times New Roman"/>
                <w:sz w:val="24"/>
                <w:szCs w:val="24"/>
              </w:rPr>
              <w:t xml:space="preserve">. </w:t>
            </w:r>
          </w:p>
          <w:p w14:paraId="1EF30E26" w14:textId="77777777" w:rsidR="00E70022" w:rsidRPr="004979D2" w:rsidRDefault="00E70022" w:rsidP="001C0BEF">
            <w:pPr>
              <w:spacing w:after="160"/>
              <w:rPr>
                <w:rFonts w:ascii="Times New Roman" w:eastAsia="Calibri" w:hAnsi="Times New Roman" w:cs="Times New Roman"/>
                <w:sz w:val="24"/>
                <w:szCs w:val="24"/>
                <w:lang w:val="en-US"/>
              </w:rPr>
            </w:pPr>
          </w:p>
          <w:p w14:paraId="6D7292F5" w14:textId="77777777" w:rsidR="00E70022" w:rsidRPr="004979D2" w:rsidRDefault="00E70022" w:rsidP="001C0BEF">
            <w:pPr>
              <w:spacing w:after="160"/>
              <w:rPr>
                <w:rFonts w:ascii="Times New Roman" w:eastAsia="Calibri" w:hAnsi="Times New Roman" w:cs="Times New Roman"/>
                <w:sz w:val="24"/>
                <w:szCs w:val="24"/>
                <w:lang w:val="en-US"/>
              </w:rPr>
            </w:pPr>
          </w:p>
        </w:tc>
        <w:tc>
          <w:tcPr>
            <w:tcW w:w="882" w:type="dxa"/>
          </w:tcPr>
          <w:p w14:paraId="5F7CA1F6"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2.000</w:t>
            </w:r>
            <w:r w:rsidRPr="004979D2">
              <w:rPr>
                <w:rFonts w:ascii="Times New Roman" w:hAnsi="Times New Roman" w:cs="Times New Roman"/>
                <w:sz w:val="24"/>
                <w:szCs w:val="24"/>
              </w:rPr>
              <w:t>€</w:t>
            </w:r>
          </w:p>
        </w:tc>
        <w:tc>
          <w:tcPr>
            <w:tcW w:w="882" w:type="dxa"/>
          </w:tcPr>
          <w:p w14:paraId="4B5E35DB"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2.000</w:t>
            </w:r>
            <w:r w:rsidRPr="004979D2">
              <w:rPr>
                <w:rFonts w:ascii="Times New Roman" w:hAnsi="Times New Roman" w:cs="Times New Roman"/>
                <w:sz w:val="24"/>
                <w:szCs w:val="24"/>
              </w:rPr>
              <w:t>€</w:t>
            </w:r>
          </w:p>
        </w:tc>
        <w:tc>
          <w:tcPr>
            <w:tcW w:w="882" w:type="dxa"/>
          </w:tcPr>
          <w:p w14:paraId="7844E414"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2.000</w:t>
            </w:r>
            <w:r w:rsidRPr="004979D2">
              <w:rPr>
                <w:rFonts w:ascii="Times New Roman" w:hAnsi="Times New Roman" w:cs="Times New Roman"/>
                <w:sz w:val="24"/>
                <w:szCs w:val="24"/>
              </w:rPr>
              <w:t>€</w:t>
            </w:r>
          </w:p>
        </w:tc>
        <w:tc>
          <w:tcPr>
            <w:tcW w:w="882" w:type="dxa"/>
          </w:tcPr>
          <w:p w14:paraId="05EEC516"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2.000</w:t>
            </w:r>
            <w:r w:rsidRPr="004979D2">
              <w:rPr>
                <w:rFonts w:ascii="Times New Roman" w:hAnsi="Times New Roman" w:cs="Times New Roman"/>
                <w:sz w:val="24"/>
                <w:szCs w:val="24"/>
              </w:rPr>
              <w:t>€</w:t>
            </w:r>
          </w:p>
        </w:tc>
        <w:tc>
          <w:tcPr>
            <w:tcW w:w="891" w:type="dxa"/>
          </w:tcPr>
          <w:p w14:paraId="340B8D2C"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2.000</w:t>
            </w:r>
            <w:r w:rsidRPr="004979D2">
              <w:rPr>
                <w:rFonts w:ascii="Times New Roman" w:hAnsi="Times New Roman" w:cs="Times New Roman"/>
                <w:sz w:val="24"/>
                <w:szCs w:val="24"/>
              </w:rPr>
              <w:t>€</w:t>
            </w:r>
          </w:p>
        </w:tc>
        <w:tc>
          <w:tcPr>
            <w:tcW w:w="1089" w:type="dxa"/>
          </w:tcPr>
          <w:p w14:paraId="3A33A2F5"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AKK</w:t>
            </w:r>
          </w:p>
          <w:p w14:paraId="69FF5FE7"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BE</w:t>
            </w:r>
          </w:p>
          <w:p w14:paraId="050F0507"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 xml:space="preserve">Institucione </w:t>
            </w:r>
            <w:proofErr w:type="spellStart"/>
            <w:r w:rsidRPr="004979D2">
              <w:rPr>
                <w:rFonts w:ascii="Times New Roman" w:eastAsia="Calibri" w:hAnsi="Times New Roman" w:cs="Times New Roman"/>
                <w:sz w:val="24"/>
                <w:szCs w:val="24"/>
              </w:rPr>
              <w:t>relvante</w:t>
            </w:r>
            <w:proofErr w:type="spellEnd"/>
          </w:p>
        </w:tc>
        <w:tc>
          <w:tcPr>
            <w:tcW w:w="1098" w:type="dxa"/>
          </w:tcPr>
          <w:p w14:paraId="2C40846F"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10.000€</w:t>
            </w:r>
          </w:p>
        </w:tc>
      </w:tr>
      <w:tr w:rsidR="00E70022" w:rsidRPr="004979D2" w14:paraId="12EBFA5B" w14:textId="77777777" w:rsidTr="00B11DC4">
        <w:trPr>
          <w:trHeight w:val="330"/>
        </w:trPr>
        <w:tc>
          <w:tcPr>
            <w:tcW w:w="1890" w:type="dxa"/>
            <w:vMerge/>
          </w:tcPr>
          <w:p w14:paraId="2D1C9D2B" w14:textId="77777777" w:rsidR="00E70022" w:rsidRPr="004979D2" w:rsidRDefault="00E70022" w:rsidP="001C0BEF">
            <w:pPr>
              <w:spacing w:after="160"/>
              <w:rPr>
                <w:rFonts w:ascii="Times New Roman" w:eastAsia="Calibri" w:hAnsi="Times New Roman" w:cs="Times New Roman"/>
                <w:sz w:val="24"/>
                <w:szCs w:val="24"/>
              </w:rPr>
            </w:pPr>
          </w:p>
        </w:tc>
        <w:tc>
          <w:tcPr>
            <w:tcW w:w="1080" w:type="dxa"/>
            <w:vMerge w:val="restart"/>
          </w:tcPr>
          <w:p w14:paraId="3DC656A2"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 xml:space="preserve">Produkti 2.3 </w:t>
            </w:r>
          </w:p>
        </w:tc>
        <w:tc>
          <w:tcPr>
            <w:tcW w:w="7920" w:type="dxa"/>
            <w:gridSpan w:val="8"/>
          </w:tcPr>
          <w:p w14:paraId="7CF660C9"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Gjyqtarë të trajnuar</w:t>
            </w:r>
            <w:r w:rsidRPr="004979D2" w:rsidDel="00EA042A">
              <w:rPr>
                <w:rFonts w:ascii="Times New Roman" w:eastAsia="Calibri" w:hAnsi="Times New Roman" w:cs="Times New Roman"/>
                <w:sz w:val="24"/>
                <w:szCs w:val="24"/>
              </w:rPr>
              <w:t xml:space="preserve"> </w:t>
            </w:r>
            <w:r w:rsidRPr="004979D2">
              <w:rPr>
                <w:rFonts w:ascii="Times New Roman" w:eastAsia="Calibri" w:hAnsi="Times New Roman" w:cs="Times New Roman"/>
                <w:sz w:val="24"/>
                <w:szCs w:val="24"/>
              </w:rPr>
              <w:t xml:space="preserve">ne </w:t>
            </w:r>
            <w:proofErr w:type="spellStart"/>
            <w:r w:rsidRPr="004979D2">
              <w:rPr>
                <w:rFonts w:ascii="Times New Roman" w:eastAsia="Calibri" w:hAnsi="Times New Roman" w:cs="Times New Roman"/>
                <w:sz w:val="24"/>
                <w:szCs w:val="24"/>
              </w:rPr>
              <w:t>fushen</w:t>
            </w:r>
            <w:proofErr w:type="spellEnd"/>
            <w:r w:rsidRPr="004979D2">
              <w:rPr>
                <w:rFonts w:ascii="Times New Roman" w:eastAsia="Calibri" w:hAnsi="Times New Roman" w:cs="Times New Roman"/>
                <w:sz w:val="24"/>
                <w:szCs w:val="24"/>
              </w:rPr>
              <w:t xml:space="preserve"> e konkurrencës. </w:t>
            </w:r>
          </w:p>
        </w:tc>
      </w:tr>
      <w:tr w:rsidR="00E70022" w:rsidRPr="004979D2" w14:paraId="12B327C2" w14:textId="77777777" w:rsidTr="00B11DC4">
        <w:trPr>
          <w:trHeight w:val="534"/>
        </w:trPr>
        <w:tc>
          <w:tcPr>
            <w:tcW w:w="1890" w:type="dxa"/>
            <w:vMerge/>
          </w:tcPr>
          <w:p w14:paraId="01F027CA" w14:textId="77777777" w:rsidR="00E70022" w:rsidRPr="004979D2" w:rsidRDefault="00E70022" w:rsidP="001C0BEF">
            <w:pPr>
              <w:spacing w:after="160"/>
              <w:rPr>
                <w:rFonts w:ascii="Times New Roman" w:eastAsia="Calibri" w:hAnsi="Times New Roman" w:cs="Times New Roman"/>
                <w:sz w:val="24"/>
                <w:szCs w:val="24"/>
              </w:rPr>
            </w:pPr>
          </w:p>
        </w:tc>
        <w:tc>
          <w:tcPr>
            <w:tcW w:w="1080" w:type="dxa"/>
            <w:vMerge/>
          </w:tcPr>
          <w:p w14:paraId="753322BB" w14:textId="77777777" w:rsidR="00E70022" w:rsidRPr="004979D2" w:rsidRDefault="00E70022" w:rsidP="001C0BEF">
            <w:pPr>
              <w:spacing w:after="160"/>
              <w:rPr>
                <w:rFonts w:ascii="Times New Roman" w:eastAsia="Calibri" w:hAnsi="Times New Roman" w:cs="Times New Roman"/>
                <w:sz w:val="24"/>
                <w:szCs w:val="24"/>
              </w:rPr>
            </w:pPr>
          </w:p>
        </w:tc>
        <w:tc>
          <w:tcPr>
            <w:tcW w:w="1314" w:type="dxa"/>
          </w:tcPr>
          <w:p w14:paraId="45C86289" w14:textId="77777777" w:rsidR="00E70022" w:rsidRPr="004979D2" w:rsidRDefault="00E70022" w:rsidP="001C0BEF">
            <w:pPr>
              <w:spacing w:after="160"/>
              <w:rPr>
                <w:rFonts w:ascii="Times New Roman" w:eastAsia="Calibri" w:hAnsi="Times New Roman" w:cs="Times New Roman"/>
                <w:sz w:val="24"/>
                <w:szCs w:val="24"/>
              </w:rPr>
            </w:pPr>
          </w:p>
        </w:tc>
        <w:tc>
          <w:tcPr>
            <w:tcW w:w="882" w:type="dxa"/>
          </w:tcPr>
          <w:p w14:paraId="33790341"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1</w:t>
            </w:r>
          </w:p>
          <w:p w14:paraId="447E9427"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(2019)</w:t>
            </w:r>
          </w:p>
        </w:tc>
        <w:tc>
          <w:tcPr>
            <w:tcW w:w="882" w:type="dxa"/>
          </w:tcPr>
          <w:p w14:paraId="47067735"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2</w:t>
            </w:r>
          </w:p>
          <w:p w14:paraId="5E17FA54"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(2020)</w:t>
            </w:r>
          </w:p>
        </w:tc>
        <w:tc>
          <w:tcPr>
            <w:tcW w:w="882" w:type="dxa"/>
          </w:tcPr>
          <w:p w14:paraId="58EB4CB2"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3</w:t>
            </w:r>
          </w:p>
          <w:p w14:paraId="55EA1CE2"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(2021)</w:t>
            </w:r>
          </w:p>
        </w:tc>
        <w:tc>
          <w:tcPr>
            <w:tcW w:w="882" w:type="dxa"/>
          </w:tcPr>
          <w:p w14:paraId="1162EA3D"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4</w:t>
            </w:r>
          </w:p>
          <w:p w14:paraId="1AC0DB5D"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(2022)</w:t>
            </w:r>
          </w:p>
        </w:tc>
        <w:tc>
          <w:tcPr>
            <w:tcW w:w="891" w:type="dxa"/>
          </w:tcPr>
          <w:p w14:paraId="73AC30E9"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5</w:t>
            </w:r>
          </w:p>
          <w:p w14:paraId="2FDD4857"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(2023)</w:t>
            </w:r>
          </w:p>
        </w:tc>
        <w:tc>
          <w:tcPr>
            <w:tcW w:w="1089" w:type="dxa"/>
          </w:tcPr>
          <w:p w14:paraId="572D0872"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Institucioni/Departamenti përgjegjës</w:t>
            </w:r>
          </w:p>
        </w:tc>
        <w:tc>
          <w:tcPr>
            <w:tcW w:w="1098" w:type="dxa"/>
          </w:tcPr>
          <w:p w14:paraId="75A9EB42" w14:textId="77777777" w:rsidR="00E70022" w:rsidRPr="004979D2" w:rsidRDefault="00E70022" w:rsidP="001C0BEF">
            <w:pPr>
              <w:spacing w:after="160"/>
              <w:rPr>
                <w:rFonts w:ascii="Times New Roman" w:eastAsia="Calibri" w:hAnsi="Times New Roman" w:cs="Times New Roman"/>
                <w:sz w:val="24"/>
                <w:szCs w:val="24"/>
              </w:rPr>
            </w:pPr>
          </w:p>
        </w:tc>
      </w:tr>
      <w:tr w:rsidR="00E70022" w:rsidRPr="004979D2" w14:paraId="7B327CCC" w14:textId="77777777" w:rsidTr="00B11DC4">
        <w:trPr>
          <w:trHeight w:val="2546"/>
        </w:trPr>
        <w:tc>
          <w:tcPr>
            <w:tcW w:w="1890" w:type="dxa"/>
            <w:vMerge/>
          </w:tcPr>
          <w:p w14:paraId="7E08FCCA" w14:textId="77777777" w:rsidR="00E70022" w:rsidRPr="004979D2" w:rsidRDefault="00E70022" w:rsidP="001C0BEF">
            <w:pPr>
              <w:spacing w:after="160"/>
              <w:rPr>
                <w:rFonts w:ascii="Times New Roman" w:eastAsia="Calibri" w:hAnsi="Times New Roman" w:cs="Times New Roman"/>
                <w:sz w:val="24"/>
                <w:szCs w:val="24"/>
              </w:rPr>
            </w:pPr>
          </w:p>
        </w:tc>
        <w:tc>
          <w:tcPr>
            <w:tcW w:w="1080" w:type="dxa"/>
            <w:vMerge/>
          </w:tcPr>
          <w:p w14:paraId="39D6BDE1" w14:textId="77777777" w:rsidR="00E70022" w:rsidRPr="004979D2" w:rsidRDefault="00E70022" w:rsidP="001C0BEF">
            <w:pPr>
              <w:spacing w:after="160"/>
              <w:rPr>
                <w:rFonts w:ascii="Times New Roman" w:eastAsia="Calibri" w:hAnsi="Times New Roman" w:cs="Times New Roman"/>
                <w:sz w:val="24"/>
                <w:szCs w:val="24"/>
              </w:rPr>
            </w:pPr>
          </w:p>
        </w:tc>
        <w:tc>
          <w:tcPr>
            <w:tcW w:w="1314" w:type="dxa"/>
          </w:tcPr>
          <w:p w14:paraId="7E3F3B2C"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 xml:space="preserve">Aktiviteti 2.3.1 </w:t>
            </w:r>
            <w:r w:rsidRPr="004979D2">
              <w:rPr>
                <w:rFonts w:ascii="Times New Roman" w:eastAsia="Calibri" w:hAnsi="Times New Roman" w:cs="Times New Roman"/>
                <w:sz w:val="24"/>
                <w:szCs w:val="24"/>
              </w:rPr>
              <w:t xml:space="preserve">Ofrimi i trajnimeve te gjyqtarëve  mbi praktikat e BE-së në fushën e konkurrencës. </w:t>
            </w:r>
          </w:p>
          <w:p w14:paraId="5ACE1067" w14:textId="77777777" w:rsidR="00E70022" w:rsidRPr="004979D2" w:rsidRDefault="00E70022" w:rsidP="001C0BEF">
            <w:pPr>
              <w:spacing w:after="160"/>
              <w:rPr>
                <w:rFonts w:ascii="Times New Roman" w:eastAsia="Calibri" w:hAnsi="Times New Roman" w:cs="Times New Roman"/>
                <w:sz w:val="24"/>
                <w:szCs w:val="24"/>
              </w:rPr>
            </w:pPr>
          </w:p>
          <w:p w14:paraId="2E581E34" w14:textId="77777777" w:rsidR="00E70022" w:rsidRPr="004979D2" w:rsidRDefault="00E70022" w:rsidP="001C0BEF">
            <w:pPr>
              <w:spacing w:after="160"/>
              <w:rPr>
                <w:rFonts w:ascii="Times New Roman" w:eastAsia="Calibri" w:hAnsi="Times New Roman" w:cs="Times New Roman"/>
                <w:sz w:val="24"/>
                <w:szCs w:val="24"/>
              </w:rPr>
            </w:pPr>
          </w:p>
          <w:p w14:paraId="058B821E" w14:textId="77777777" w:rsidR="00E70022" w:rsidRPr="004979D2" w:rsidRDefault="00E70022" w:rsidP="001C0BEF">
            <w:pPr>
              <w:spacing w:after="160"/>
              <w:rPr>
                <w:rFonts w:ascii="Times New Roman" w:eastAsia="Calibri" w:hAnsi="Times New Roman" w:cs="Times New Roman"/>
                <w:sz w:val="24"/>
                <w:szCs w:val="24"/>
              </w:rPr>
            </w:pPr>
          </w:p>
          <w:p w14:paraId="540B687A" w14:textId="77777777" w:rsidR="00E70022" w:rsidRPr="004979D2" w:rsidRDefault="00E70022" w:rsidP="001C0BEF">
            <w:pPr>
              <w:spacing w:after="160"/>
              <w:rPr>
                <w:rFonts w:ascii="Times New Roman" w:eastAsia="Calibri" w:hAnsi="Times New Roman" w:cs="Times New Roman"/>
                <w:sz w:val="24"/>
                <w:szCs w:val="24"/>
              </w:rPr>
            </w:pPr>
          </w:p>
        </w:tc>
        <w:tc>
          <w:tcPr>
            <w:tcW w:w="882" w:type="dxa"/>
          </w:tcPr>
          <w:p w14:paraId="54B3F745"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82" w:type="dxa"/>
          </w:tcPr>
          <w:p w14:paraId="172201F0"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2.000</w:t>
            </w:r>
            <w:r w:rsidRPr="004979D2">
              <w:rPr>
                <w:rFonts w:ascii="Times New Roman" w:hAnsi="Times New Roman" w:cs="Times New Roman"/>
                <w:sz w:val="24"/>
                <w:szCs w:val="24"/>
              </w:rPr>
              <w:t>€</w:t>
            </w:r>
          </w:p>
        </w:tc>
        <w:tc>
          <w:tcPr>
            <w:tcW w:w="882" w:type="dxa"/>
          </w:tcPr>
          <w:p w14:paraId="0EB10EEF"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2.000</w:t>
            </w:r>
            <w:r w:rsidRPr="004979D2">
              <w:rPr>
                <w:rFonts w:ascii="Times New Roman" w:hAnsi="Times New Roman" w:cs="Times New Roman"/>
                <w:sz w:val="24"/>
                <w:szCs w:val="24"/>
              </w:rPr>
              <w:t>€</w:t>
            </w:r>
          </w:p>
        </w:tc>
        <w:tc>
          <w:tcPr>
            <w:tcW w:w="882" w:type="dxa"/>
          </w:tcPr>
          <w:p w14:paraId="3996A9E3"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91" w:type="dxa"/>
          </w:tcPr>
          <w:p w14:paraId="640032BE"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1089" w:type="dxa"/>
          </w:tcPr>
          <w:p w14:paraId="76A79596"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Donatorë</w:t>
            </w:r>
          </w:p>
          <w:p w14:paraId="16229148"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AKK</w:t>
            </w:r>
          </w:p>
          <w:p w14:paraId="472C3F50"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Gjykatat</w:t>
            </w:r>
          </w:p>
          <w:p w14:paraId="0785B6D5" w14:textId="77777777" w:rsidR="00E70022" w:rsidRPr="004979D2" w:rsidRDefault="00E70022" w:rsidP="001C0BEF">
            <w:pPr>
              <w:spacing w:after="160"/>
              <w:rPr>
                <w:rFonts w:ascii="Times New Roman" w:eastAsia="Calibri" w:hAnsi="Times New Roman" w:cs="Times New Roman"/>
                <w:sz w:val="24"/>
                <w:szCs w:val="24"/>
              </w:rPr>
            </w:pPr>
          </w:p>
          <w:p w14:paraId="2FC3C9E5" w14:textId="77777777" w:rsidR="00E70022" w:rsidRPr="004979D2" w:rsidRDefault="00E70022" w:rsidP="001C0BEF">
            <w:pPr>
              <w:spacing w:after="160"/>
              <w:rPr>
                <w:rFonts w:ascii="Times New Roman" w:eastAsia="Calibri" w:hAnsi="Times New Roman" w:cs="Times New Roman"/>
                <w:sz w:val="24"/>
                <w:szCs w:val="24"/>
              </w:rPr>
            </w:pPr>
          </w:p>
        </w:tc>
        <w:tc>
          <w:tcPr>
            <w:tcW w:w="1098" w:type="dxa"/>
          </w:tcPr>
          <w:p w14:paraId="052518BB"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4.000€</w:t>
            </w:r>
          </w:p>
        </w:tc>
      </w:tr>
      <w:tr w:rsidR="00E70022" w:rsidRPr="004979D2" w14:paraId="6EF8F78B" w14:textId="77777777" w:rsidTr="00B11DC4">
        <w:trPr>
          <w:trHeight w:val="2546"/>
        </w:trPr>
        <w:tc>
          <w:tcPr>
            <w:tcW w:w="1890" w:type="dxa"/>
          </w:tcPr>
          <w:p w14:paraId="5AEA8728" w14:textId="77777777" w:rsidR="00E70022" w:rsidRPr="004979D2" w:rsidRDefault="00E70022" w:rsidP="001C0BEF">
            <w:pPr>
              <w:rPr>
                <w:rFonts w:ascii="Times New Roman" w:eastAsia="Calibri" w:hAnsi="Times New Roman" w:cs="Times New Roman"/>
                <w:sz w:val="24"/>
                <w:szCs w:val="24"/>
              </w:rPr>
            </w:pPr>
          </w:p>
        </w:tc>
        <w:tc>
          <w:tcPr>
            <w:tcW w:w="1080" w:type="dxa"/>
          </w:tcPr>
          <w:p w14:paraId="724FFCB1" w14:textId="77777777" w:rsidR="00E70022" w:rsidRPr="004979D2" w:rsidRDefault="00E70022" w:rsidP="001C0BEF">
            <w:pPr>
              <w:rPr>
                <w:rFonts w:ascii="Times New Roman" w:eastAsia="Calibri" w:hAnsi="Times New Roman" w:cs="Times New Roman"/>
                <w:sz w:val="24"/>
                <w:szCs w:val="24"/>
              </w:rPr>
            </w:pPr>
          </w:p>
        </w:tc>
        <w:tc>
          <w:tcPr>
            <w:tcW w:w="1314" w:type="dxa"/>
          </w:tcPr>
          <w:p w14:paraId="019E197A" w14:textId="77777777" w:rsidR="00E70022" w:rsidRPr="004979D2" w:rsidRDefault="00E70022" w:rsidP="001C0BEF">
            <w:pPr>
              <w:rPr>
                <w:rFonts w:ascii="Times New Roman" w:eastAsia="Calibri" w:hAnsi="Times New Roman" w:cs="Times New Roman"/>
                <w:b/>
                <w:sz w:val="24"/>
                <w:szCs w:val="24"/>
              </w:rPr>
            </w:pPr>
            <w:r w:rsidRPr="004979D2">
              <w:rPr>
                <w:rFonts w:ascii="Times New Roman" w:eastAsia="Calibri" w:hAnsi="Times New Roman" w:cs="Times New Roman"/>
                <w:b/>
                <w:sz w:val="24"/>
                <w:szCs w:val="24"/>
              </w:rPr>
              <w:t>Aktiviteti 2.3.2</w:t>
            </w:r>
          </w:p>
          <w:p w14:paraId="4ADD14A4" w14:textId="77777777" w:rsidR="00E70022" w:rsidRPr="004979D2" w:rsidRDefault="00E70022" w:rsidP="001C0BEF">
            <w:pPr>
              <w:rPr>
                <w:rFonts w:ascii="Times New Roman" w:eastAsia="Calibri" w:hAnsi="Times New Roman" w:cs="Times New Roman"/>
                <w:sz w:val="24"/>
                <w:szCs w:val="24"/>
              </w:rPr>
            </w:pPr>
            <w:r w:rsidRPr="004979D2">
              <w:rPr>
                <w:rFonts w:ascii="Times New Roman" w:eastAsia="Calibri" w:hAnsi="Times New Roman" w:cs="Times New Roman"/>
                <w:sz w:val="24"/>
                <w:szCs w:val="24"/>
              </w:rPr>
              <w:t>Organizimi i</w:t>
            </w:r>
            <w:r w:rsidRPr="004979D2">
              <w:rPr>
                <w:rFonts w:ascii="Times New Roman" w:eastAsia="Calibri" w:hAnsi="Times New Roman" w:cs="Times New Roman"/>
                <w:b/>
                <w:sz w:val="24"/>
                <w:szCs w:val="24"/>
              </w:rPr>
              <w:t xml:space="preserve"> </w:t>
            </w:r>
            <w:r w:rsidRPr="004979D2">
              <w:rPr>
                <w:rFonts w:ascii="Times New Roman" w:eastAsia="Calibri" w:hAnsi="Times New Roman" w:cs="Times New Roman"/>
                <w:sz w:val="24"/>
                <w:szCs w:val="24"/>
              </w:rPr>
              <w:t xml:space="preserve">punëtorive lidhur me eksperiencat ne </w:t>
            </w:r>
            <w:proofErr w:type="spellStart"/>
            <w:r w:rsidRPr="004979D2">
              <w:rPr>
                <w:rFonts w:ascii="Times New Roman" w:eastAsia="Calibri" w:hAnsi="Times New Roman" w:cs="Times New Roman"/>
                <w:sz w:val="24"/>
                <w:szCs w:val="24"/>
              </w:rPr>
              <w:t>fushen</w:t>
            </w:r>
            <w:proofErr w:type="spellEnd"/>
            <w:r w:rsidRPr="004979D2">
              <w:rPr>
                <w:rFonts w:ascii="Times New Roman" w:eastAsia="Calibri" w:hAnsi="Times New Roman" w:cs="Times New Roman"/>
                <w:sz w:val="24"/>
                <w:szCs w:val="24"/>
              </w:rPr>
              <w:t xml:space="preserve"> e zbatimit te ligjit te </w:t>
            </w:r>
            <w:proofErr w:type="spellStart"/>
            <w:r w:rsidRPr="004979D2">
              <w:rPr>
                <w:rFonts w:ascii="Times New Roman" w:eastAsia="Calibri" w:hAnsi="Times New Roman" w:cs="Times New Roman"/>
                <w:sz w:val="24"/>
                <w:szCs w:val="24"/>
              </w:rPr>
              <w:t>konkurences</w:t>
            </w:r>
            <w:proofErr w:type="spellEnd"/>
            <w:r w:rsidRPr="004979D2">
              <w:rPr>
                <w:rFonts w:ascii="Times New Roman" w:eastAsia="Calibri" w:hAnsi="Times New Roman" w:cs="Times New Roman"/>
                <w:sz w:val="24"/>
                <w:szCs w:val="24"/>
              </w:rPr>
              <w:t xml:space="preserve">. </w:t>
            </w:r>
          </w:p>
          <w:p w14:paraId="1E6DB0F8" w14:textId="77777777" w:rsidR="00E70022" w:rsidRPr="004979D2" w:rsidRDefault="00E70022" w:rsidP="001C0BEF">
            <w:pPr>
              <w:rPr>
                <w:rFonts w:ascii="Times New Roman" w:eastAsia="Calibri" w:hAnsi="Times New Roman" w:cs="Times New Roman"/>
                <w:sz w:val="24"/>
                <w:szCs w:val="24"/>
              </w:rPr>
            </w:pPr>
          </w:p>
          <w:p w14:paraId="712AE851" w14:textId="77777777" w:rsidR="00E70022" w:rsidRPr="004979D2" w:rsidRDefault="00E70022" w:rsidP="001C0BEF">
            <w:pPr>
              <w:rPr>
                <w:rFonts w:ascii="Times New Roman" w:eastAsia="Calibri" w:hAnsi="Times New Roman" w:cs="Times New Roman"/>
                <w:sz w:val="24"/>
                <w:szCs w:val="24"/>
              </w:rPr>
            </w:pPr>
          </w:p>
          <w:p w14:paraId="161F5D8B" w14:textId="77777777" w:rsidR="00E70022" w:rsidRPr="004979D2" w:rsidRDefault="00E70022" w:rsidP="001C0BEF">
            <w:pPr>
              <w:rPr>
                <w:rFonts w:ascii="Times New Roman" w:eastAsia="Calibri" w:hAnsi="Times New Roman" w:cs="Times New Roman"/>
                <w:sz w:val="24"/>
                <w:szCs w:val="24"/>
              </w:rPr>
            </w:pPr>
          </w:p>
          <w:p w14:paraId="4C54698C" w14:textId="77777777" w:rsidR="00E70022" w:rsidRPr="004979D2" w:rsidRDefault="00E70022" w:rsidP="001C0BEF">
            <w:pPr>
              <w:rPr>
                <w:rFonts w:ascii="Times New Roman" w:eastAsia="Calibri" w:hAnsi="Times New Roman" w:cs="Times New Roman"/>
                <w:sz w:val="24"/>
                <w:szCs w:val="24"/>
              </w:rPr>
            </w:pPr>
          </w:p>
          <w:p w14:paraId="5D6207B5" w14:textId="77777777" w:rsidR="00E70022" w:rsidRPr="004979D2" w:rsidRDefault="00E70022" w:rsidP="001C0BEF">
            <w:pPr>
              <w:rPr>
                <w:rFonts w:ascii="Times New Roman" w:eastAsia="Calibri" w:hAnsi="Times New Roman" w:cs="Times New Roman"/>
                <w:sz w:val="24"/>
                <w:szCs w:val="24"/>
              </w:rPr>
            </w:pPr>
          </w:p>
          <w:p w14:paraId="14CEA185" w14:textId="77777777" w:rsidR="00E70022" w:rsidRPr="004979D2" w:rsidRDefault="00E70022" w:rsidP="001C0BEF">
            <w:pPr>
              <w:rPr>
                <w:rFonts w:ascii="Times New Roman" w:eastAsia="Calibri" w:hAnsi="Times New Roman" w:cs="Times New Roman"/>
                <w:sz w:val="24"/>
                <w:szCs w:val="24"/>
              </w:rPr>
            </w:pPr>
          </w:p>
          <w:p w14:paraId="56171AF8" w14:textId="77777777" w:rsidR="00E70022" w:rsidRPr="004979D2" w:rsidRDefault="00E70022" w:rsidP="001C0BEF">
            <w:pPr>
              <w:rPr>
                <w:rFonts w:ascii="Times New Roman" w:eastAsia="Calibri" w:hAnsi="Times New Roman" w:cs="Times New Roman"/>
                <w:sz w:val="24"/>
                <w:szCs w:val="24"/>
              </w:rPr>
            </w:pPr>
          </w:p>
          <w:p w14:paraId="4F728A03" w14:textId="77777777" w:rsidR="00E70022" w:rsidRPr="004979D2" w:rsidRDefault="00E70022" w:rsidP="001C0BEF">
            <w:pPr>
              <w:rPr>
                <w:rFonts w:ascii="Times New Roman" w:eastAsia="Calibri" w:hAnsi="Times New Roman" w:cs="Times New Roman"/>
                <w:sz w:val="24"/>
                <w:szCs w:val="24"/>
              </w:rPr>
            </w:pPr>
          </w:p>
          <w:p w14:paraId="782580D5" w14:textId="77777777" w:rsidR="00E70022" w:rsidRPr="004979D2" w:rsidRDefault="00E70022" w:rsidP="001C0BEF">
            <w:pPr>
              <w:rPr>
                <w:rFonts w:ascii="Times New Roman" w:eastAsia="Calibri" w:hAnsi="Times New Roman" w:cs="Times New Roman"/>
                <w:sz w:val="24"/>
                <w:szCs w:val="24"/>
              </w:rPr>
            </w:pPr>
          </w:p>
          <w:p w14:paraId="51CC7339" w14:textId="77777777" w:rsidR="00E70022" w:rsidRPr="004979D2" w:rsidRDefault="00E70022" w:rsidP="001C0BEF">
            <w:pPr>
              <w:rPr>
                <w:rFonts w:ascii="Times New Roman" w:eastAsia="Calibri" w:hAnsi="Times New Roman" w:cs="Times New Roman"/>
                <w:sz w:val="24"/>
                <w:szCs w:val="24"/>
              </w:rPr>
            </w:pPr>
          </w:p>
          <w:p w14:paraId="2B6D37B0" w14:textId="77777777" w:rsidR="00E70022" w:rsidRPr="004979D2" w:rsidRDefault="00E70022" w:rsidP="001C0BEF">
            <w:pPr>
              <w:rPr>
                <w:rFonts w:ascii="Times New Roman" w:eastAsia="Calibri" w:hAnsi="Times New Roman" w:cs="Times New Roman"/>
                <w:sz w:val="24"/>
                <w:szCs w:val="24"/>
              </w:rPr>
            </w:pPr>
          </w:p>
          <w:p w14:paraId="29440482" w14:textId="77777777" w:rsidR="00E70022" w:rsidRPr="004979D2" w:rsidRDefault="00E70022" w:rsidP="001C0BEF">
            <w:pPr>
              <w:rPr>
                <w:rFonts w:ascii="Times New Roman" w:eastAsia="Calibri" w:hAnsi="Times New Roman" w:cs="Times New Roman"/>
                <w:b/>
                <w:sz w:val="24"/>
                <w:szCs w:val="24"/>
              </w:rPr>
            </w:pPr>
          </w:p>
        </w:tc>
        <w:tc>
          <w:tcPr>
            <w:tcW w:w="882" w:type="dxa"/>
          </w:tcPr>
          <w:p w14:paraId="316DC8FE" w14:textId="77777777" w:rsidR="00E70022" w:rsidRPr="004979D2" w:rsidRDefault="00E70022" w:rsidP="001C0BEF">
            <w:pPr>
              <w:rPr>
                <w:rFonts w:ascii="Times New Roman" w:eastAsia="Calibri" w:hAnsi="Times New Roman" w:cs="Times New Roman"/>
                <w:sz w:val="24"/>
                <w:szCs w:val="24"/>
              </w:rPr>
            </w:pPr>
            <w:r w:rsidRPr="004979D2">
              <w:rPr>
                <w:rFonts w:ascii="Times New Roman" w:eastAsia="Calibri" w:hAnsi="Times New Roman" w:cs="Times New Roman"/>
                <w:sz w:val="24"/>
                <w:szCs w:val="24"/>
              </w:rPr>
              <w:lastRenderedPageBreak/>
              <w:t>2.000</w:t>
            </w:r>
            <w:r w:rsidRPr="004979D2">
              <w:rPr>
                <w:rFonts w:ascii="Times New Roman" w:hAnsi="Times New Roman" w:cs="Times New Roman"/>
                <w:sz w:val="24"/>
                <w:szCs w:val="24"/>
              </w:rPr>
              <w:t>€</w:t>
            </w:r>
          </w:p>
        </w:tc>
        <w:tc>
          <w:tcPr>
            <w:tcW w:w="882" w:type="dxa"/>
          </w:tcPr>
          <w:p w14:paraId="5BC48E7A" w14:textId="77777777" w:rsidR="00E70022" w:rsidRPr="004979D2" w:rsidRDefault="00E70022" w:rsidP="001C0BEF">
            <w:pPr>
              <w:rPr>
                <w:rFonts w:ascii="Times New Roman" w:eastAsia="Calibri" w:hAnsi="Times New Roman" w:cs="Times New Roman"/>
                <w:sz w:val="24"/>
                <w:szCs w:val="24"/>
              </w:rPr>
            </w:pPr>
            <w:r w:rsidRPr="004979D2">
              <w:rPr>
                <w:rFonts w:ascii="Times New Roman" w:eastAsia="Calibri" w:hAnsi="Times New Roman" w:cs="Times New Roman"/>
                <w:sz w:val="24"/>
                <w:szCs w:val="24"/>
              </w:rPr>
              <w:t>2.000</w:t>
            </w:r>
            <w:r w:rsidRPr="004979D2">
              <w:rPr>
                <w:rFonts w:ascii="Times New Roman" w:hAnsi="Times New Roman" w:cs="Times New Roman"/>
                <w:sz w:val="24"/>
                <w:szCs w:val="24"/>
              </w:rPr>
              <w:t>€</w:t>
            </w:r>
          </w:p>
        </w:tc>
        <w:tc>
          <w:tcPr>
            <w:tcW w:w="882" w:type="dxa"/>
          </w:tcPr>
          <w:p w14:paraId="1E9ACA7B" w14:textId="77777777" w:rsidR="00E70022" w:rsidRPr="004979D2" w:rsidRDefault="00E70022" w:rsidP="001C0BEF">
            <w:pPr>
              <w:rPr>
                <w:rFonts w:ascii="Times New Roman" w:eastAsia="Calibri" w:hAnsi="Times New Roman" w:cs="Times New Roman"/>
                <w:sz w:val="24"/>
                <w:szCs w:val="24"/>
              </w:rPr>
            </w:pPr>
            <w:r w:rsidRPr="004979D2">
              <w:rPr>
                <w:rFonts w:ascii="Times New Roman" w:eastAsia="Calibri" w:hAnsi="Times New Roman" w:cs="Times New Roman"/>
                <w:sz w:val="24"/>
                <w:szCs w:val="24"/>
              </w:rPr>
              <w:t>2.000</w:t>
            </w:r>
            <w:r w:rsidRPr="004979D2">
              <w:rPr>
                <w:rFonts w:ascii="Times New Roman" w:hAnsi="Times New Roman" w:cs="Times New Roman"/>
                <w:sz w:val="24"/>
                <w:szCs w:val="24"/>
              </w:rPr>
              <w:t>€</w:t>
            </w:r>
          </w:p>
        </w:tc>
        <w:tc>
          <w:tcPr>
            <w:tcW w:w="882" w:type="dxa"/>
          </w:tcPr>
          <w:p w14:paraId="33569EFC" w14:textId="77777777" w:rsidR="00E70022" w:rsidRPr="004979D2" w:rsidRDefault="00E70022" w:rsidP="001C0BEF">
            <w:pPr>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91" w:type="dxa"/>
          </w:tcPr>
          <w:p w14:paraId="1D1DFC45" w14:textId="77777777" w:rsidR="00E70022" w:rsidRPr="004979D2" w:rsidRDefault="00E70022" w:rsidP="001C0BEF">
            <w:pPr>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1089" w:type="dxa"/>
          </w:tcPr>
          <w:p w14:paraId="2263AAED"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Donatorë</w:t>
            </w:r>
          </w:p>
          <w:p w14:paraId="64A100FD"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AKK</w:t>
            </w:r>
          </w:p>
          <w:p w14:paraId="0FAFE146" w14:textId="77777777" w:rsidR="00E70022" w:rsidRPr="004979D2" w:rsidRDefault="00E70022" w:rsidP="001C0BEF">
            <w:pPr>
              <w:rPr>
                <w:rFonts w:ascii="Times New Roman" w:eastAsia="Calibri" w:hAnsi="Times New Roman" w:cs="Times New Roman"/>
                <w:sz w:val="24"/>
                <w:szCs w:val="24"/>
              </w:rPr>
            </w:pPr>
            <w:r w:rsidRPr="004979D2">
              <w:rPr>
                <w:rFonts w:ascii="Times New Roman" w:eastAsia="Calibri" w:hAnsi="Times New Roman" w:cs="Times New Roman"/>
                <w:sz w:val="24"/>
                <w:szCs w:val="24"/>
              </w:rPr>
              <w:t>Gjykatat</w:t>
            </w:r>
          </w:p>
        </w:tc>
        <w:tc>
          <w:tcPr>
            <w:tcW w:w="1098" w:type="dxa"/>
          </w:tcPr>
          <w:p w14:paraId="6961FB77" w14:textId="77777777" w:rsidR="00E70022" w:rsidRPr="004979D2" w:rsidRDefault="00E70022" w:rsidP="001C0BEF">
            <w:pPr>
              <w:rPr>
                <w:rFonts w:ascii="Times New Roman" w:eastAsia="Calibri" w:hAnsi="Times New Roman" w:cs="Times New Roman"/>
                <w:sz w:val="24"/>
                <w:szCs w:val="24"/>
              </w:rPr>
            </w:pPr>
            <w:r w:rsidRPr="004979D2">
              <w:rPr>
                <w:rFonts w:ascii="Times New Roman" w:eastAsia="Calibri" w:hAnsi="Times New Roman" w:cs="Times New Roman"/>
                <w:sz w:val="24"/>
                <w:szCs w:val="24"/>
              </w:rPr>
              <w:t>6.000€</w:t>
            </w:r>
          </w:p>
        </w:tc>
      </w:tr>
      <w:tr w:rsidR="00E70022" w:rsidRPr="004979D2" w14:paraId="7190D101" w14:textId="77777777" w:rsidTr="00B11DC4">
        <w:trPr>
          <w:trHeight w:val="447"/>
        </w:trPr>
        <w:tc>
          <w:tcPr>
            <w:tcW w:w="1890" w:type="dxa"/>
            <w:vMerge w:val="restart"/>
          </w:tcPr>
          <w:p w14:paraId="603D7E3D" w14:textId="77777777" w:rsidR="00E70022" w:rsidRPr="004979D2" w:rsidRDefault="00E70022" w:rsidP="001C0BEF">
            <w:pPr>
              <w:spacing w:after="160"/>
              <w:rPr>
                <w:rFonts w:ascii="Times New Roman" w:eastAsia="Calibri" w:hAnsi="Times New Roman" w:cs="Times New Roman"/>
                <w:sz w:val="24"/>
                <w:szCs w:val="24"/>
              </w:rPr>
            </w:pPr>
          </w:p>
          <w:p w14:paraId="3220D5D5"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 xml:space="preserve">Objektivi specifik 3 </w:t>
            </w:r>
          </w:p>
          <w:p w14:paraId="30B826E5"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 xml:space="preserve">- Deri në vitin 2023, niveli i </w:t>
            </w:r>
            <w:proofErr w:type="spellStart"/>
            <w:r w:rsidRPr="004979D2">
              <w:rPr>
                <w:rFonts w:ascii="Times New Roman" w:eastAsia="Calibri" w:hAnsi="Times New Roman" w:cs="Times New Roman"/>
                <w:b/>
                <w:sz w:val="24"/>
                <w:szCs w:val="24"/>
              </w:rPr>
              <w:t>vetëdijësimit</w:t>
            </w:r>
            <w:proofErr w:type="spellEnd"/>
            <w:r w:rsidRPr="004979D2">
              <w:rPr>
                <w:rFonts w:ascii="Times New Roman" w:eastAsia="Calibri" w:hAnsi="Times New Roman" w:cs="Times New Roman"/>
                <w:b/>
                <w:sz w:val="24"/>
                <w:szCs w:val="24"/>
              </w:rPr>
              <w:t xml:space="preserve"> të operatorëve ekonomik dhe palëve të tjera të interesit për rregullat e konkurrencës është më i lartë.  </w:t>
            </w:r>
          </w:p>
          <w:p w14:paraId="23B8E2DB" w14:textId="77777777" w:rsidR="00E70022" w:rsidRPr="004979D2" w:rsidRDefault="00E70022" w:rsidP="001C0BEF">
            <w:pPr>
              <w:spacing w:after="160"/>
              <w:rPr>
                <w:rFonts w:ascii="Times New Roman" w:eastAsia="Calibri" w:hAnsi="Times New Roman" w:cs="Times New Roman"/>
                <w:b/>
                <w:sz w:val="24"/>
                <w:szCs w:val="24"/>
              </w:rPr>
            </w:pPr>
          </w:p>
        </w:tc>
        <w:tc>
          <w:tcPr>
            <w:tcW w:w="1080" w:type="dxa"/>
            <w:vMerge w:val="restart"/>
          </w:tcPr>
          <w:p w14:paraId="06E39FDD" w14:textId="77777777" w:rsidR="00E70022" w:rsidRPr="004979D2" w:rsidRDefault="00E70022" w:rsidP="001C0BEF">
            <w:pPr>
              <w:spacing w:after="160"/>
              <w:rPr>
                <w:rFonts w:ascii="Times New Roman" w:eastAsia="Calibri" w:hAnsi="Times New Roman" w:cs="Times New Roman"/>
                <w:sz w:val="24"/>
                <w:szCs w:val="24"/>
              </w:rPr>
            </w:pPr>
          </w:p>
          <w:p w14:paraId="65788C84"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 xml:space="preserve">Produkti 3.1 </w:t>
            </w:r>
            <w:r w:rsidRPr="004979D2">
              <w:rPr>
                <w:rFonts w:ascii="Times New Roman" w:eastAsia="Calibri" w:hAnsi="Times New Roman" w:cs="Times New Roman"/>
                <w:sz w:val="24"/>
                <w:szCs w:val="24"/>
              </w:rPr>
              <w:t xml:space="preserve">  </w:t>
            </w:r>
          </w:p>
        </w:tc>
        <w:tc>
          <w:tcPr>
            <w:tcW w:w="7920" w:type="dxa"/>
            <w:gridSpan w:val="8"/>
          </w:tcPr>
          <w:p w14:paraId="5CB39CBC"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 xml:space="preserve">Fushata informuese e miratuar dhe </w:t>
            </w:r>
            <w:proofErr w:type="spellStart"/>
            <w:r w:rsidRPr="004979D2">
              <w:rPr>
                <w:rFonts w:ascii="Times New Roman" w:eastAsia="Calibri" w:hAnsi="Times New Roman" w:cs="Times New Roman"/>
                <w:sz w:val="24"/>
                <w:szCs w:val="24"/>
              </w:rPr>
              <w:t>lancuar</w:t>
            </w:r>
            <w:proofErr w:type="spellEnd"/>
          </w:p>
        </w:tc>
      </w:tr>
      <w:tr w:rsidR="00E70022" w:rsidRPr="004979D2" w14:paraId="0F7F37C4" w14:textId="77777777" w:rsidTr="00B11DC4">
        <w:trPr>
          <w:trHeight w:val="404"/>
        </w:trPr>
        <w:tc>
          <w:tcPr>
            <w:tcW w:w="1890" w:type="dxa"/>
            <w:vMerge/>
          </w:tcPr>
          <w:p w14:paraId="5BAF051A" w14:textId="77777777" w:rsidR="00E70022" w:rsidRPr="004979D2" w:rsidDel="00A97A7C" w:rsidRDefault="00E70022" w:rsidP="001C0BEF">
            <w:pPr>
              <w:spacing w:after="160"/>
              <w:rPr>
                <w:rFonts w:ascii="Times New Roman" w:eastAsia="Calibri" w:hAnsi="Times New Roman" w:cs="Times New Roman"/>
                <w:sz w:val="24"/>
                <w:szCs w:val="24"/>
              </w:rPr>
            </w:pPr>
          </w:p>
        </w:tc>
        <w:tc>
          <w:tcPr>
            <w:tcW w:w="1080" w:type="dxa"/>
            <w:vMerge/>
          </w:tcPr>
          <w:p w14:paraId="6463AC4E" w14:textId="77777777" w:rsidR="00E70022" w:rsidRPr="004979D2" w:rsidRDefault="00E70022" w:rsidP="001C0BEF">
            <w:pPr>
              <w:spacing w:after="160"/>
              <w:rPr>
                <w:rFonts w:ascii="Times New Roman" w:eastAsia="Calibri" w:hAnsi="Times New Roman" w:cs="Times New Roman"/>
                <w:sz w:val="24"/>
                <w:szCs w:val="24"/>
              </w:rPr>
            </w:pPr>
          </w:p>
        </w:tc>
        <w:tc>
          <w:tcPr>
            <w:tcW w:w="1314" w:type="dxa"/>
          </w:tcPr>
          <w:p w14:paraId="5ED621D2" w14:textId="77777777" w:rsidR="00E70022" w:rsidRPr="004979D2" w:rsidDel="00A97A7C" w:rsidRDefault="00E70022" w:rsidP="001C0BEF">
            <w:pPr>
              <w:spacing w:after="160"/>
              <w:rPr>
                <w:rFonts w:ascii="Times New Roman" w:eastAsia="Calibri" w:hAnsi="Times New Roman" w:cs="Times New Roman"/>
                <w:b/>
                <w:sz w:val="24"/>
                <w:szCs w:val="24"/>
              </w:rPr>
            </w:pPr>
          </w:p>
        </w:tc>
        <w:tc>
          <w:tcPr>
            <w:tcW w:w="882" w:type="dxa"/>
          </w:tcPr>
          <w:p w14:paraId="57DC6E4C"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1</w:t>
            </w:r>
          </w:p>
          <w:p w14:paraId="3E8040DC"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(2019)</w:t>
            </w:r>
          </w:p>
        </w:tc>
        <w:tc>
          <w:tcPr>
            <w:tcW w:w="882" w:type="dxa"/>
          </w:tcPr>
          <w:p w14:paraId="59451D4C"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2</w:t>
            </w:r>
          </w:p>
          <w:p w14:paraId="4B81E398"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(2020)</w:t>
            </w:r>
          </w:p>
        </w:tc>
        <w:tc>
          <w:tcPr>
            <w:tcW w:w="882" w:type="dxa"/>
          </w:tcPr>
          <w:p w14:paraId="51052924"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3</w:t>
            </w:r>
          </w:p>
          <w:p w14:paraId="4E082BA2"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(2021)</w:t>
            </w:r>
          </w:p>
        </w:tc>
        <w:tc>
          <w:tcPr>
            <w:tcW w:w="882" w:type="dxa"/>
          </w:tcPr>
          <w:p w14:paraId="2A7ED2B9"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4</w:t>
            </w:r>
          </w:p>
          <w:p w14:paraId="5E66DA1F"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(2022)</w:t>
            </w:r>
          </w:p>
        </w:tc>
        <w:tc>
          <w:tcPr>
            <w:tcW w:w="891" w:type="dxa"/>
          </w:tcPr>
          <w:p w14:paraId="2ACACC14"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5</w:t>
            </w:r>
          </w:p>
          <w:p w14:paraId="4103D58F"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(2023)</w:t>
            </w:r>
          </w:p>
        </w:tc>
        <w:tc>
          <w:tcPr>
            <w:tcW w:w="1089" w:type="dxa"/>
          </w:tcPr>
          <w:p w14:paraId="4B24B4ED"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Institucioni/Departamenti përgjegjës</w:t>
            </w:r>
          </w:p>
        </w:tc>
        <w:tc>
          <w:tcPr>
            <w:tcW w:w="1098" w:type="dxa"/>
          </w:tcPr>
          <w:p w14:paraId="5A3DCA1A" w14:textId="77777777" w:rsidR="00E70022" w:rsidRPr="004979D2" w:rsidRDefault="00E70022" w:rsidP="001C0BEF">
            <w:pPr>
              <w:spacing w:after="160"/>
              <w:rPr>
                <w:rFonts w:ascii="Times New Roman" w:eastAsia="Calibri" w:hAnsi="Times New Roman" w:cs="Times New Roman"/>
                <w:sz w:val="24"/>
                <w:szCs w:val="24"/>
              </w:rPr>
            </w:pPr>
          </w:p>
        </w:tc>
      </w:tr>
      <w:tr w:rsidR="00E70022" w:rsidRPr="004979D2" w14:paraId="48A6C915" w14:textId="77777777" w:rsidTr="00B11DC4">
        <w:trPr>
          <w:trHeight w:val="197"/>
        </w:trPr>
        <w:tc>
          <w:tcPr>
            <w:tcW w:w="1890" w:type="dxa"/>
            <w:vMerge/>
          </w:tcPr>
          <w:p w14:paraId="1E8B1865" w14:textId="77777777" w:rsidR="00E70022" w:rsidRPr="004979D2" w:rsidDel="00A97A7C" w:rsidRDefault="00E70022" w:rsidP="001C0BEF">
            <w:pPr>
              <w:spacing w:after="160"/>
              <w:rPr>
                <w:rFonts w:ascii="Times New Roman" w:eastAsia="Calibri" w:hAnsi="Times New Roman" w:cs="Times New Roman"/>
                <w:sz w:val="24"/>
                <w:szCs w:val="24"/>
              </w:rPr>
            </w:pPr>
          </w:p>
        </w:tc>
        <w:tc>
          <w:tcPr>
            <w:tcW w:w="1080" w:type="dxa"/>
            <w:vMerge/>
          </w:tcPr>
          <w:p w14:paraId="5933AB63" w14:textId="77777777" w:rsidR="00E70022" w:rsidRPr="004979D2" w:rsidRDefault="00E70022" w:rsidP="001C0BEF">
            <w:pPr>
              <w:spacing w:after="160"/>
              <w:rPr>
                <w:rFonts w:ascii="Times New Roman" w:eastAsia="Calibri" w:hAnsi="Times New Roman" w:cs="Times New Roman"/>
                <w:sz w:val="24"/>
                <w:szCs w:val="24"/>
              </w:rPr>
            </w:pPr>
          </w:p>
        </w:tc>
        <w:tc>
          <w:tcPr>
            <w:tcW w:w="1314" w:type="dxa"/>
          </w:tcPr>
          <w:p w14:paraId="2E42E6DB" w14:textId="77777777" w:rsidR="00E70022" w:rsidRPr="004979D2" w:rsidDel="00A97A7C"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 xml:space="preserve">Aktiviteti 3.1.1 </w:t>
            </w:r>
            <w:r w:rsidRPr="004979D2">
              <w:rPr>
                <w:rFonts w:ascii="Times New Roman" w:eastAsia="Calibri" w:hAnsi="Times New Roman" w:cs="Times New Roman"/>
                <w:sz w:val="24"/>
                <w:szCs w:val="24"/>
              </w:rPr>
              <w:t xml:space="preserve">Zhvillimi i Planit të Komunikimit </w:t>
            </w:r>
          </w:p>
        </w:tc>
        <w:tc>
          <w:tcPr>
            <w:tcW w:w="882" w:type="dxa"/>
          </w:tcPr>
          <w:p w14:paraId="579F3CFE"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1.000</w:t>
            </w:r>
            <w:r w:rsidRPr="004979D2">
              <w:rPr>
                <w:rFonts w:ascii="Times New Roman" w:hAnsi="Times New Roman" w:cs="Times New Roman"/>
                <w:sz w:val="24"/>
                <w:szCs w:val="24"/>
              </w:rPr>
              <w:t>€</w:t>
            </w:r>
          </w:p>
        </w:tc>
        <w:tc>
          <w:tcPr>
            <w:tcW w:w="882" w:type="dxa"/>
          </w:tcPr>
          <w:p w14:paraId="12F3C986"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82" w:type="dxa"/>
          </w:tcPr>
          <w:p w14:paraId="2D86C6B7"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82" w:type="dxa"/>
          </w:tcPr>
          <w:p w14:paraId="26821454"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91" w:type="dxa"/>
          </w:tcPr>
          <w:p w14:paraId="675296AE"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1089" w:type="dxa"/>
          </w:tcPr>
          <w:p w14:paraId="666B8BF1"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AKK</w:t>
            </w:r>
          </w:p>
        </w:tc>
        <w:tc>
          <w:tcPr>
            <w:tcW w:w="1098" w:type="dxa"/>
          </w:tcPr>
          <w:p w14:paraId="46E48A9F"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1,000€</w:t>
            </w:r>
          </w:p>
        </w:tc>
      </w:tr>
      <w:tr w:rsidR="00E70022" w:rsidRPr="004979D2" w14:paraId="0A7A3BF6" w14:textId="77777777" w:rsidTr="00B11DC4">
        <w:trPr>
          <w:trHeight w:val="539"/>
        </w:trPr>
        <w:tc>
          <w:tcPr>
            <w:tcW w:w="1890" w:type="dxa"/>
            <w:vMerge/>
          </w:tcPr>
          <w:p w14:paraId="417D03DE" w14:textId="77777777" w:rsidR="00E70022" w:rsidRPr="004979D2" w:rsidDel="00A97A7C" w:rsidRDefault="00E70022" w:rsidP="001C0BEF">
            <w:pPr>
              <w:spacing w:after="160"/>
              <w:rPr>
                <w:rFonts w:ascii="Times New Roman" w:eastAsia="Calibri" w:hAnsi="Times New Roman" w:cs="Times New Roman"/>
                <w:sz w:val="24"/>
                <w:szCs w:val="24"/>
              </w:rPr>
            </w:pPr>
          </w:p>
        </w:tc>
        <w:tc>
          <w:tcPr>
            <w:tcW w:w="1080" w:type="dxa"/>
            <w:vMerge/>
          </w:tcPr>
          <w:p w14:paraId="740A424C" w14:textId="77777777" w:rsidR="00E70022" w:rsidRPr="004979D2" w:rsidRDefault="00E70022" w:rsidP="001C0BEF">
            <w:pPr>
              <w:spacing w:after="160"/>
              <w:rPr>
                <w:rFonts w:ascii="Times New Roman" w:eastAsia="Calibri" w:hAnsi="Times New Roman" w:cs="Times New Roman"/>
                <w:sz w:val="24"/>
                <w:szCs w:val="24"/>
              </w:rPr>
            </w:pPr>
          </w:p>
        </w:tc>
        <w:tc>
          <w:tcPr>
            <w:tcW w:w="1314" w:type="dxa"/>
          </w:tcPr>
          <w:p w14:paraId="489E57F8"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b/>
                <w:sz w:val="24"/>
                <w:szCs w:val="24"/>
              </w:rPr>
              <w:t>Aktiviteti 3.1.2</w:t>
            </w:r>
            <w:r w:rsidRPr="004979D2">
              <w:rPr>
                <w:rFonts w:ascii="Times New Roman" w:eastAsia="Calibri" w:hAnsi="Times New Roman" w:cs="Times New Roman"/>
                <w:b/>
                <w:sz w:val="24"/>
                <w:szCs w:val="24"/>
              </w:rPr>
              <w:br/>
            </w:r>
            <w:proofErr w:type="spellStart"/>
            <w:r w:rsidRPr="004979D2">
              <w:rPr>
                <w:rFonts w:ascii="Times New Roman" w:eastAsia="Calibri" w:hAnsi="Times New Roman" w:cs="Times New Roman"/>
                <w:sz w:val="24"/>
                <w:szCs w:val="24"/>
              </w:rPr>
              <w:t>Lansimi</w:t>
            </w:r>
            <w:proofErr w:type="spellEnd"/>
            <w:r w:rsidRPr="004979D2">
              <w:rPr>
                <w:rFonts w:ascii="Times New Roman" w:eastAsia="Calibri" w:hAnsi="Times New Roman" w:cs="Times New Roman"/>
                <w:sz w:val="24"/>
                <w:szCs w:val="24"/>
              </w:rPr>
              <w:t xml:space="preserve"> i fushatës</w:t>
            </w:r>
          </w:p>
        </w:tc>
        <w:tc>
          <w:tcPr>
            <w:tcW w:w="882" w:type="dxa"/>
          </w:tcPr>
          <w:p w14:paraId="7DA19065"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2.000</w:t>
            </w:r>
            <w:r w:rsidRPr="004979D2">
              <w:rPr>
                <w:rFonts w:ascii="Times New Roman" w:hAnsi="Times New Roman" w:cs="Times New Roman"/>
                <w:sz w:val="24"/>
                <w:szCs w:val="24"/>
              </w:rPr>
              <w:t>€</w:t>
            </w:r>
          </w:p>
        </w:tc>
        <w:tc>
          <w:tcPr>
            <w:tcW w:w="882" w:type="dxa"/>
          </w:tcPr>
          <w:p w14:paraId="3A2D6196"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2.000</w:t>
            </w:r>
            <w:r w:rsidRPr="004979D2">
              <w:rPr>
                <w:rFonts w:ascii="Times New Roman" w:hAnsi="Times New Roman" w:cs="Times New Roman"/>
                <w:sz w:val="24"/>
                <w:szCs w:val="24"/>
              </w:rPr>
              <w:t>€</w:t>
            </w:r>
          </w:p>
        </w:tc>
        <w:tc>
          <w:tcPr>
            <w:tcW w:w="882" w:type="dxa"/>
          </w:tcPr>
          <w:p w14:paraId="7A058ABC"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82" w:type="dxa"/>
          </w:tcPr>
          <w:p w14:paraId="41A846EF"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91" w:type="dxa"/>
          </w:tcPr>
          <w:p w14:paraId="6FB6033B"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1089" w:type="dxa"/>
          </w:tcPr>
          <w:p w14:paraId="34A6E86B"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AKK</w:t>
            </w:r>
          </w:p>
          <w:p w14:paraId="022F1FA0"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Palët e interesit</w:t>
            </w:r>
          </w:p>
        </w:tc>
        <w:tc>
          <w:tcPr>
            <w:tcW w:w="1098" w:type="dxa"/>
          </w:tcPr>
          <w:p w14:paraId="64DCECED"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4,000€</w:t>
            </w:r>
          </w:p>
        </w:tc>
      </w:tr>
      <w:tr w:rsidR="00E70022" w:rsidRPr="004979D2" w14:paraId="50182F58" w14:textId="77777777" w:rsidTr="00B11DC4">
        <w:trPr>
          <w:trHeight w:val="719"/>
        </w:trPr>
        <w:tc>
          <w:tcPr>
            <w:tcW w:w="1890" w:type="dxa"/>
            <w:vMerge/>
          </w:tcPr>
          <w:p w14:paraId="0E5AFA27" w14:textId="77777777" w:rsidR="00E70022" w:rsidRPr="004979D2" w:rsidDel="00A97A7C" w:rsidRDefault="00E70022" w:rsidP="001C0BEF">
            <w:pPr>
              <w:spacing w:after="160"/>
              <w:rPr>
                <w:rFonts w:ascii="Times New Roman" w:eastAsia="Calibri" w:hAnsi="Times New Roman" w:cs="Times New Roman"/>
                <w:sz w:val="24"/>
                <w:szCs w:val="24"/>
              </w:rPr>
            </w:pPr>
          </w:p>
        </w:tc>
        <w:tc>
          <w:tcPr>
            <w:tcW w:w="1080" w:type="dxa"/>
            <w:vMerge/>
          </w:tcPr>
          <w:p w14:paraId="533B5CF8" w14:textId="77777777" w:rsidR="00E70022" w:rsidRPr="004979D2" w:rsidRDefault="00E70022" w:rsidP="001C0BEF">
            <w:pPr>
              <w:spacing w:after="160"/>
              <w:rPr>
                <w:rFonts w:ascii="Times New Roman" w:eastAsia="Calibri" w:hAnsi="Times New Roman" w:cs="Times New Roman"/>
                <w:sz w:val="24"/>
                <w:szCs w:val="24"/>
              </w:rPr>
            </w:pPr>
          </w:p>
        </w:tc>
        <w:tc>
          <w:tcPr>
            <w:tcW w:w="1314" w:type="dxa"/>
          </w:tcPr>
          <w:p w14:paraId="276A75C7"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b/>
                <w:sz w:val="24"/>
                <w:szCs w:val="24"/>
              </w:rPr>
              <w:t>Aktiviteti 3.1.3</w:t>
            </w:r>
          </w:p>
          <w:p w14:paraId="3A352B69" w14:textId="77777777" w:rsidR="00E70022" w:rsidRPr="004979D2" w:rsidRDefault="00E70022" w:rsidP="001C0BEF">
            <w:pPr>
              <w:spacing w:after="160"/>
              <w:rPr>
                <w:rFonts w:ascii="Times New Roman" w:eastAsia="Calibri" w:hAnsi="Times New Roman" w:cs="Times New Roman"/>
                <w:b/>
                <w:sz w:val="24"/>
                <w:szCs w:val="24"/>
              </w:rPr>
            </w:pPr>
            <w:r w:rsidRPr="004979D2">
              <w:rPr>
                <w:rFonts w:ascii="Times New Roman" w:eastAsia="Calibri" w:hAnsi="Times New Roman" w:cs="Times New Roman"/>
                <w:sz w:val="24"/>
                <w:szCs w:val="24"/>
              </w:rPr>
              <w:t>Monitorimi  dhe vlerësimi i fushatës</w:t>
            </w:r>
          </w:p>
          <w:p w14:paraId="24CF2600" w14:textId="77777777" w:rsidR="00E70022" w:rsidRPr="004979D2" w:rsidRDefault="00E70022" w:rsidP="001C0BEF">
            <w:pPr>
              <w:spacing w:after="160"/>
              <w:rPr>
                <w:rFonts w:ascii="Times New Roman" w:eastAsia="Calibri" w:hAnsi="Times New Roman" w:cs="Times New Roman"/>
                <w:sz w:val="24"/>
                <w:szCs w:val="24"/>
              </w:rPr>
            </w:pPr>
          </w:p>
        </w:tc>
        <w:tc>
          <w:tcPr>
            <w:tcW w:w="882" w:type="dxa"/>
          </w:tcPr>
          <w:p w14:paraId="39F19316"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1.000</w:t>
            </w:r>
            <w:r w:rsidRPr="004979D2">
              <w:rPr>
                <w:rFonts w:ascii="Times New Roman" w:hAnsi="Times New Roman" w:cs="Times New Roman"/>
                <w:sz w:val="24"/>
                <w:szCs w:val="24"/>
              </w:rPr>
              <w:t>€</w:t>
            </w:r>
          </w:p>
        </w:tc>
        <w:tc>
          <w:tcPr>
            <w:tcW w:w="882" w:type="dxa"/>
          </w:tcPr>
          <w:p w14:paraId="03A4789B"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1.000</w:t>
            </w:r>
            <w:r w:rsidRPr="004979D2">
              <w:rPr>
                <w:rFonts w:ascii="Times New Roman" w:hAnsi="Times New Roman" w:cs="Times New Roman"/>
                <w:sz w:val="24"/>
                <w:szCs w:val="24"/>
              </w:rPr>
              <w:t>€</w:t>
            </w:r>
          </w:p>
        </w:tc>
        <w:tc>
          <w:tcPr>
            <w:tcW w:w="882" w:type="dxa"/>
          </w:tcPr>
          <w:p w14:paraId="57B37BF8"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82" w:type="dxa"/>
          </w:tcPr>
          <w:p w14:paraId="1BA7B2A3"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891" w:type="dxa"/>
          </w:tcPr>
          <w:p w14:paraId="0B7CCD04"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0</w:t>
            </w:r>
          </w:p>
        </w:tc>
        <w:tc>
          <w:tcPr>
            <w:tcW w:w="1089" w:type="dxa"/>
          </w:tcPr>
          <w:p w14:paraId="4DD1D5F7"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AKK</w:t>
            </w:r>
          </w:p>
        </w:tc>
        <w:tc>
          <w:tcPr>
            <w:tcW w:w="1098" w:type="dxa"/>
          </w:tcPr>
          <w:p w14:paraId="060A3176" w14:textId="77777777" w:rsidR="00E70022" w:rsidRPr="004979D2" w:rsidRDefault="00E70022" w:rsidP="001C0BEF">
            <w:pPr>
              <w:spacing w:after="160"/>
              <w:rPr>
                <w:rFonts w:ascii="Times New Roman" w:eastAsia="Calibri" w:hAnsi="Times New Roman" w:cs="Times New Roman"/>
                <w:sz w:val="24"/>
                <w:szCs w:val="24"/>
              </w:rPr>
            </w:pPr>
            <w:r w:rsidRPr="004979D2">
              <w:rPr>
                <w:rFonts w:ascii="Times New Roman" w:eastAsia="Calibri" w:hAnsi="Times New Roman" w:cs="Times New Roman"/>
                <w:sz w:val="24"/>
                <w:szCs w:val="24"/>
              </w:rPr>
              <w:t>2,000€</w:t>
            </w:r>
          </w:p>
        </w:tc>
      </w:tr>
    </w:tbl>
    <w:p w14:paraId="1B3B45C5" w14:textId="77777777" w:rsidR="007755F8" w:rsidRDefault="007755F8" w:rsidP="002B1BC6">
      <w:pPr>
        <w:spacing w:line="360" w:lineRule="auto"/>
        <w:rPr>
          <w:rFonts w:ascii="Times New Roman" w:eastAsia="Calibri" w:hAnsi="Times New Roman" w:cs="Times New Roman"/>
          <w:sz w:val="24"/>
          <w:szCs w:val="24"/>
        </w:rPr>
      </w:pPr>
    </w:p>
    <w:p w14:paraId="5FDE7B24" w14:textId="77777777" w:rsidR="001C0BEF" w:rsidRDefault="001C0BEF" w:rsidP="002B1BC6">
      <w:pPr>
        <w:spacing w:line="360" w:lineRule="auto"/>
        <w:rPr>
          <w:rFonts w:ascii="Times New Roman" w:eastAsia="Calibri" w:hAnsi="Times New Roman" w:cs="Times New Roman"/>
          <w:sz w:val="24"/>
          <w:szCs w:val="24"/>
        </w:rPr>
      </w:pPr>
    </w:p>
    <w:p w14:paraId="7526FB2D" w14:textId="77777777" w:rsidR="001C0BEF" w:rsidRDefault="001C0BEF" w:rsidP="002B1BC6">
      <w:pPr>
        <w:spacing w:line="360" w:lineRule="auto"/>
        <w:rPr>
          <w:rFonts w:ascii="Times New Roman" w:eastAsia="Calibri" w:hAnsi="Times New Roman" w:cs="Times New Roman"/>
          <w:sz w:val="24"/>
          <w:szCs w:val="24"/>
        </w:rPr>
      </w:pPr>
    </w:p>
    <w:p w14:paraId="737EEB26" w14:textId="77777777" w:rsidR="001C0BEF" w:rsidRDefault="001C0BEF" w:rsidP="002B1BC6">
      <w:pPr>
        <w:spacing w:line="360" w:lineRule="auto"/>
        <w:rPr>
          <w:rFonts w:ascii="Times New Roman" w:eastAsia="Calibri" w:hAnsi="Times New Roman" w:cs="Times New Roman"/>
          <w:sz w:val="24"/>
          <w:szCs w:val="24"/>
        </w:rPr>
      </w:pPr>
    </w:p>
    <w:p w14:paraId="6710101B" w14:textId="77777777" w:rsidR="001C0BEF" w:rsidRPr="004979D2" w:rsidRDefault="001C0BEF" w:rsidP="002B1BC6">
      <w:pPr>
        <w:spacing w:line="360" w:lineRule="auto"/>
        <w:rPr>
          <w:rFonts w:ascii="Times New Roman" w:eastAsia="Calibri" w:hAnsi="Times New Roman" w:cs="Times New Roman"/>
          <w:sz w:val="24"/>
          <w:szCs w:val="24"/>
        </w:rPr>
      </w:pPr>
    </w:p>
    <w:p w14:paraId="4BF05B33" w14:textId="77777777" w:rsidR="007755F8" w:rsidRPr="004979D2" w:rsidRDefault="007755F8" w:rsidP="002B1BC6">
      <w:pPr>
        <w:spacing w:after="200" w:line="360" w:lineRule="auto"/>
        <w:rPr>
          <w:rFonts w:ascii="Times New Roman" w:eastAsia="Calibri" w:hAnsi="Times New Roman" w:cs="Times New Roman"/>
          <w:i/>
          <w:iCs/>
          <w:color w:val="44546A"/>
          <w:sz w:val="24"/>
          <w:szCs w:val="24"/>
        </w:rPr>
      </w:pPr>
      <w:r w:rsidRPr="004979D2">
        <w:rPr>
          <w:rFonts w:ascii="Times New Roman" w:eastAsia="Calibri" w:hAnsi="Times New Roman" w:cs="Times New Roman"/>
          <w:i/>
          <w:iCs/>
          <w:color w:val="44546A"/>
          <w:sz w:val="24"/>
          <w:szCs w:val="24"/>
        </w:rPr>
        <w:lastRenderedPageBreak/>
        <w:t xml:space="preserve">Figura </w:t>
      </w:r>
      <w:r w:rsidR="008904AB" w:rsidRPr="004979D2">
        <w:rPr>
          <w:rFonts w:ascii="Times New Roman" w:eastAsia="Calibri" w:hAnsi="Times New Roman" w:cs="Times New Roman"/>
          <w:i/>
          <w:iCs/>
          <w:color w:val="44546A"/>
          <w:sz w:val="24"/>
          <w:szCs w:val="24"/>
        </w:rPr>
        <w:t>12</w:t>
      </w:r>
      <w:r w:rsidRPr="004979D2">
        <w:rPr>
          <w:rFonts w:ascii="Times New Roman" w:eastAsia="Calibri" w:hAnsi="Times New Roman" w:cs="Times New Roman"/>
          <w:i/>
          <w:iCs/>
          <w:color w:val="44546A"/>
          <w:sz w:val="24"/>
          <w:szCs w:val="24"/>
        </w:rPr>
        <w:t>: Plani i zbatimit për Opsionin 3</w:t>
      </w:r>
    </w:p>
    <w:tbl>
      <w:tblPr>
        <w:tblStyle w:val="TableGrid"/>
        <w:tblW w:w="11070" w:type="dxa"/>
        <w:tblInd w:w="-702" w:type="dxa"/>
        <w:tblLayout w:type="fixed"/>
        <w:tblLook w:val="04A0" w:firstRow="1" w:lastRow="0" w:firstColumn="1" w:lastColumn="0" w:noHBand="0" w:noVBand="1"/>
      </w:tblPr>
      <w:tblGrid>
        <w:gridCol w:w="1620"/>
        <w:gridCol w:w="1350"/>
        <w:gridCol w:w="1170"/>
        <w:gridCol w:w="882"/>
        <w:gridCol w:w="882"/>
        <w:gridCol w:w="882"/>
        <w:gridCol w:w="882"/>
        <w:gridCol w:w="882"/>
        <w:gridCol w:w="1350"/>
        <w:gridCol w:w="1170"/>
      </w:tblGrid>
      <w:tr w:rsidR="007755F8" w:rsidRPr="004979D2" w14:paraId="03274EA3" w14:textId="77777777" w:rsidTr="00B11DC4">
        <w:tc>
          <w:tcPr>
            <w:tcW w:w="1620" w:type="dxa"/>
          </w:tcPr>
          <w:p w14:paraId="5EE79C0D" w14:textId="77777777" w:rsidR="007755F8" w:rsidRPr="004979D2" w:rsidRDefault="007755F8" w:rsidP="002B1BC6">
            <w:pPr>
              <w:spacing w:after="160" w:line="360" w:lineRule="auto"/>
              <w:rPr>
                <w:rFonts w:ascii="Times New Roman" w:eastAsia="Calibri" w:hAnsi="Times New Roman" w:cs="Times New Roman"/>
                <w:b/>
                <w:sz w:val="24"/>
                <w:szCs w:val="24"/>
              </w:rPr>
            </w:pPr>
            <w:r w:rsidRPr="004979D2">
              <w:rPr>
                <w:rFonts w:ascii="Times New Roman" w:eastAsia="Calibri" w:hAnsi="Times New Roman" w:cs="Times New Roman"/>
                <w:b/>
                <w:sz w:val="24"/>
                <w:szCs w:val="24"/>
              </w:rPr>
              <w:t>Qëllimi i</w:t>
            </w:r>
          </w:p>
          <w:p w14:paraId="765A8778" w14:textId="77777777" w:rsidR="007755F8" w:rsidRPr="004979D2" w:rsidRDefault="007755F8" w:rsidP="002B1BC6">
            <w:pPr>
              <w:spacing w:after="160" w:line="360" w:lineRule="auto"/>
              <w:rPr>
                <w:rFonts w:ascii="Times New Roman" w:eastAsia="Calibri" w:hAnsi="Times New Roman" w:cs="Times New Roman"/>
                <w:sz w:val="24"/>
                <w:szCs w:val="24"/>
              </w:rPr>
            </w:pPr>
            <w:r w:rsidRPr="004979D2">
              <w:rPr>
                <w:rFonts w:ascii="Times New Roman" w:eastAsia="Calibri" w:hAnsi="Times New Roman" w:cs="Times New Roman"/>
                <w:b/>
                <w:sz w:val="24"/>
                <w:szCs w:val="24"/>
              </w:rPr>
              <w:t>politikës</w:t>
            </w:r>
          </w:p>
        </w:tc>
        <w:tc>
          <w:tcPr>
            <w:tcW w:w="8280" w:type="dxa"/>
            <w:gridSpan w:val="8"/>
          </w:tcPr>
          <w:p w14:paraId="0A0C0441" w14:textId="77777777" w:rsidR="007755F8" w:rsidRPr="004979D2" w:rsidRDefault="007755F8" w:rsidP="002B1BC6">
            <w:pPr>
              <w:spacing w:after="160" w:line="360" w:lineRule="auto"/>
              <w:rPr>
                <w:rFonts w:ascii="Times New Roman" w:eastAsia="Calibri" w:hAnsi="Times New Roman" w:cs="Times New Roman"/>
                <w:sz w:val="24"/>
                <w:szCs w:val="24"/>
              </w:rPr>
            </w:pPr>
            <w:r w:rsidRPr="004979D2">
              <w:rPr>
                <w:rFonts w:ascii="Times New Roman" w:eastAsia="MS Mincho" w:hAnsi="Times New Roman" w:cs="Times New Roman"/>
                <w:b/>
                <w:sz w:val="24"/>
                <w:szCs w:val="24"/>
              </w:rPr>
              <w:t>Trajnime dhe Ngritje kapaciteteve të AKK-së</w:t>
            </w:r>
          </w:p>
        </w:tc>
        <w:tc>
          <w:tcPr>
            <w:tcW w:w="1170" w:type="dxa"/>
            <w:vMerge w:val="restart"/>
          </w:tcPr>
          <w:p w14:paraId="0A0BD642" w14:textId="77777777" w:rsidR="007755F8" w:rsidRPr="004979D2" w:rsidRDefault="007755F8" w:rsidP="002B1BC6">
            <w:pPr>
              <w:spacing w:after="160" w:line="360" w:lineRule="auto"/>
              <w:rPr>
                <w:rFonts w:ascii="Times New Roman" w:eastAsia="Calibri" w:hAnsi="Times New Roman" w:cs="Times New Roman"/>
                <w:sz w:val="24"/>
                <w:szCs w:val="24"/>
              </w:rPr>
            </w:pPr>
            <w:r w:rsidRPr="004979D2">
              <w:rPr>
                <w:rFonts w:ascii="Times New Roman" w:eastAsia="Calibri" w:hAnsi="Times New Roman" w:cs="Times New Roman"/>
                <w:sz w:val="24"/>
                <w:szCs w:val="24"/>
              </w:rPr>
              <w:t>Shifra e pritshme e kostos</w:t>
            </w:r>
          </w:p>
        </w:tc>
      </w:tr>
      <w:tr w:rsidR="007755F8" w:rsidRPr="004979D2" w14:paraId="7798A81E" w14:textId="77777777" w:rsidTr="00B11DC4">
        <w:tc>
          <w:tcPr>
            <w:tcW w:w="1620" w:type="dxa"/>
          </w:tcPr>
          <w:p w14:paraId="16008096" w14:textId="77777777" w:rsidR="007755F8" w:rsidRPr="004979D2" w:rsidRDefault="007755F8" w:rsidP="002B1BC6">
            <w:pPr>
              <w:spacing w:after="160" w:line="360" w:lineRule="auto"/>
              <w:rPr>
                <w:rFonts w:ascii="Times New Roman" w:eastAsia="Calibri" w:hAnsi="Times New Roman" w:cs="Times New Roman"/>
                <w:b/>
                <w:sz w:val="24"/>
                <w:szCs w:val="24"/>
              </w:rPr>
            </w:pPr>
            <w:r w:rsidRPr="004979D2">
              <w:rPr>
                <w:rFonts w:ascii="Times New Roman" w:eastAsia="Calibri" w:hAnsi="Times New Roman" w:cs="Times New Roman"/>
                <w:b/>
                <w:sz w:val="24"/>
                <w:szCs w:val="24"/>
              </w:rPr>
              <w:t>Objektivi strategjik</w:t>
            </w:r>
          </w:p>
        </w:tc>
        <w:tc>
          <w:tcPr>
            <w:tcW w:w="8280" w:type="dxa"/>
            <w:gridSpan w:val="8"/>
          </w:tcPr>
          <w:p w14:paraId="2C51A4E8" w14:textId="646F8537" w:rsidR="007755F8" w:rsidRPr="004979D2" w:rsidRDefault="001A1B22" w:rsidP="002B1BC6">
            <w:pPr>
              <w:spacing w:after="160" w:line="360" w:lineRule="auto"/>
              <w:rPr>
                <w:rFonts w:ascii="Times New Roman" w:eastAsia="Calibri" w:hAnsi="Times New Roman" w:cs="Times New Roman"/>
                <w:sz w:val="24"/>
                <w:szCs w:val="24"/>
              </w:rPr>
            </w:pPr>
            <w:r w:rsidRPr="004979D2">
              <w:rPr>
                <w:rFonts w:ascii="Times New Roman" w:eastAsia="Calibri" w:hAnsi="Times New Roman" w:cs="Times New Roman"/>
                <w:sz w:val="24"/>
                <w:szCs w:val="24"/>
              </w:rPr>
              <w:t xml:space="preserve">Mbrojtja dhe inkurajimi i konkurrencës së lirë si mjet i promovimit të </w:t>
            </w:r>
            <w:proofErr w:type="spellStart"/>
            <w:r w:rsidRPr="004979D2">
              <w:rPr>
                <w:rFonts w:ascii="Times New Roman" w:eastAsia="Calibri" w:hAnsi="Times New Roman" w:cs="Times New Roman"/>
                <w:sz w:val="24"/>
                <w:szCs w:val="24"/>
              </w:rPr>
              <w:t>efiqiencës</w:t>
            </w:r>
            <w:proofErr w:type="spellEnd"/>
            <w:r w:rsidRPr="004979D2">
              <w:rPr>
                <w:rFonts w:ascii="Times New Roman" w:eastAsia="Calibri" w:hAnsi="Times New Roman" w:cs="Times New Roman"/>
                <w:sz w:val="24"/>
                <w:szCs w:val="24"/>
              </w:rPr>
              <w:t xml:space="preserve"> ekonomike dhe rritjes së mirëqenies së konsumatorit</w:t>
            </w:r>
            <w:r w:rsidRPr="004979D2">
              <w:rPr>
                <w:rFonts w:ascii="Times New Roman" w:eastAsia="Calibri" w:hAnsi="Times New Roman" w:cs="Times New Roman"/>
                <w:b/>
                <w:sz w:val="24"/>
                <w:szCs w:val="24"/>
              </w:rPr>
              <w:t>.</w:t>
            </w:r>
          </w:p>
        </w:tc>
        <w:tc>
          <w:tcPr>
            <w:tcW w:w="1170" w:type="dxa"/>
            <w:vMerge/>
          </w:tcPr>
          <w:p w14:paraId="53301B6B" w14:textId="77777777" w:rsidR="007755F8" w:rsidRPr="004979D2" w:rsidRDefault="007755F8" w:rsidP="002B1BC6">
            <w:pPr>
              <w:spacing w:after="160" w:line="360" w:lineRule="auto"/>
              <w:rPr>
                <w:rFonts w:ascii="Times New Roman" w:eastAsia="Calibri" w:hAnsi="Times New Roman" w:cs="Times New Roman"/>
                <w:sz w:val="24"/>
                <w:szCs w:val="24"/>
              </w:rPr>
            </w:pPr>
          </w:p>
        </w:tc>
      </w:tr>
      <w:tr w:rsidR="007755F8" w:rsidRPr="004979D2" w14:paraId="615EC2FB" w14:textId="77777777" w:rsidTr="00B11DC4">
        <w:tc>
          <w:tcPr>
            <w:tcW w:w="1620" w:type="dxa"/>
          </w:tcPr>
          <w:p w14:paraId="36767558" w14:textId="77777777" w:rsidR="007755F8" w:rsidRPr="004979D2" w:rsidRDefault="007755F8" w:rsidP="002B1BC6">
            <w:pPr>
              <w:spacing w:after="160" w:line="360" w:lineRule="auto"/>
              <w:rPr>
                <w:rFonts w:ascii="Times New Roman" w:eastAsia="Calibri" w:hAnsi="Times New Roman" w:cs="Times New Roman"/>
                <w:sz w:val="24"/>
                <w:szCs w:val="24"/>
              </w:rPr>
            </w:pPr>
          </w:p>
        </w:tc>
        <w:tc>
          <w:tcPr>
            <w:tcW w:w="8280" w:type="dxa"/>
            <w:gridSpan w:val="8"/>
          </w:tcPr>
          <w:p w14:paraId="798080EA" w14:textId="77777777" w:rsidR="007755F8" w:rsidRPr="004979D2" w:rsidRDefault="007755F8" w:rsidP="002B1BC6">
            <w:pPr>
              <w:spacing w:line="360" w:lineRule="auto"/>
              <w:rPr>
                <w:rFonts w:ascii="Times New Roman" w:eastAsia="Calibri" w:hAnsi="Times New Roman" w:cs="Times New Roman"/>
                <w:sz w:val="24"/>
                <w:szCs w:val="24"/>
              </w:rPr>
            </w:pPr>
          </w:p>
        </w:tc>
        <w:tc>
          <w:tcPr>
            <w:tcW w:w="1170" w:type="dxa"/>
            <w:vMerge/>
          </w:tcPr>
          <w:p w14:paraId="51DE89F1" w14:textId="77777777" w:rsidR="007755F8" w:rsidRPr="004979D2" w:rsidRDefault="007755F8" w:rsidP="002B1BC6">
            <w:pPr>
              <w:spacing w:after="160" w:line="360" w:lineRule="auto"/>
              <w:rPr>
                <w:rFonts w:ascii="Times New Roman" w:eastAsia="Calibri" w:hAnsi="Times New Roman" w:cs="Times New Roman"/>
                <w:sz w:val="24"/>
                <w:szCs w:val="24"/>
              </w:rPr>
            </w:pPr>
          </w:p>
        </w:tc>
      </w:tr>
      <w:tr w:rsidR="007755F8" w:rsidRPr="004979D2" w14:paraId="063ABB9B" w14:textId="77777777" w:rsidTr="00B11DC4">
        <w:tc>
          <w:tcPr>
            <w:tcW w:w="1620" w:type="dxa"/>
            <w:vMerge w:val="restart"/>
          </w:tcPr>
          <w:p w14:paraId="0B6B0E9F" w14:textId="77777777" w:rsidR="007755F8" w:rsidRPr="004979D2" w:rsidRDefault="007755F8" w:rsidP="002B1BC6">
            <w:pPr>
              <w:spacing w:after="160" w:line="360" w:lineRule="auto"/>
              <w:rPr>
                <w:rFonts w:ascii="Times New Roman" w:eastAsia="Calibri" w:hAnsi="Times New Roman" w:cs="Times New Roman"/>
                <w:b/>
                <w:sz w:val="24"/>
                <w:szCs w:val="24"/>
              </w:rPr>
            </w:pPr>
            <w:r w:rsidRPr="004979D2">
              <w:rPr>
                <w:rFonts w:ascii="Times New Roman" w:eastAsia="Calibri" w:hAnsi="Times New Roman" w:cs="Times New Roman"/>
                <w:b/>
                <w:sz w:val="24"/>
                <w:szCs w:val="24"/>
              </w:rPr>
              <w:t xml:space="preserve">Objektivi </w:t>
            </w:r>
            <w:r w:rsidR="00BE25F7" w:rsidRPr="004979D2">
              <w:rPr>
                <w:rFonts w:ascii="Times New Roman" w:eastAsia="Calibri" w:hAnsi="Times New Roman" w:cs="Times New Roman"/>
                <w:b/>
                <w:sz w:val="24"/>
                <w:szCs w:val="24"/>
              </w:rPr>
              <w:t xml:space="preserve">specifik </w:t>
            </w:r>
            <w:r w:rsidRPr="004979D2">
              <w:rPr>
                <w:rFonts w:ascii="Times New Roman" w:eastAsia="Calibri" w:hAnsi="Times New Roman" w:cs="Times New Roman"/>
                <w:b/>
                <w:sz w:val="24"/>
                <w:szCs w:val="24"/>
              </w:rPr>
              <w:t>1</w:t>
            </w:r>
            <w:r w:rsidR="00FE3449" w:rsidRPr="004979D2">
              <w:rPr>
                <w:rFonts w:ascii="Times New Roman" w:eastAsia="Calibri" w:hAnsi="Times New Roman" w:cs="Times New Roman"/>
                <w:b/>
                <w:sz w:val="24"/>
                <w:szCs w:val="24"/>
              </w:rPr>
              <w:t xml:space="preserve"> -</w:t>
            </w:r>
          </w:p>
          <w:p w14:paraId="251CB1C5" w14:textId="77777777" w:rsidR="00FE3449" w:rsidRPr="004979D2" w:rsidRDefault="00FE3449" w:rsidP="002B1BC6">
            <w:pPr>
              <w:spacing w:after="160" w:line="360" w:lineRule="auto"/>
              <w:rPr>
                <w:rFonts w:ascii="Times New Roman" w:eastAsia="Calibri" w:hAnsi="Times New Roman" w:cs="Times New Roman"/>
                <w:sz w:val="24"/>
                <w:szCs w:val="24"/>
              </w:rPr>
            </w:pPr>
            <w:r w:rsidRPr="004979D2">
              <w:rPr>
                <w:rFonts w:ascii="Times New Roman" w:eastAsia="Calibri" w:hAnsi="Times New Roman" w:cs="Times New Roman"/>
                <w:b/>
                <w:sz w:val="24"/>
                <w:szCs w:val="24"/>
              </w:rPr>
              <w:t xml:space="preserve">Deri në vitin 2021, Autoriteti Kosovar i Konkurrencës dhe gjykatat kanë kapacitetet e nevojshme për realizimin efektiv dhe efikas të  detyrave dhe përgjegjësive që burojnë nga korniza ligjore për mbrojtjen e </w:t>
            </w:r>
            <w:r w:rsidRPr="004979D2">
              <w:rPr>
                <w:rFonts w:ascii="Times New Roman" w:eastAsia="Calibri" w:hAnsi="Times New Roman" w:cs="Times New Roman"/>
                <w:b/>
                <w:sz w:val="24"/>
                <w:szCs w:val="24"/>
              </w:rPr>
              <w:lastRenderedPageBreak/>
              <w:t>konkurrencës.</w:t>
            </w:r>
          </w:p>
        </w:tc>
        <w:tc>
          <w:tcPr>
            <w:tcW w:w="1350" w:type="dxa"/>
            <w:vMerge w:val="restart"/>
          </w:tcPr>
          <w:p w14:paraId="58DC9B65" w14:textId="77777777" w:rsidR="007755F8" w:rsidRPr="004979D2" w:rsidRDefault="00B22DB1" w:rsidP="002B1BC6">
            <w:pPr>
              <w:spacing w:after="160" w:line="360" w:lineRule="auto"/>
              <w:rPr>
                <w:rFonts w:ascii="Times New Roman" w:eastAsia="Calibri" w:hAnsi="Times New Roman" w:cs="Times New Roman"/>
                <w:b/>
                <w:sz w:val="24"/>
                <w:szCs w:val="24"/>
              </w:rPr>
            </w:pPr>
            <w:r w:rsidRPr="004979D2">
              <w:rPr>
                <w:rFonts w:ascii="Times New Roman" w:eastAsia="Calibri" w:hAnsi="Times New Roman" w:cs="Times New Roman"/>
                <w:b/>
                <w:sz w:val="24"/>
                <w:szCs w:val="24"/>
              </w:rPr>
              <w:lastRenderedPageBreak/>
              <w:t>Produkti</w:t>
            </w:r>
            <w:r w:rsidR="007755F8" w:rsidRPr="004979D2">
              <w:rPr>
                <w:rFonts w:ascii="Times New Roman" w:eastAsia="Calibri" w:hAnsi="Times New Roman" w:cs="Times New Roman"/>
                <w:b/>
                <w:sz w:val="24"/>
                <w:szCs w:val="24"/>
              </w:rPr>
              <w:t xml:space="preserve"> 1.1</w:t>
            </w:r>
            <w:r w:rsidR="00EC1F74" w:rsidRPr="004979D2">
              <w:rPr>
                <w:rFonts w:ascii="Times New Roman" w:eastAsia="Calibri" w:hAnsi="Times New Roman" w:cs="Times New Roman"/>
                <w:b/>
                <w:sz w:val="24"/>
                <w:szCs w:val="24"/>
              </w:rPr>
              <w:t xml:space="preserve"> </w:t>
            </w:r>
          </w:p>
        </w:tc>
        <w:tc>
          <w:tcPr>
            <w:tcW w:w="6930" w:type="dxa"/>
            <w:gridSpan w:val="7"/>
          </w:tcPr>
          <w:p w14:paraId="224260D0" w14:textId="77777777" w:rsidR="007755F8" w:rsidRPr="004979D2" w:rsidRDefault="00B7089B" w:rsidP="002B1BC6">
            <w:pPr>
              <w:spacing w:after="160" w:line="360" w:lineRule="auto"/>
              <w:rPr>
                <w:rFonts w:ascii="Times New Roman" w:eastAsia="Calibri" w:hAnsi="Times New Roman" w:cs="Times New Roman"/>
                <w:sz w:val="24"/>
                <w:szCs w:val="24"/>
              </w:rPr>
            </w:pPr>
            <w:r w:rsidRPr="004979D2">
              <w:rPr>
                <w:rFonts w:ascii="Times New Roman" w:eastAsia="Calibri" w:hAnsi="Times New Roman" w:cs="Times New Roman"/>
                <w:sz w:val="24"/>
                <w:szCs w:val="24"/>
              </w:rPr>
              <w:t>Kapacitetet e brendshme të AKK të fuqizuara</w:t>
            </w:r>
            <w:r w:rsidRPr="004979D2" w:rsidDel="00B7089B">
              <w:rPr>
                <w:rFonts w:ascii="Times New Roman" w:eastAsia="Calibri" w:hAnsi="Times New Roman" w:cs="Times New Roman"/>
                <w:sz w:val="24"/>
                <w:szCs w:val="24"/>
              </w:rPr>
              <w:t xml:space="preserve"> </w:t>
            </w:r>
          </w:p>
        </w:tc>
        <w:tc>
          <w:tcPr>
            <w:tcW w:w="1170" w:type="dxa"/>
          </w:tcPr>
          <w:p w14:paraId="6788CD59" w14:textId="77777777" w:rsidR="007755F8" w:rsidRPr="004979D2" w:rsidRDefault="007755F8" w:rsidP="002B1BC6">
            <w:pPr>
              <w:spacing w:after="160" w:line="360" w:lineRule="auto"/>
              <w:rPr>
                <w:rFonts w:ascii="Times New Roman" w:eastAsia="Calibri" w:hAnsi="Times New Roman" w:cs="Times New Roman"/>
                <w:sz w:val="24"/>
                <w:szCs w:val="24"/>
              </w:rPr>
            </w:pPr>
          </w:p>
        </w:tc>
      </w:tr>
      <w:tr w:rsidR="00FE3449" w:rsidRPr="004979D2" w14:paraId="5421FD43" w14:textId="77777777" w:rsidTr="00B11DC4">
        <w:tc>
          <w:tcPr>
            <w:tcW w:w="1620" w:type="dxa"/>
            <w:vMerge/>
          </w:tcPr>
          <w:p w14:paraId="163BEED8" w14:textId="77777777" w:rsidR="00FE3449" w:rsidRPr="004979D2" w:rsidRDefault="00FE3449" w:rsidP="002B1BC6">
            <w:pPr>
              <w:spacing w:after="160" w:line="360" w:lineRule="auto"/>
              <w:rPr>
                <w:rFonts w:ascii="Times New Roman" w:eastAsia="Calibri" w:hAnsi="Times New Roman" w:cs="Times New Roman"/>
                <w:sz w:val="24"/>
                <w:szCs w:val="24"/>
              </w:rPr>
            </w:pPr>
          </w:p>
        </w:tc>
        <w:tc>
          <w:tcPr>
            <w:tcW w:w="1350" w:type="dxa"/>
            <w:vMerge/>
          </w:tcPr>
          <w:p w14:paraId="14469D87" w14:textId="77777777" w:rsidR="00FE3449" w:rsidRPr="004979D2" w:rsidRDefault="00FE3449" w:rsidP="002B1BC6">
            <w:pPr>
              <w:spacing w:after="160" w:line="360" w:lineRule="auto"/>
              <w:rPr>
                <w:rFonts w:ascii="Times New Roman" w:eastAsia="Calibri" w:hAnsi="Times New Roman" w:cs="Times New Roman"/>
                <w:sz w:val="24"/>
                <w:szCs w:val="24"/>
              </w:rPr>
            </w:pPr>
          </w:p>
        </w:tc>
        <w:tc>
          <w:tcPr>
            <w:tcW w:w="1170" w:type="dxa"/>
          </w:tcPr>
          <w:p w14:paraId="7415FB56" w14:textId="77777777" w:rsidR="00FE3449" w:rsidRPr="004979D2" w:rsidRDefault="00FE3449" w:rsidP="002B1BC6">
            <w:pPr>
              <w:spacing w:after="160" w:line="360" w:lineRule="auto"/>
              <w:rPr>
                <w:rFonts w:ascii="Times New Roman" w:eastAsia="Calibri" w:hAnsi="Times New Roman" w:cs="Times New Roman"/>
                <w:sz w:val="24"/>
                <w:szCs w:val="24"/>
              </w:rPr>
            </w:pPr>
          </w:p>
        </w:tc>
        <w:tc>
          <w:tcPr>
            <w:tcW w:w="882" w:type="dxa"/>
          </w:tcPr>
          <w:p w14:paraId="0A581465" w14:textId="77777777" w:rsidR="00FE3449" w:rsidRPr="004979D2" w:rsidRDefault="00FE3449" w:rsidP="002B1BC6">
            <w:pPr>
              <w:spacing w:after="160" w:line="360" w:lineRule="auto"/>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1</w:t>
            </w:r>
          </w:p>
          <w:p w14:paraId="70132DCC" w14:textId="77777777" w:rsidR="00FE3449" w:rsidRPr="004979D2" w:rsidRDefault="00FE3449" w:rsidP="002B1BC6">
            <w:pPr>
              <w:spacing w:after="160" w:line="360" w:lineRule="auto"/>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(2019)</w:t>
            </w:r>
          </w:p>
        </w:tc>
        <w:tc>
          <w:tcPr>
            <w:tcW w:w="882" w:type="dxa"/>
          </w:tcPr>
          <w:p w14:paraId="2AD0D369" w14:textId="77777777" w:rsidR="00FE3449" w:rsidRPr="004979D2" w:rsidRDefault="00FE3449" w:rsidP="002B1BC6">
            <w:pPr>
              <w:spacing w:after="160" w:line="360" w:lineRule="auto"/>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2</w:t>
            </w:r>
          </w:p>
          <w:p w14:paraId="284B36FE" w14:textId="77777777" w:rsidR="00FE3449" w:rsidRPr="004979D2" w:rsidRDefault="00FE3449" w:rsidP="002B1BC6">
            <w:pPr>
              <w:spacing w:after="160" w:line="360" w:lineRule="auto"/>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(2020)</w:t>
            </w:r>
          </w:p>
        </w:tc>
        <w:tc>
          <w:tcPr>
            <w:tcW w:w="882" w:type="dxa"/>
          </w:tcPr>
          <w:p w14:paraId="68896B90" w14:textId="77777777" w:rsidR="00FE3449" w:rsidRPr="004979D2" w:rsidRDefault="00FE3449" w:rsidP="002B1BC6">
            <w:pPr>
              <w:spacing w:after="160" w:line="360" w:lineRule="auto"/>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3</w:t>
            </w:r>
          </w:p>
          <w:p w14:paraId="7AF0637A" w14:textId="77777777" w:rsidR="00FE3449" w:rsidRPr="004979D2" w:rsidRDefault="00FE3449" w:rsidP="002B1BC6">
            <w:pPr>
              <w:spacing w:after="160" w:line="360" w:lineRule="auto"/>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(2021)</w:t>
            </w:r>
          </w:p>
        </w:tc>
        <w:tc>
          <w:tcPr>
            <w:tcW w:w="882" w:type="dxa"/>
          </w:tcPr>
          <w:p w14:paraId="73253C4C" w14:textId="77777777" w:rsidR="00FE3449" w:rsidRPr="004979D2" w:rsidRDefault="00FE3449" w:rsidP="002B1BC6">
            <w:pPr>
              <w:spacing w:after="160" w:line="360" w:lineRule="auto"/>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4</w:t>
            </w:r>
          </w:p>
          <w:p w14:paraId="76872EE9" w14:textId="77777777" w:rsidR="00FE3449" w:rsidRPr="004979D2" w:rsidRDefault="00FE3449" w:rsidP="002B1BC6">
            <w:pPr>
              <w:spacing w:after="160" w:line="360" w:lineRule="auto"/>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(2022)</w:t>
            </w:r>
          </w:p>
        </w:tc>
        <w:tc>
          <w:tcPr>
            <w:tcW w:w="882" w:type="dxa"/>
          </w:tcPr>
          <w:p w14:paraId="3B1F91DD" w14:textId="77777777" w:rsidR="00FE3449" w:rsidRPr="004979D2" w:rsidRDefault="00FE3449" w:rsidP="002B1BC6">
            <w:pPr>
              <w:spacing w:after="160" w:line="360" w:lineRule="auto"/>
              <w:rPr>
                <w:rFonts w:ascii="Times New Roman" w:eastAsia="Calibri" w:hAnsi="Times New Roman" w:cs="Times New Roman"/>
                <w:b/>
                <w:sz w:val="24"/>
                <w:szCs w:val="24"/>
              </w:rPr>
            </w:pPr>
            <w:r w:rsidRPr="004979D2">
              <w:rPr>
                <w:rFonts w:ascii="Times New Roman" w:eastAsia="Calibri" w:hAnsi="Times New Roman" w:cs="Times New Roman"/>
                <w:b/>
                <w:sz w:val="24"/>
                <w:szCs w:val="24"/>
              </w:rPr>
              <w:t>Viti 5</w:t>
            </w:r>
          </w:p>
          <w:p w14:paraId="452B9072" w14:textId="77777777" w:rsidR="00FE3449" w:rsidRPr="004979D2" w:rsidRDefault="00FE3449" w:rsidP="002B1BC6">
            <w:pPr>
              <w:spacing w:after="160" w:line="360" w:lineRule="auto"/>
              <w:rPr>
                <w:rFonts w:ascii="Times New Roman" w:eastAsia="Calibri" w:hAnsi="Times New Roman" w:cs="Times New Roman"/>
                <w:b/>
                <w:sz w:val="24"/>
                <w:szCs w:val="24"/>
              </w:rPr>
            </w:pPr>
            <w:r w:rsidRPr="004979D2">
              <w:rPr>
                <w:rFonts w:ascii="Times New Roman" w:eastAsia="Calibri" w:hAnsi="Times New Roman" w:cs="Times New Roman"/>
                <w:b/>
                <w:sz w:val="24"/>
                <w:szCs w:val="24"/>
              </w:rPr>
              <w:t>(2023)</w:t>
            </w:r>
          </w:p>
        </w:tc>
        <w:tc>
          <w:tcPr>
            <w:tcW w:w="1350" w:type="dxa"/>
          </w:tcPr>
          <w:p w14:paraId="335131FE" w14:textId="77777777" w:rsidR="00FE3449" w:rsidRPr="004979D2" w:rsidRDefault="00FE3449" w:rsidP="002B1BC6">
            <w:pPr>
              <w:spacing w:after="160" w:line="360" w:lineRule="auto"/>
              <w:rPr>
                <w:rFonts w:ascii="Times New Roman" w:eastAsia="Calibri" w:hAnsi="Times New Roman" w:cs="Times New Roman"/>
                <w:b/>
                <w:sz w:val="24"/>
                <w:szCs w:val="24"/>
              </w:rPr>
            </w:pPr>
            <w:r w:rsidRPr="004979D2">
              <w:rPr>
                <w:rFonts w:ascii="Times New Roman" w:eastAsia="Calibri" w:hAnsi="Times New Roman" w:cs="Times New Roman"/>
                <w:b/>
                <w:sz w:val="24"/>
                <w:szCs w:val="24"/>
              </w:rPr>
              <w:t>Institucioni /departamenti përgjegjës</w:t>
            </w:r>
          </w:p>
        </w:tc>
        <w:tc>
          <w:tcPr>
            <w:tcW w:w="1170" w:type="dxa"/>
          </w:tcPr>
          <w:p w14:paraId="4CF7A92D" w14:textId="77777777" w:rsidR="00FE3449" w:rsidRPr="004979D2" w:rsidRDefault="00FE3449" w:rsidP="002B1BC6">
            <w:pPr>
              <w:spacing w:after="160" w:line="360" w:lineRule="auto"/>
              <w:rPr>
                <w:rFonts w:ascii="Times New Roman" w:eastAsia="Calibri" w:hAnsi="Times New Roman" w:cs="Times New Roman"/>
                <w:sz w:val="24"/>
                <w:szCs w:val="24"/>
              </w:rPr>
            </w:pPr>
          </w:p>
        </w:tc>
      </w:tr>
      <w:tr w:rsidR="006A6341" w:rsidRPr="004979D2" w14:paraId="09FA59F8" w14:textId="77777777" w:rsidTr="00B11DC4">
        <w:tc>
          <w:tcPr>
            <w:tcW w:w="1620" w:type="dxa"/>
            <w:vMerge/>
          </w:tcPr>
          <w:p w14:paraId="36FDCBFB" w14:textId="77777777" w:rsidR="006A6341" w:rsidRPr="004979D2" w:rsidRDefault="006A6341" w:rsidP="002B1BC6">
            <w:pPr>
              <w:spacing w:line="360" w:lineRule="auto"/>
              <w:rPr>
                <w:rFonts w:ascii="Times New Roman" w:eastAsia="Calibri" w:hAnsi="Times New Roman" w:cs="Times New Roman"/>
                <w:sz w:val="24"/>
                <w:szCs w:val="24"/>
              </w:rPr>
            </w:pPr>
          </w:p>
        </w:tc>
        <w:tc>
          <w:tcPr>
            <w:tcW w:w="1350" w:type="dxa"/>
            <w:vMerge/>
          </w:tcPr>
          <w:p w14:paraId="41873174" w14:textId="77777777" w:rsidR="006A6341" w:rsidRPr="004979D2" w:rsidRDefault="006A6341" w:rsidP="002B1BC6">
            <w:pPr>
              <w:spacing w:line="360" w:lineRule="auto"/>
              <w:rPr>
                <w:rFonts w:ascii="Times New Roman" w:eastAsia="Calibri" w:hAnsi="Times New Roman" w:cs="Times New Roman"/>
                <w:sz w:val="24"/>
                <w:szCs w:val="24"/>
              </w:rPr>
            </w:pPr>
          </w:p>
        </w:tc>
        <w:tc>
          <w:tcPr>
            <w:tcW w:w="1170" w:type="dxa"/>
          </w:tcPr>
          <w:p w14:paraId="7A80FDBD" w14:textId="77777777" w:rsidR="006A6341" w:rsidRPr="004979D2" w:rsidRDefault="006A6341" w:rsidP="002B1BC6">
            <w:pPr>
              <w:spacing w:line="360" w:lineRule="auto"/>
              <w:rPr>
                <w:rFonts w:ascii="Times New Roman" w:eastAsia="Calibri" w:hAnsi="Times New Roman" w:cs="Times New Roman"/>
                <w:sz w:val="24"/>
                <w:szCs w:val="24"/>
              </w:rPr>
            </w:pPr>
            <w:r w:rsidRPr="004979D2">
              <w:rPr>
                <w:rFonts w:ascii="Times New Roman" w:eastAsia="Calibri" w:hAnsi="Times New Roman" w:cs="Times New Roman"/>
                <w:b/>
                <w:sz w:val="24"/>
                <w:szCs w:val="24"/>
              </w:rPr>
              <w:t>Aktiviteti 1.1.1</w:t>
            </w:r>
          </w:p>
          <w:p w14:paraId="41932A41" w14:textId="77777777" w:rsidR="006A6341" w:rsidRPr="004979D2" w:rsidRDefault="006A6341" w:rsidP="002B1BC6">
            <w:pPr>
              <w:spacing w:line="360" w:lineRule="auto"/>
              <w:rPr>
                <w:rFonts w:ascii="Times New Roman" w:eastAsia="Calibri" w:hAnsi="Times New Roman" w:cs="Times New Roman"/>
                <w:b/>
                <w:sz w:val="24"/>
                <w:szCs w:val="24"/>
              </w:rPr>
            </w:pPr>
            <w:r w:rsidRPr="004979D2">
              <w:rPr>
                <w:rFonts w:ascii="Times New Roman" w:eastAsia="Calibri" w:hAnsi="Times New Roman" w:cs="Times New Roman"/>
                <w:sz w:val="24"/>
                <w:szCs w:val="24"/>
              </w:rPr>
              <w:t xml:space="preserve">Rekrutimi i 6 zyrtareve te </w:t>
            </w:r>
            <w:proofErr w:type="spellStart"/>
            <w:r w:rsidRPr="004979D2">
              <w:rPr>
                <w:rFonts w:ascii="Times New Roman" w:eastAsia="Calibri" w:hAnsi="Times New Roman" w:cs="Times New Roman"/>
                <w:sz w:val="24"/>
                <w:szCs w:val="24"/>
              </w:rPr>
              <w:t>rinjë</w:t>
            </w:r>
            <w:proofErr w:type="spellEnd"/>
          </w:p>
        </w:tc>
        <w:tc>
          <w:tcPr>
            <w:tcW w:w="882" w:type="dxa"/>
          </w:tcPr>
          <w:p w14:paraId="45C8DD59" w14:textId="77777777" w:rsidR="006A6341" w:rsidRPr="004979D2" w:rsidRDefault="006A6341" w:rsidP="002B1BC6">
            <w:pPr>
              <w:spacing w:line="360" w:lineRule="auto"/>
              <w:rPr>
                <w:rFonts w:ascii="Times New Roman" w:eastAsia="Calibri" w:hAnsi="Times New Roman" w:cs="Times New Roman"/>
                <w:sz w:val="24"/>
                <w:szCs w:val="24"/>
              </w:rPr>
            </w:pPr>
            <w:r w:rsidRPr="004979D2">
              <w:rPr>
                <w:rFonts w:ascii="Times New Roman" w:eastAsia="Calibri" w:hAnsi="Times New Roman" w:cs="Times New Roman"/>
                <w:sz w:val="24"/>
                <w:szCs w:val="24"/>
              </w:rPr>
              <w:t xml:space="preserve">57.500  </w:t>
            </w:r>
            <w:r w:rsidRPr="004979D2">
              <w:rPr>
                <w:rFonts w:ascii="Times New Roman" w:hAnsi="Times New Roman" w:cs="Times New Roman"/>
                <w:sz w:val="24"/>
                <w:szCs w:val="24"/>
              </w:rPr>
              <w:t>€</w:t>
            </w:r>
          </w:p>
        </w:tc>
        <w:tc>
          <w:tcPr>
            <w:tcW w:w="882" w:type="dxa"/>
          </w:tcPr>
          <w:p w14:paraId="45E08216" w14:textId="77777777" w:rsidR="006A6341" w:rsidRPr="004979D2" w:rsidRDefault="006A6341" w:rsidP="002B1BC6">
            <w:pPr>
              <w:spacing w:line="360" w:lineRule="auto"/>
              <w:rPr>
                <w:rFonts w:ascii="Times New Roman" w:eastAsia="Calibri" w:hAnsi="Times New Roman" w:cs="Times New Roman"/>
                <w:sz w:val="24"/>
                <w:szCs w:val="24"/>
              </w:rPr>
            </w:pPr>
            <w:r w:rsidRPr="004979D2">
              <w:rPr>
                <w:rFonts w:ascii="Times New Roman" w:eastAsia="Calibri" w:hAnsi="Times New Roman" w:cs="Times New Roman"/>
                <w:sz w:val="24"/>
                <w:szCs w:val="24"/>
              </w:rPr>
              <w:t>48.800</w:t>
            </w:r>
            <w:r w:rsidRPr="004979D2">
              <w:rPr>
                <w:rFonts w:ascii="Times New Roman" w:hAnsi="Times New Roman" w:cs="Times New Roman"/>
                <w:sz w:val="24"/>
                <w:szCs w:val="24"/>
              </w:rPr>
              <w:t>€</w:t>
            </w:r>
          </w:p>
        </w:tc>
        <w:tc>
          <w:tcPr>
            <w:tcW w:w="882" w:type="dxa"/>
          </w:tcPr>
          <w:p w14:paraId="50EB6F44" w14:textId="77777777" w:rsidR="006A6341" w:rsidRPr="004979D2" w:rsidRDefault="006A6341" w:rsidP="002B1BC6">
            <w:pPr>
              <w:spacing w:line="360" w:lineRule="auto"/>
              <w:rPr>
                <w:rFonts w:ascii="Times New Roman" w:eastAsia="Calibri" w:hAnsi="Times New Roman" w:cs="Times New Roman"/>
                <w:sz w:val="24"/>
                <w:szCs w:val="24"/>
              </w:rPr>
            </w:pPr>
            <w:r w:rsidRPr="004979D2">
              <w:rPr>
                <w:rFonts w:ascii="Times New Roman" w:eastAsia="Calibri" w:hAnsi="Times New Roman" w:cs="Times New Roman"/>
                <w:sz w:val="24"/>
                <w:szCs w:val="24"/>
              </w:rPr>
              <w:t>49.100</w:t>
            </w:r>
            <w:r w:rsidRPr="004979D2">
              <w:rPr>
                <w:rFonts w:ascii="Times New Roman" w:hAnsi="Times New Roman" w:cs="Times New Roman"/>
                <w:sz w:val="24"/>
                <w:szCs w:val="24"/>
              </w:rPr>
              <w:t>€</w:t>
            </w:r>
          </w:p>
        </w:tc>
        <w:tc>
          <w:tcPr>
            <w:tcW w:w="882" w:type="dxa"/>
          </w:tcPr>
          <w:p w14:paraId="73186568" w14:textId="77777777" w:rsidR="006A6341" w:rsidRPr="004979D2" w:rsidRDefault="006A6341" w:rsidP="002B1BC6">
            <w:pPr>
              <w:spacing w:line="360" w:lineRule="auto"/>
              <w:rPr>
                <w:rFonts w:ascii="Times New Roman" w:eastAsia="Calibri" w:hAnsi="Times New Roman" w:cs="Times New Roman"/>
                <w:sz w:val="24"/>
                <w:szCs w:val="24"/>
              </w:rPr>
            </w:pPr>
            <w:r w:rsidRPr="004979D2">
              <w:rPr>
                <w:rFonts w:ascii="Times New Roman" w:eastAsia="Calibri" w:hAnsi="Times New Roman" w:cs="Times New Roman"/>
                <w:sz w:val="24"/>
                <w:szCs w:val="24"/>
              </w:rPr>
              <w:t>49.400</w:t>
            </w:r>
            <w:r w:rsidRPr="004979D2">
              <w:rPr>
                <w:rFonts w:ascii="Times New Roman" w:hAnsi="Times New Roman" w:cs="Times New Roman"/>
                <w:sz w:val="24"/>
                <w:szCs w:val="24"/>
              </w:rPr>
              <w:t>€</w:t>
            </w:r>
          </w:p>
        </w:tc>
        <w:tc>
          <w:tcPr>
            <w:tcW w:w="882" w:type="dxa"/>
          </w:tcPr>
          <w:p w14:paraId="09F74198" w14:textId="77777777" w:rsidR="006A6341" w:rsidRPr="004979D2" w:rsidRDefault="006A6341" w:rsidP="002B1BC6">
            <w:pPr>
              <w:spacing w:line="360" w:lineRule="auto"/>
              <w:rPr>
                <w:rFonts w:ascii="Times New Roman" w:eastAsia="Calibri" w:hAnsi="Times New Roman" w:cs="Times New Roman"/>
                <w:sz w:val="24"/>
                <w:szCs w:val="24"/>
              </w:rPr>
            </w:pPr>
            <w:r w:rsidRPr="004979D2">
              <w:rPr>
                <w:rFonts w:ascii="Times New Roman" w:eastAsia="Calibri" w:hAnsi="Times New Roman" w:cs="Times New Roman"/>
                <w:sz w:val="24"/>
                <w:szCs w:val="24"/>
              </w:rPr>
              <w:t>49.700</w:t>
            </w:r>
            <w:r w:rsidRPr="004979D2">
              <w:rPr>
                <w:rFonts w:ascii="Times New Roman" w:hAnsi="Times New Roman" w:cs="Times New Roman"/>
                <w:sz w:val="24"/>
                <w:szCs w:val="24"/>
              </w:rPr>
              <w:t>€</w:t>
            </w:r>
          </w:p>
        </w:tc>
        <w:tc>
          <w:tcPr>
            <w:tcW w:w="1350" w:type="dxa"/>
          </w:tcPr>
          <w:p w14:paraId="6D9C0C9A" w14:textId="77777777" w:rsidR="006A6341" w:rsidRPr="004979D2" w:rsidRDefault="006A6341" w:rsidP="002B1BC6">
            <w:pPr>
              <w:spacing w:after="160" w:line="360" w:lineRule="auto"/>
              <w:rPr>
                <w:rFonts w:ascii="Times New Roman" w:eastAsia="Calibri" w:hAnsi="Times New Roman" w:cs="Times New Roman"/>
                <w:sz w:val="24"/>
                <w:szCs w:val="24"/>
              </w:rPr>
            </w:pPr>
            <w:r w:rsidRPr="004979D2">
              <w:rPr>
                <w:rFonts w:ascii="Times New Roman" w:eastAsia="Calibri" w:hAnsi="Times New Roman" w:cs="Times New Roman"/>
                <w:sz w:val="24"/>
                <w:szCs w:val="24"/>
              </w:rPr>
              <w:t>AKK</w:t>
            </w:r>
          </w:p>
        </w:tc>
        <w:tc>
          <w:tcPr>
            <w:tcW w:w="1170" w:type="dxa"/>
          </w:tcPr>
          <w:p w14:paraId="169C6C7B" w14:textId="77777777" w:rsidR="006A6341" w:rsidRPr="004979D2" w:rsidRDefault="006A6341" w:rsidP="002B1BC6">
            <w:pPr>
              <w:spacing w:line="360" w:lineRule="auto"/>
              <w:rPr>
                <w:rFonts w:ascii="Times New Roman" w:eastAsia="Calibri" w:hAnsi="Times New Roman" w:cs="Times New Roman"/>
                <w:sz w:val="24"/>
                <w:szCs w:val="24"/>
                <w:highlight w:val="yellow"/>
              </w:rPr>
            </w:pPr>
            <w:r w:rsidRPr="004979D2">
              <w:rPr>
                <w:rFonts w:ascii="Times New Roman" w:eastAsia="Calibri" w:hAnsi="Times New Roman" w:cs="Times New Roman"/>
                <w:sz w:val="24"/>
                <w:szCs w:val="24"/>
              </w:rPr>
              <w:t>254.500€</w:t>
            </w:r>
            <w:r w:rsidRPr="004979D2" w:rsidDel="00A842E4">
              <w:rPr>
                <w:rFonts w:ascii="Times New Roman" w:eastAsia="Calibri" w:hAnsi="Times New Roman" w:cs="Times New Roman"/>
                <w:sz w:val="24"/>
                <w:szCs w:val="24"/>
              </w:rPr>
              <w:t xml:space="preserve">       </w:t>
            </w:r>
          </w:p>
        </w:tc>
      </w:tr>
      <w:tr w:rsidR="006A6341" w:rsidRPr="004979D2" w14:paraId="18E42420" w14:textId="77777777" w:rsidTr="00B11DC4">
        <w:tc>
          <w:tcPr>
            <w:tcW w:w="1620" w:type="dxa"/>
            <w:vMerge/>
          </w:tcPr>
          <w:p w14:paraId="645A23CF" w14:textId="77777777" w:rsidR="006A6341" w:rsidRPr="004979D2" w:rsidRDefault="006A6341" w:rsidP="002B1BC6">
            <w:pPr>
              <w:spacing w:after="160" w:line="360" w:lineRule="auto"/>
              <w:rPr>
                <w:rFonts w:ascii="Times New Roman" w:eastAsia="Calibri" w:hAnsi="Times New Roman" w:cs="Times New Roman"/>
                <w:sz w:val="24"/>
                <w:szCs w:val="24"/>
              </w:rPr>
            </w:pPr>
          </w:p>
        </w:tc>
        <w:tc>
          <w:tcPr>
            <w:tcW w:w="1350" w:type="dxa"/>
            <w:vMerge/>
          </w:tcPr>
          <w:p w14:paraId="711C962F" w14:textId="77777777" w:rsidR="006A6341" w:rsidRPr="004979D2" w:rsidRDefault="006A6341" w:rsidP="002B1BC6">
            <w:pPr>
              <w:spacing w:after="160" w:line="360" w:lineRule="auto"/>
              <w:rPr>
                <w:rFonts w:ascii="Times New Roman" w:eastAsia="Calibri" w:hAnsi="Times New Roman" w:cs="Times New Roman"/>
                <w:sz w:val="24"/>
                <w:szCs w:val="24"/>
              </w:rPr>
            </w:pPr>
          </w:p>
        </w:tc>
        <w:tc>
          <w:tcPr>
            <w:tcW w:w="1170" w:type="dxa"/>
          </w:tcPr>
          <w:p w14:paraId="70BA8F0B" w14:textId="77777777" w:rsidR="006A6341" w:rsidRPr="004979D2" w:rsidRDefault="006A6341" w:rsidP="002B1BC6">
            <w:pPr>
              <w:spacing w:after="160" w:line="360" w:lineRule="auto"/>
              <w:rPr>
                <w:rFonts w:ascii="Times New Roman" w:eastAsia="Calibri" w:hAnsi="Times New Roman" w:cs="Times New Roman"/>
                <w:b/>
                <w:sz w:val="24"/>
                <w:szCs w:val="24"/>
              </w:rPr>
            </w:pPr>
            <w:r w:rsidRPr="004979D2">
              <w:rPr>
                <w:rFonts w:ascii="Times New Roman" w:eastAsia="Calibri" w:hAnsi="Times New Roman" w:cs="Times New Roman"/>
                <w:b/>
                <w:sz w:val="24"/>
                <w:szCs w:val="24"/>
              </w:rPr>
              <w:t>Aktiviteti 1.1.2</w:t>
            </w:r>
            <w:r w:rsidRPr="004979D2">
              <w:rPr>
                <w:rFonts w:ascii="Times New Roman" w:eastAsia="Calibri" w:hAnsi="Times New Roman" w:cs="Times New Roman"/>
                <w:sz w:val="24"/>
                <w:szCs w:val="24"/>
              </w:rPr>
              <w:br/>
              <w:t xml:space="preserve">Trajnimi i zyrtarëve të AKK-së mbi </w:t>
            </w:r>
            <w:proofErr w:type="spellStart"/>
            <w:r w:rsidRPr="004979D2">
              <w:rPr>
                <w:rFonts w:ascii="Times New Roman" w:eastAsia="Calibri" w:hAnsi="Times New Roman" w:cs="Times New Roman"/>
                <w:sz w:val="24"/>
                <w:szCs w:val="24"/>
              </w:rPr>
              <w:t>ligjislacionin</w:t>
            </w:r>
            <w:proofErr w:type="spellEnd"/>
            <w:r w:rsidRPr="004979D2">
              <w:rPr>
                <w:rFonts w:ascii="Times New Roman" w:eastAsia="Calibri" w:hAnsi="Times New Roman" w:cs="Times New Roman"/>
                <w:sz w:val="24"/>
                <w:szCs w:val="24"/>
              </w:rPr>
              <w:t xml:space="preserve"> aktual dhe </w:t>
            </w:r>
            <w:r w:rsidRPr="004979D2">
              <w:rPr>
                <w:rFonts w:ascii="Times New Roman" w:eastAsia="Calibri" w:hAnsi="Times New Roman" w:cs="Times New Roman"/>
                <w:sz w:val="24"/>
                <w:szCs w:val="24"/>
              </w:rPr>
              <w:lastRenderedPageBreak/>
              <w:t xml:space="preserve">praktikat e BE-së </w:t>
            </w:r>
          </w:p>
        </w:tc>
        <w:tc>
          <w:tcPr>
            <w:tcW w:w="882" w:type="dxa"/>
          </w:tcPr>
          <w:p w14:paraId="400E9082" w14:textId="77777777" w:rsidR="006A6341" w:rsidRPr="004979D2" w:rsidRDefault="006A6341" w:rsidP="002B1BC6">
            <w:pPr>
              <w:spacing w:after="160" w:line="360" w:lineRule="auto"/>
              <w:rPr>
                <w:rFonts w:ascii="Times New Roman" w:eastAsia="Calibri" w:hAnsi="Times New Roman" w:cs="Times New Roman"/>
                <w:sz w:val="24"/>
                <w:szCs w:val="24"/>
              </w:rPr>
            </w:pPr>
            <w:r w:rsidRPr="004979D2">
              <w:rPr>
                <w:rFonts w:ascii="Times New Roman" w:eastAsia="Calibri" w:hAnsi="Times New Roman" w:cs="Times New Roman"/>
                <w:sz w:val="24"/>
                <w:szCs w:val="24"/>
              </w:rPr>
              <w:lastRenderedPageBreak/>
              <w:t>3.000</w:t>
            </w:r>
            <w:r w:rsidRPr="004979D2">
              <w:rPr>
                <w:rFonts w:ascii="Times New Roman" w:hAnsi="Times New Roman" w:cs="Times New Roman"/>
                <w:sz w:val="24"/>
                <w:szCs w:val="24"/>
              </w:rPr>
              <w:t>€</w:t>
            </w:r>
          </w:p>
        </w:tc>
        <w:tc>
          <w:tcPr>
            <w:tcW w:w="882" w:type="dxa"/>
          </w:tcPr>
          <w:p w14:paraId="09CA9A48" w14:textId="77777777" w:rsidR="006A6341" w:rsidRPr="004979D2" w:rsidRDefault="006A6341" w:rsidP="002B1BC6">
            <w:pPr>
              <w:spacing w:after="160" w:line="360" w:lineRule="auto"/>
              <w:rPr>
                <w:rFonts w:ascii="Times New Roman" w:eastAsia="Calibri" w:hAnsi="Times New Roman" w:cs="Times New Roman"/>
                <w:sz w:val="24"/>
                <w:szCs w:val="24"/>
              </w:rPr>
            </w:pPr>
            <w:r w:rsidRPr="004979D2">
              <w:rPr>
                <w:rFonts w:ascii="Times New Roman" w:eastAsia="Calibri" w:hAnsi="Times New Roman" w:cs="Times New Roman"/>
                <w:sz w:val="24"/>
                <w:szCs w:val="24"/>
              </w:rPr>
              <w:t>3.000</w:t>
            </w:r>
            <w:r w:rsidRPr="004979D2">
              <w:rPr>
                <w:rFonts w:ascii="Times New Roman" w:hAnsi="Times New Roman" w:cs="Times New Roman"/>
                <w:sz w:val="24"/>
                <w:szCs w:val="24"/>
              </w:rPr>
              <w:t>€</w:t>
            </w:r>
          </w:p>
        </w:tc>
        <w:tc>
          <w:tcPr>
            <w:tcW w:w="882" w:type="dxa"/>
          </w:tcPr>
          <w:p w14:paraId="3C8D6179" w14:textId="77777777" w:rsidR="006A6341" w:rsidRPr="004979D2" w:rsidRDefault="006A6341" w:rsidP="002B1BC6">
            <w:pPr>
              <w:spacing w:after="160" w:line="360" w:lineRule="auto"/>
              <w:rPr>
                <w:rFonts w:ascii="Times New Roman" w:eastAsia="Calibri" w:hAnsi="Times New Roman" w:cs="Times New Roman"/>
                <w:sz w:val="24"/>
                <w:szCs w:val="24"/>
              </w:rPr>
            </w:pPr>
            <w:r w:rsidRPr="004979D2">
              <w:rPr>
                <w:rFonts w:ascii="Times New Roman" w:eastAsia="Calibri" w:hAnsi="Times New Roman" w:cs="Times New Roman"/>
                <w:sz w:val="24"/>
                <w:szCs w:val="24"/>
              </w:rPr>
              <w:t>3.000</w:t>
            </w:r>
            <w:r w:rsidRPr="004979D2">
              <w:rPr>
                <w:rFonts w:ascii="Times New Roman" w:hAnsi="Times New Roman" w:cs="Times New Roman"/>
                <w:sz w:val="24"/>
                <w:szCs w:val="24"/>
              </w:rPr>
              <w:t>€</w:t>
            </w:r>
          </w:p>
        </w:tc>
        <w:tc>
          <w:tcPr>
            <w:tcW w:w="882" w:type="dxa"/>
          </w:tcPr>
          <w:p w14:paraId="16E123F8" w14:textId="77777777" w:rsidR="006A6341" w:rsidRPr="004979D2" w:rsidRDefault="006A6341" w:rsidP="002B1BC6">
            <w:pPr>
              <w:spacing w:after="160" w:line="360" w:lineRule="auto"/>
              <w:rPr>
                <w:rFonts w:ascii="Times New Roman" w:eastAsia="Calibri" w:hAnsi="Times New Roman" w:cs="Times New Roman"/>
                <w:sz w:val="24"/>
                <w:szCs w:val="24"/>
              </w:rPr>
            </w:pPr>
            <w:r w:rsidRPr="004979D2">
              <w:rPr>
                <w:rFonts w:ascii="Times New Roman" w:eastAsia="Calibri" w:hAnsi="Times New Roman" w:cs="Times New Roman"/>
                <w:sz w:val="24"/>
                <w:szCs w:val="24"/>
              </w:rPr>
              <w:t>3.000</w:t>
            </w:r>
            <w:r w:rsidRPr="004979D2">
              <w:rPr>
                <w:rFonts w:ascii="Times New Roman" w:hAnsi="Times New Roman" w:cs="Times New Roman"/>
                <w:sz w:val="24"/>
                <w:szCs w:val="24"/>
              </w:rPr>
              <w:t>€</w:t>
            </w:r>
          </w:p>
        </w:tc>
        <w:tc>
          <w:tcPr>
            <w:tcW w:w="882" w:type="dxa"/>
          </w:tcPr>
          <w:p w14:paraId="562D9FBC" w14:textId="77777777" w:rsidR="006A6341" w:rsidRPr="004979D2" w:rsidRDefault="006A6341" w:rsidP="002B1BC6">
            <w:pPr>
              <w:spacing w:after="160" w:line="360" w:lineRule="auto"/>
              <w:rPr>
                <w:rFonts w:ascii="Times New Roman" w:eastAsia="Calibri" w:hAnsi="Times New Roman" w:cs="Times New Roman"/>
                <w:sz w:val="24"/>
                <w:szCs w:val="24"/>
              </w:rPr>
            </w:pPr>
            <w:r w:rsidRPr="004979D2">
              <w:rPr>
                <w:rFonts w:ascii="Times New Roman" w:eastAsia="Calibri" w:hAnsi="Times New Roman" w:cs="Times New Roman"/>
                <w:sz w:val="24"/>
                <w:szCs w:val="24"/>
              </w:rPr>
              <w:t>3.000</w:t>
            </w:r>
            <w:r w:rsidRPr="004979D2">
              <w:rPr>
                <w:rFonts w:ascii="Times New Roman" w:hAnsi="Times New Roman" w:cs="Times New Roman"/>
                <w:sz w:val="24"/>
                <w:szCs w:val="24"/>
              </w:rPr>
              <w:t>€</w:t>
            </w:r>
          </w:p>
        </w:tc>
        <w:tc>
          <w:tcPr>
            <w:tcW w:w="1350" w:type="dxa"/>
          </w:tcPr>
          <w:p w14:paraId="2F55C371" w14:textId="77777777" w:rsidR="006A6341" w:rsidRPr="004979D2" w:rsidRDefault="006A6341" w:rsidP="002B1BC6">
            <w:pPr>
              <w:spacing w:after="160" w:line="360" w:lineRule="auto"/>
              <w:rPr>
                <w:rFonts w:ascii="Times New Roman" w:eastAsia="Calibri" w:hAnsi="Times New Roman" w:cs="Times New Roman"/>
                <w:sz w:val="24"/>
                <w:szCs w:val="24"/>
              </w:rPr>
            </w:pPr>
            <w:r w:rsidRPr="004979D2">
              <w:rPr>
                <w:rFonts w:ascii="Times New Roman" w:eastAsia="Calibri" w:hAnsi="Times New Roman" w:cs="Times New Roman"/>
                <w:sz w:val="24"/>
                <w:szCs w:val="24"/>
              </w:rPr>
              <w:t>Donatorë</w:t>
            </w:r>
          </w:p>
          <w:p w14:paraId="08379F38" w14:textId="77777777" w:rsidR="006A6341" w:rsidRPr="004979D2" w:rsidRDefault="006A6341" w:rsidP="002B1BC6">
            <w:pPr>
              <w:spacing w:after="160" w:line="360" w:lineRule="auto"/>
              <w:rPr>
                <w:rFonts w:ascii="Times New Roman" w:eastAsia="Calibri" w:hAnsi="Times New Roman" w:cs="Times New Roman"/>
                <w:sz w:val="24"/>
                <w:szCs w:val="24"/>
              </w:rPr>
            </w:pPr>
            <w:r w:rsidRPr="004979D2">
              <w:rPr>
                <w:rFonts w:ascii="Times New Roman" w:eastAsia="Calibri" w:hAnsi="Times New Roman" w:cs="Times New Roman"/>
                <w:sz w:val="24"/>
                <w:szCs w:val="24"/>
              </w:rPr>
              <w:t>AKK</w:t>
            </w:r>
          </w:p>
          <w:p w14:paraId="58E3E0AA" w14:textId="77777777" w:rsidR="006A6341" w:rsidRPr="004979D2" w:rsidRDefault="006A6341" w:rsidP="002B1BC6">
            <w:pPr>
              <w:spacing w:after="160" w:line="360" w:lineRule="auto"/>
              <w:rPr>
                <w:rFonts w:ascii="Times New Roman" w:eastAsia="Calibri" w:hAnsi="Times New Roman" w:cs="Times New Roman"/>
                <w:sz w:val="24"/>
                <w:szCs w:val="24"/>
              </w:rPr>
            </w:pPr>
          </w:p>
          <w:p w14:paraId="392EB1E0" w14:textId="77777777" w:rsidR="006A6341" w:rsidRPr="004979D2" w:rsidDel="00F879F4" w:rsidRDefault="006A6341" w:rsidP="002B1BC6">
            <w:pPr>
              <w:spacing w:after="160" w:line="360" w:lineRule="auto"/>
              <w:rPr>
                <w:rFonts w:ascii="Times New Roman" w:eastAsia="Calibri" w:hAnsi="Times New Roman" w:cs="Times New Roman"/>
                <w:sz w:val="24"/>
                <w:szCs w:val="24"/>
              </w:rPr>
            </w:pPr>
            <w:r w:rsidRPr="004979D2" w:rsidDel="00F879F4">
              <w:rPr>
                <w:rFonts w:ascii="Times New Roman" w:eastAsia="Calibri" w:hAnsi="Times New Roman" w:cs="Times New Roman"/>
                <w:sz w:val="24"/>
                <w:szCs w:val="24"/>
              </w:rPr>
              <w:t>Donatorë</w:t>
            </w:r>
          </w:p>
          <w:p w14:paraId="4F6AA93A" w14:textId="77777777" w:rsidR="006A6341" w:rsidRPr="004979D2" w:rsidDel="00F879F4" w:rsidRDefault="006A6341" w:rsidP="002B1BC6">
            <w:pPr>
              <w:spacing w:after="160" w:line="360" w:lineRule="auto"/>
              <w:rPr>
                <w:rFonts w:ascii="Times New Roman" w:eastAsia="Calibri" w:hAnsi="Times New Roman" w:cs="Times New Roman"/>
                <w:sz w:val="24"/>
                <w:szCs w:val="24"/>
              </w:rPr>
            </w:pPr>
            <w:r w:rsidRPr="004979D2" w:rsidDel="00F879F4">
              <w:rPr>
                <w:rFonts w:ascii="Times New Roman" w:eastAsia="Calibri" w:hAnsi="Times New Roman" w:cs="Times New Roman"/>
                <w:sz w:val="24"/>
                <w:szCs w:val="24"/>
              </w:rPr>
              <w:t>AKK</w:t>
            </w:r>
          </w:p>
          <w:p w14:paraId="49EB0184" w14:textId="77777777" w:rsidR="006A6341" w:rsidRPr="004979D2" w:rsidRDefault="006A6341" w:rsidP="002B1BC6">
            <w:pPr>
              <w:spacing w:after="160" w:line="360" w:lineRule="auto"/>
              <w:rPr>
                <w:rFonts w:ascii="Times New Roman" w:eastAsia="Calibri" w:hAnsi="Times New Roman" w:cs="Times New Roman"/>
                <w:sz w:val="24"/>
                <w:szCs w:val="24"/>
              </w:rPr>
            </w:pPr>
            <w:r w:rsidRPr="004979D2" w:rsidDel="00F879F4">
              <w:rPr>
                <w:rFonts w:ascii="Times New Roman" w:eastAsia="Calibri" w:hAnsi="Times New Roman" w:cs="Times New Roman"/>
                <w:sz w:val="24"/>
                <w:szCs w:val="24"/>
              </w:rPr>
              <w:t xml:space="preserve">Organizatoret  e punëtorive </w:t>
            </w:r>
            <w:r w:rsidRPr="004979D2" w:rsidDel="00F879F4">
              <w:rPr>
                <w:rFonts w:ascii="Times New Roman" w:eastAsia="Calibri" w:hAnsi="Times New Roman" w:cs="Times New Roman"/>
                <w:sz w:val="24"/>
                <w:szCs w:val="24"/>
              </w:rPr>
              <w:lastRenderedPageBreak/>
              <w:t xml:space="preserve">për Konkurrence nga Institucione tjera </w:t>
            </w:r>
            <w:proofErr w:type="spellStart"/>
            <w:r w:rsidRPr="004979D2" w:rsidDel="00F879F4">
              <w:rPr>
                <w:rFonts w:ascii="Times New Roman" w:eastAsia="Calibri" w:hAnsi="Times New Roman" w:cs="Times New Roman"/>
                <w:sz w:val="24"/>
                <w:szCs w:val="24"/>
              </w:rPr>
              <w:t>nderkombetare</w:t>
            </w:r>
            <w:proofErr w:type="spellEnd"/>
          </w:p>
        </w:tc>
        <w:tc>
          <w:tcPr>
            <w:tcW w:w="1170" w:type="dxa"/>
          </w:tcPr>
          <w:p w14:paraId="57A610EC" w14:textId="77777777" w:rsidR="006A6341" w:rsidRPr="004979D2" w:rsidRDefault="006A6341" w:rsidP="002B1BC6">
            <w:pPr>
              <w:spacing w:after="160" w:line="360" w:lineRule="auto"/>
              <w:rPr>
                <w:rFonts w:ascii="Times New Roman" w:eastAsia="Calibri" w:hAnsi="Times New Roman" w:cs="Times New Roman"/>
                <w:sz w:val="24"/>
                <w:szCs w:val="24"/>
              </w:rPr>
            </w:pPr>
            <w:r w:rsidRPr="004979D2">
              <w:rPr>
                <w:rFonts w:ascii="Times New Roman" w:eastAsia="Calibri" w:hAnsi="Times New Roman" w:cs="Times New Roman"/>
                <w:sz w:val="24"/>
                <w:szCs w:val="24"/>
              </w:rPr>
              <w:lastRenderedPageBreak/>
              <w:t>15.000€</w:t>
            </w:r>
          </w:p>
        </w:tc>
      </w:tr>
      <w:tr w:rsidR="006A6341" w:rsidRPr="004979D2" w14:paraId="3691F3F3" w14:textId="77777777" w:rsidTr="00B11DC4">
        <w:tc>
          <w:tcPr>
            <w:tcW w:w="1620" w:type="dxa"/>
            <w:vMerge/>
          </w:tcPr>
          <w:p w14:paraId="034A92CE" w14:textId="77777777" w:rsidR="006A6341" w:rsidRPr="004979D2" w:rsidRDefault="006A6341" w:rsidP="002B1BC6">
            <w:pPr>
              <w:spacing w:after="160" w:line="360" w:lineRule="auto"/>
              <w:rPr>
                <w:rFonts w:ascii="Times New Roman" w:eastAsia="Calibri" w:hAnsi="Times New Roman" w:cs="Times New Roman"/>
                <w:sz w:val="24"/>
                <w:szCs w:val="24"/>
              </w:rPr>
            </w:pPr>
          </w:p>
        </w:tc>
        <w:tc>
          <w:tcPr>
            <w:tcW w:w="1350" w:type="dxa"/>
            <w:vMerge/>
          </w:tcPr>
          <w:p w14:paraId="5EEE9EA2" w14:textId="77777777" w:rsidR="006A6341" w:rsidRPr="004979D2" w:rsidRDefault="006A6341" w:rsidP="002B1BC6">
            <w:pPr>
              <w:spacing w:after="160" w:line="360" w:lineRule="auto"/>
              <w:rPr>
                <w:rFonts w:ascii="Times New Roman" w:eastAsia="Calibri" w:hAnsi="Times New Roman" w:cs="Times New Roman"/>
                <w:sz w:val="24"/>
                <w:szCs w:val="24"/>
              </w:rPr>
            </w:pPr>
          </w:p>
        </w:tc>
        <w:tc>
          <w:tcPr>
            <w:tcW w:w="1170" w:type="dxa"/>
          </w:tcPr>
          <w:p w14:paraId="034896BB" w14:textId="77777777" w:rsidR="006A6341" w:rsidRPr="004979D2" w:rsidRDefault="006A6341" w:rsidP="002B1BC6">
            <w:pPr>
              <w:spacing w:after="160" w:line="360" w:lineRule="auto"/>
              <w:rPr>
                <w:rFonts w:ascii="Times New Roman" w:eastAsia="Calibri" w:hAnsi="Times New Roman" w:cs="Times New Roman"/>
                <w:b/>
                <w:sz w:val="24"/>
                <w:szCs w:val="24"/>
              </w:rPr>
            </w:pPr>
            <w:r w:rsidRPr="004979D2">
              <w:rPr>
                <w:rFonts w:ascii="Times New Roman" w:eastAsia="Calibri" w:hAnsi="Times New Roman" w:cs="Times New Roman"/>
                <w:b/>
                <w:sz w:val="24"/>
                <w:szCs w:val="24"/>
              </w:rPr>
              <w:t xml:space="preserve">Aktiviteti 1.1.3 </w:t>
            </w:r>
            <w:r w:rsidRPr="004979D2">
              <w:rPr>
                <w:rFonts w:ascii="Times New Roman" w:eastAsia="Calibri" w:hAnsi="Times New Roman" w:cs="Times New Roman"/>
                <w:sz w:val="24"/>
                <w:szCs w:val="24"/>
              </w:rPr>
              <w:t xml:space="preserve">Bashkëpunimi përmes takimeve dhe </w:t>
            </w:r>
            <w:proofErr w:type="spellStart"/>
            <w:r w:rsidRPr="004979D2">
              <w:rPr>
                <w:rFonts w:ascii="Times New Roman" w:eastAsia="Calibri" w:hAnsi="Times New Roman" w:cs="Times New Roman"/>
                <w:sz w:val="24"/>
                <w:szCs w:val="24"/>
              </w:rPr>
              <w:t>MoU</w:t>
            </w:r>
            <w:proofErr w:type="spellEnd"/>
            <w:r w:rsidRPr="004979D2">
              <w:rPr>
                <w:rFonts w:ascii="Times New Roman" w:eastAsia="Calibri" w:hAnsi="Times New Roman" w:cs="Times New Roman"/>
                <w:sz w:val="24"/>
                <w:szCs w:val="24"/>
              </w:rPr>
              <w:t xml:space="preserve">-ve me </w:t>
            </w:r>
            <w:proofErr w:type="spellStart"/>
            <w:r w:rsidRPr="004979D2">
              <w:rPr>
                <w:rFonts w:ascii="Times New Roman" w:eastAsia="Calibri" w:hAnsi="Times New Roman" w:cs="Times New Roman"/>
                <w:sz w:val="24"/>
                <w:szCs w:val="24"/>
              </w:rPr>
              <w:t>aktere</w:t>
            </w:r>
            <w:proofErr w:type="spellEnd"/>
            <w:r w:rsidRPr="004979D2">
              <w:rPr>
                <w:rFonts w:ascii="Times New Roman" w:eastAsia="Calibri" w:hAnsi="Times New Roman" w:cs="Times New Roman"/>
                <w:sz w:val="24"/>
                <w:szCs w:val="24"/>
              </w:rPr>
              <w:t xml:space="preserve"> vendore dhe </w:t>
            </w:r>
            <w:proofErr w:type="spellStart"/>
            <w:r w:rsidRPr="004979D2">
              <w:rPr>
                <w:rFonts w:ascii="Times New Roman" w:eastAsia="Calibri" w:hAnsi="Times New Roman" w:cs="Times New Roman"/>
                <w:sz w:val="24"/>
                <w:szCs w:val="24"/>
              </w:rPr>
              <w:t>nderkombetar</w:t>
            </w:r>
            <w:proofErr w:type="spellEnd"/>
            <w:r w:rsidRPr="004979D2">
              <w:rPr>
                <w:rFonts w:ascii="Times New Roman" w:eastAsia="Calibri" w:hAnsi="Times New Roman" w:cs="Times New Roman"/>
                <w:sz w:val="24"/>
                <w:szCs w:val="24"/>
              </w:rPr>
              <w:t xml:space="preserve">. </w:t>
            </w:r>
          </w:p>
          <w:p w14:paraId="12CB414E" w14:textId="77777777" w:rsidR="006A6341" w:rsidRPr="004979D2" w:rsidRDefault="006A6341" w:rsidP="002B1BC6">
            <w:pPr>
              <w:spacing w:after="160" w:line="360" w:lineRule="auto"/>
              <w:rPr>
                <w:rFonts w:ascii="Times New Roman" w:eastAsia="Calibri" w:hAnsi="Times New Roman" w:cs="Times New Roman"/>
                <w:sz w:val="24"/>
                <w:szCs w:val="24"/>
                <w:lang w:val="en-US"/>
              </w:rPr>
            </w:pPr>
          </w:p>
          <w:p w14:paraId="1A94F7C0" w14:textId="77777777" w:rsidR="006A6341" w:rsidRPr="004979D2" w:rsidRDefault="006A6341" w:rsidP="002B1BC6">
            <w:pPr>
              <w:spacing w:after="160" w:line="360" w:lineRule="auto"/>
              <w:rPr>
                <w:rFonts w:ascii="Times New Roman" w:eastAsia="Calibri" w:hAnsi="Times New Roman" w:cs="Times New Roman"/>
                <w:b/>
                <w:sz w:val="24"/>
                <w:szCs w:val="24"/>
              </w:rPr>
            </w:pPr>
          </w:p>
        </w:tc>
        <w:tc>
          <w:tcPr>
            <w:tcW w:w="882" w:type="dxa"/>
          </w:tcPr>
          <w:p w14:paraId="5FF143E2" w14:textId="77777777" w:rsidR="006A6341" w:rsidRPr="004979D2" w:rsidRDefault="006A6341" w:rsidP="002B1BC6">
            <w:pPr>
              <w:spacing w:after="160" w:line="360" w:lineRule="auto"/>
              <w:rPr>
                <w:rFonts w:ascii="Times New Roman" w:eastAsia="Calibri" w:hAnsi="Times New Roman" w:cs="Times New Roman"/>
                <w:sz w:val="24"/>
                <w:szCs w:val="24"/>
              </w:rPr>
            </w:pPr>
            <w:r w:rsidRPr="004979D2">
              <w:rPr>
                <w:rFonts w:ascii="Times New Roman" w:eastAsia="Calibri" w:hAnsi="Times New Roman" w:cs="Times New Roman"/>
                <w:sz w:val="24"/>
                <w:szCs w:val="24"/>
              </w:rPr>
              <w:t>2.000</w:t>
            </w:r>
            <w:r w:rsidRPr="004979D2">
              <w:rPr>
                <w:rFonts w:ascii="Times New Roman" w:hAnsi="Times New Roman" w:cs="Times New Roman"/>
                <w:sz w:val="24"/>
                <w:szCs w:val="24"/>
              </w:rPr>
              <w:t>€</w:t>
            </w:r>
          </w:p>
        </w:tc>
        <w:tc>
          <w:tcPr>
            <w:tcW w:w="882" w:type="dxa"/>
          </w:tcPr>
          <w:p w14:paraId="45C62BB7" w14:textId="77777777" w:rsidR="006A6341" w:rsidRPr="004979D2" w:rsidRDefault="006A6341" w:rsidP="002B1BC6">
            <w:pPr>
              <w:spacing w:after="160" w:line="360" w:lineRule="auto"/>
              <w:rPr>
                <w:rFonts w:ascii="Times New Roman" w:eastAsia="Calibri" w:hAnsi="Times New Roman" w:cs="Times New Roman"/>
                <w:sz w:val="24"/>
                <w:szCs w:val="24"/>
              </w:rPr>
            </w:pPr>
            <w:r w:rsidRPr="004979D2">
              <w:rPr>
                <w:rFonts w:ascii="Times New Roman" w:eastAsia="Calibri" w:hAnsi="Times New Roman" w:cs="Times New Roman"/>
                <w:sz w:val="24"/>
                <w:szCs w:val="24"/>
              </w:rPr>
              <w:t>2.000</w:t>
            </w:r>
            <w:r w:rsidRPr="004979D2">
              <w:rPr>
                <w:rFonts w:ascii="Times New Roman" w:hAnsi="Times New Roman" w:cs="Times New Roman"/>
                <w:sz w:val="24"/>
                <w:szCs w:val="24"/>
              </w:rPr>
              <w:t>€</w:t>
            </w:r>
          </w:p>
        </w:tc>
        <w:tc>
          <w:tcPr>
            <w:tcW w:w="882" w:type="dxa"/>
          </w:tcPr>
          <w:p w14:paraId="5E87D38F" w14:textId="77777777" w:rsidR="006A6341" w:rsidRPr="004979D2" w:rsidRDefault="006A6341" w:rsidP="002B1BC6">
            <w:pPr>
              <w:spacing w:after="160" w:line="360" w:lineRule="auto"/>
              <w:rPr>
                <w:rFonts w:ascii="Times New Roman" w:eastAsia="Calibri" w:hAnsi="Times New Roman" w:cs="Times New Roman"/>
                <w:sz w:val="24"/>
                <w:szCs w:val="24"/>
              </w:rPr>
            </w:pPr>
            <w:r w:rsidRPr="004979D2">
              <w:rPr>
                <w:rFonts w:ascii="Times New Roman" w:eastAsia="Calibri" w:hAnsi="Times New Roman" w:cs="Times New Roman"/>
                <w:sz w:val="24"/>
                <w:szCs w:val="24"/>
              </w:rPr>
              <w:t>2.000</w:t>
            </w:r>
            <w:r w:rsidRPr="004979D2">
              <w:rPr>
                <w:rFonts w:ascii="Times New Roman" w:hAnsi="Times New Roman" w:cs="Times New Roman"/>
                <w:sz w:val="24"/>
                <w:szCs w:val="24"/>
              </w:rPr>
              <w:t>€</w:t>
            </w:r>
          </w:p>
        </w:tc>
        <w:tc>
          <w:tcPr>
            <w:tcW w:w="882" w:type="dxa"/>
          </w:tcPr>
          <w:p w14:paraId="1BCC0B1D" w14:textId="77777777" w:rsidR="006A6341" w:rsidRPr="004979D2" w:rsidRDefault="006A6341" w:rsidP="002B1BC6">
            <w:pPr>
              <w:spacing w:after="160" w:line="360" w:lineRule="auto"/>
              <w:rPr>
                <w:rFonts w:ascii="Times New Roman" w:eastAsia="Calibri" w:hAnsi="Times New Roman" w:cs="Times New Roman"/>
                <w:sz w:val="24"/>
                <w:szCs w:val="24"/>
              </w:rPr>
            </w:pPr>
            <w:r w:rsidRPr="004979D2">
              <w:rPr>
                <w:rFonts w:ascii="Times New Roman" w:eastAsia="Calibri" w:hAnsi="Times New Roman" w:cs="Times New Roman"/>
                <w:sz w:val="24"/>
                <w:szCs w:val="24"/>
              </w:rPr>
              <w:t>2.000</w:t>
            </w:r>
            <w:r w:rsidRPr="004979D2">
              <w:rPr>
                <w:rFonts w:ascii="Times New Roman" w:hAnsi="Times New Roman" w:cs="Times New Roman"/>
                <w:sz w:val="24"/>
                <w:szCs w:val="24"/>
              </w:rPr>
              <w:t>€</w:t>
            </w:r>
          </w:p>
        </w:tc>
        <w:tc>
          <w:tcPr>
            <w:tcW w:w="882" w:type="dxa"/>
          </w:tcPr>
          <w:p w14:paraId="7DD31C2B" w14:textId="77777777" w:rsidR="006A6341" w:rsidRPr="004979D2" w:rsidRDefault="006A6341" w:rsidP="002B1BC6">
            <w:pPr>
              <w:spacing w:after="160" w:line="360" w:lineRule="auto"/>
              <w:rPr>
                <w:rFonts w:ascii="Times New Roman" w:eastAsia="Calibri" w:hAnsi="Times New Roman" w:cs="Times New Roman"/>
                <w:sz w:val="24"/>
                <w:szCs w:val="24"/>
              </w:rPr>
            </w:pPr>
            <w:r w:rsidRPr="004979D2">
              <w:rPr>
                <w:rFonts w:ascii="Times New Roman" w:eastAsia="Calibri" w:hAnsi="Times New Roman" w:cs="Times New Roman"/>
                <w:sz w:val="24"/>
                <w:szCs w:val="24"/>
              </w:rPr>
              <w:t>2.000</w:t>
            </w:r>
            <w:r w:rsidRPr="004979D2">
              <w:rPr>
                <w:rFonts w:ascii="Times New Roman" w:hAnsi="Times New Roman" w:cs="Times New Roman"/>
                <w:sz w:val="24"/>
                <w:szCs w:val="24"/>
              </w:rPr>
              <w:t>€</w:t>
            </w:r>
          </w:p>
        </w:tc>
        <w:tc>
          <w:tcPr>
            <w:tcW w:w="1350" w:type="dxa"/>
          </w:tcPr>
          <w:p w14:paraId="26EC8626" w14:textId="77777777" w:rsidR="006A6341" w:rsidRPr="004979D2" w:rsidRDefault="006A6341" w:rsidP="002B1BC6">
            <w:pPr>
              <w:spacing w:after="160" w:line="360" w:lineRule="auto"/>
              <w:rPr>
                <w:rFonts w:ascii="Times New Roman" w:eastAsia="Calibri" w:hAnsi="Times New Roman" w:cs="Times New Roman"/>
                <w:sz w:val="24"/>
                <w:szCs w:val="24"/>
              </w:rPr>
            </w:pPr>
            <w:r w:rsidRPr="004979D2">
              <w:rPr>
                <w:rFonts w:ascii="Times New Roman" w:eastAsia="Calibri" w:hAnsi="Times New Roman" w:cs="Times New Roman"/>
                <w:sz w:val="24"/>
                <w:szCs w:val="24"/>
              </w:rPr>
              <w:t>AKK</w:t>
            </w:r>
          </w:p>
          <w:p w14:paraId="5AE32244" w14:textId="77777777" w:rsidR="006A6341" w:rsidRPr="004979D2" w:rsidRDefault="006A6341" w:rsidP="002B1BC6">
            <w:pPr>
              <w:spacing w:after="160" w:line="360" w:lineRule="auto"/>
              <w:rPr>
                <w:rFonts w:ascii="Times New Roman" w:eastAsia="Calibri" w:hAnsi="Times New Roman" w:cs="Times New Roman"/>
                <w:sz w:val="24"/>
                <w:szCs w:val="24"/>
              </w:rPr>
            </w:pPr>
          </w:p>
          <w:p w14:paraId="56A668F6" w14:textId="77777777" w:rsidR="006A6341" w:rsidRPr="004979D2" w:rsidRDefault="006A6341" w:rsidP="002B1BC6">
            <w:pPr>
              <w:spacing w:after="160" w:line="360" w:lineRule="auto"/>
              <w:rPr>
                <w:rFonts w:ascii="Times New Roman" w:eastAsia="Calibri" w:hAnsi="Times New Roman" w:cs="Times New Roman"/>
                <w:sz w:val="24"/>
                <w:szCs w:val="24"/>
              </w:rPr>
            </w:pPr>
            <w:r w:rsidRPr="004979D2">
              <w:rPr>
                <w:rFonts w:ascii="Times New Roman" w:eastAsia="Calibri" w:hAnsi="Times New Roman" w:cs="Times New Roman"/>
                <w:sz w:val="24"/>
                <w:szCs w:val="24"/>
              </w:rPr>
              <w:t>BE</w:t>
            </w:r>
          </w:p>
          <w:p w14:paraId="4915928A" w14:textId="77777777" w:rsidR="006A6341" w:rsidRPr="004979D2" w:rsidDel="00F879F4" w:rsidRDefault="006A6341" w:rsidP="002B1BC6">
            <w:pPr>
              <w:spacing w:after="160" w:line="360" w:lineRule="auto"/>
              <w:rPr>
                <w:rFonts w:ascii="Times New Roman" w:eastAsia="Calibri" w:hAnsi="Times New Roman" w:cs="Times New Roman"/>
                <w:sz w:val="24"/>
                <w:szCs w:val="24"/>
              </w:rPr>
            </w:pPr>
            <w:r w:rsidRPr="004979D2">
              <w:rPr>
                <w:rFonts w:ascii="Times New Roman" w:eastAsia="Calibri" w:hAnsi="Times New Roman" w:cs="Times New Roman"/>
                <w:sz w:val="24"/>
                <w:szCs w:val="24"/>
              </w:rPr>
              <w:t xml:space="preserve">Institucione </w:t>
            </w:r>
            <w:proofErr w:type="spellStart"/>
            <w:r w:rsidRPr="004979D2">
              <w:rPr>
                <w:rFonts w:ascii="Times New Roman" w:eastAsia="Calibri" w:hAnsi="Times New Roman" w:cs="Times New Roman"/>
                <w:sz w:val="24"/>
                <w:szCs w:val="24"/>
              </w:rPr>
              <w:t>relvante</w:t>
            </w:r>
            <w:r w:rsidRPr="004979D2" w:rsidDel="00F879F4">
              <w:rPr>
                <w:rFonts w:ascii="Times New Roman" w:eastAsia="Calibri" w:hAnsi="Times New Roman" w:cs="Times New Roman"/>
                <w:sz w:val="24"/>
                <w:szCs w:val="24"/>
              </w:rPr>
              <w:t>AKK</w:t>
            </w:r>
            <w:proofErr w:type="spellEnd"/>
          </w:p>
          <w:p w14:paraId="5BA3848F" w14:textId="77777777" w:rsidR="006A6341" w:rsidRPr="004979D2" w:rsidRDefault="006A6341" w:rsidP="002B1BC6">
            <w:pPr>
              <w:spacing w:after="160" w:line="360" w:lineRule="auto"/>
              <w:rPr>
                <w:rFonts w:ascii="Times New Roman" w:eastAsia="Calibri" w:hAnsi="Times New Roman" w:cs="Times New Roman"/>
                <w:sz w:val="24"/>
                <w:szCs w:val="24"/>
              </w:rPr>
            </w:pPr>
            <w:r w:rsidRPr="004979D2" w:rsidDel="00F879F4">
              <w:rPr>
                <w:rFonts w:ascii="Times New Roman" w:eastAsia="Calibri" w:hAnsi="Times New Roman" w:cs="Times New Roman"/>
                <w:sz w:val="24"/>
                <w:szCs w:val="24"/>
              </w:rPr>
              <w:t>BE</w:t>
            </w:r>
          </w:p>
        </w:tc>
        <w:tc>
          <w:tcPr>
            <w:tcW w:w="1170" w:type="dxa"/>
          </w:tcPr>
          <w:p w14:paraId="2B214648" w14:textId="77777777" w:rsidR="006A6341" w:rsidRPr="004979D2" w:rsidRDefault="006A6341" w:rsidP="002B1BC6">
            <w:pPr>
              <w:spacing w:after="160" w:line="360" w:lineRule="auto"/>
              <w:rPr>
                <w:rFonts w:ascii="Times New Roman" w:eastAsia="Calibri" w:hAnsi="Times New Roman" w:cs="Times New Roman"/>
                <w:sz w:val="24"/>
                <w:szCs w:val="24"/>
              </w:rPr>
            </w:pPr>
            <w:r w:rsidRPr="004979D2">
              <w:rPr>
                <w:rFonts w:ascii="Times New Roman" w:eastAsia="Calibri" w:hAnsi="Times New Roman" w:cs="Times New Roman"/>
                <w:sz w:val="24"/>
                <w:szCs w:val="24"/>
              </w:rPr>
              <w:t>10.000€</w:t>
            </w:r>
          </w:p>
        </w:tc>
      </w:tr>
    </w:tbl>
    <w:p w14:paraId="1848892C" w14:textId="77777777" w:rsidR="00C325AA" w:rsidRPr="004979D2" w:rsidRDefault="00C325AA" w:rsidP="002B1BC6">
      <w:pPr>
        <w:spacing w:line="360" w:lineRule="auto"/>
        <w:rPr>
          <w:rFonts w:ascii="Times New Roman" w:hAnsi="Times New Roman" w:cs="Times New Roman"/>
          <w:sz w:val="24"/>
          <w:szCs w:val="24"/>
        </w:rPr>
      </w:pPr>
    </w:p>
    <w:p w14:paraId="5CE6B2B8" w14:textId="77777777" w:rsidR="00E70022" w:rsidRPr="004979D2" w:rsidRDefault="00E70022" w:rsidP="002B1BC6">
      <w:pPr>
        <w:spacing w:line="360" w:lineRule="auto"/>
        <w:rPr>
          <w:rFonts w:ascii="Times New Roman" w:hAnsi="Times New Roman" w:cs="Times New Roman"/>
          <w:sz w:val="24"/>
          <w:szCs w:val="24"/>
        </w:rPr>
      </w:pPr>
    </w:p>
    <w:p w14:paraId="19631D0E" w14:textId="77777777" w:rsidR="00E70022" w:rsidRPr="004979D2" w:rsidRDefault="00E70022" w:rsidP="002B1BC6">
      <w:pPr>
        <w:spacing w:line="360" w:lineRule="auto"/>
        <w:rPr>
          <w:rFonts w:ascii="Times New Roman" w:hAnsi="Times New Roman" w:cs="Times New Roman"/>
          <w:sz w:val="24"/>
          <w:szCs w:val="24"/>
        </w:rPr>
      </w:pPr>
    </w:p>
    <w:p w14:paraId="0A5E5E42" w14:textId="77777777" w:rsidR="00E70022" w:rsidRPr="004979D2" w:rsidRDefault="00E70022" w:rsidP="002B1BC6">
      <w:pPr>
        <w:spacing w:line="360" w:lineRule="auto"/>
        <w:rPr>
          <w:rFonts w:ascii="Times New Roman" w:hAnsi="Times New Roman" w:cs="Times New Roman"/>
          <w:sz w:val="24"/>
          <w:szCs w:val="24"/>
        </w:rPr>
      </w:pPr>
    </w:p>
    <w:p w14:paraId="6152B7FB" w14:textId="77777777" w:rsidR="00E70022" w:rsidRPr="004979D2" w:rsidRDefault="00E70022" w:rsidP="002B1BC6">
      <w:pPr>
        <w:spacing w:line="360" w:lineRule="auto"/>
        <w:rPr>
          <w:rFonts w:ascii="Times New Roman" w:hAnsi="Times New Roman" w:cs="Times New Roman"/>
          <w:sz w:val="24"/>
          <w:szCs w:val="24"/>
        </w:rPr>
      </w:pPr>
    </w:p>
    <w:p w14:paraId="3D690641" w14:textId="77777777" w:rsidR="00E70022" w:rsidRPr="004979D2" w:rsidRDefault="00E70022" w:rsidP="002B1BC6">
      <w:pPr>
        <w:spacing w:line="360" w:lineRule="auto"/>
        <w:rPr>
          <w:rFonts w:ascii="Times New Roman" w:hAnsi="Times New Roman" w:cs="Times New Roman"/>
          <w:sz w:val="24"/>
          <w:szCs w:val="24"/>
        </w:rPr>
      </w:pPr>
    </w:p>
    <w:p w14:paraId="31C312EF" w14:textId="1E24890F" w:rsidR="00C325AA" w:rsidRPr="004979D2" w:rsidRDefault="00117147" w:rsidP="002B1BC6">
      <w:pPr>
        <w:pStyle w:val="Heading2"/>
        <w:spacing w:line="360" w:lineRule="auto"/>
        <w:rPr>
          <w:rFonts w:cs="Times New Roman"/>
          <w:szCs w:val="24"/>
        </w:rPr>
      </w:pPr>
      <w:bookmarkStart w:id="50" w:name="_Toc1114334"/>
      <w:r w:rsidRPr="004979D2">
        <w:rPr>
          <w:rFonts w:cs="Times New Roman"/>
          <w:szCs w:val="24"/>
        </w:rPr>
        <w:lastRenderedPageBreak/>
        <w:t xml:space="preserve">6.2: </w:t>
      </w:r>
      <w:r w:rsidR="00623843" w:rsidRPr="004979D2">
        <w:rPr>
          <w:rFonts w:cs="Times New Roman"/>
          <w:szCs w:val="24"/>
        </w:rPr>
        <w:t>Tabela e krahasimit me të tre opsionet</w:t>
      </w:r>
      <w:bookmarkEnd w:id="50"/>
      <w:r w:rsidRPr="004979D2">
        <w:rPr>
          <w:rFonts w:cs="Times New Roman"/>
          <w:szCs w:val="24"/>
        </w:rPr>
        <w:t xml:space="preserve"> </w:t>
      </w:r>
    </w:p>
    <w:p w14:paraId="38413DEA" w14:textId="77777777" w:rsidR="00F55A14" w:rsidRPr="004979D2" w:rsidRDefault="00F55A14" w:rsidP="002B1BC6">
      <w:pPr>
        <w:pStyle w:val="Caption"/>
        <w:spacing w:line="360" w:lineRule="auto"/>
        <w:rPr>
          <w:rFonts w:ascii="Times New Roman" w:hAnsi="Times New Roman" w:cs="Times New Roman"/>
          <w:sz w:val="24"/>
          <w:szCs w:val="24"/>
        </w:rPr>
      </w:pPr>
      <w:r w:rsidRPr="004979D2">
        <w:rPr>
          <w:rFonts w:ascii="Times New Roman" w:hAnsi="Times New Roman" w:cs="Times New Roman"/>
          <w:sz w:val="24"/>
          <w:szCs w:val="24"/>
        </w:rPr>
        <w:t>Figur</w:t>
      </w:r>
      <w:r w:rsidR="00DF1651" w:rsidRPr="004979D2">
        <w:rPr>
          <w:rFonts w:ascii="Times New Roman" w:hAnsi="Times New Roman" w:cs="Times New Roman"/>
          <w:sz w:val="24"/>
          <w:szCs w:val="24"/>
        </w:rPr>
        <w:t>a</w:t>
      </w:r>
      <w:r w:rsidR="008904AB" w:rsidRPr="004979D2">
        <w:rPr>
          <w:rFonts w:ascii="Times New Roman" w:hAnsi="Times New Roman" w:cs="Times New Roman"/>
          <w:sz w:val="24"/>
          <w:szCs w:val="24"/>
        </w:rPr>
        <w:t xml:space="preserve"> 13</w:t>
      </w:r>
      <w:r w:rsidRPr="004979D2">
        <w:rPr>
          <w:rFonts w:ascii="Times New Roman" w:hAnsi="Times New Roman" w:cs="Times New Roman"/>
          <w:sz w:val="24"/>
          <w:szCs w:val="24"/>
        </w:rPr>
        <w:t xml:space="preserve">: </w:t>
      </w:r>
      <w:r w:rsidR="00DF1651" w:rsidRPr="004979D2">
        <w:rPr>
          <w:rFonts w:ascii="Times New Roman" w:hAnsi="Times New Roman" w:cs="Times New Roman"/>
          <w:sz w:val="24"/>
          <w:szCs w:val="24"/>
        </w:rPr>
        <w:t>Krahasimi i opsioneve</w:t>
      </w:r>
    </w:p>
    <w:tbl>
      <w:tblPr>
        <w:tblStyle w:val="TableGrid"/>
        <w:tblW w:w="5891" w:type="pct"/>
        <w:tblInd w:w="-702" w:type="dxa"/>
        <w:tblLayout w:type="fixed"/>
        <w:tblLook w:val="04A0" w:firstRow="1" w:lastRow="0" w:firstColumn="1" w:lastColumn="0" w:noHBand="0" w:noVBand="1"/>
      </w:tblPr>
      <w:tblGrid>
        <w:gridCol w:w="1611"/>
        <w:gridCol w:w="580"/>
        <w:gridCol w:w="580"/>
        <w:gridCol w:w="580"/>
        <w:gridCol w:w="1249"/>
        <w:gridCol w:w="1324"/>
        <w:gridCol w:w="1147"/>
        <w:gridCol w:w="1149"/>
        <w:gridCol w:w="1238"/>
        <w:gridCol w:w="1612"/>
      </w:tblGrid>
      <w:tr w:rsidR="00F55A14" w:rsidRPr="004979D2" w14:paraId="2A6B7A29" w14:textId="77777777" w:rsidTr="00B11DC4">
        <w:tc>
          <w:tcPr>
            <w:tcW w:w="5000" w:type="pct"/>
            <w:gridSpan w:val="10"/>
          </w:tcPr>
          <w:p w14:paraId="39F11499" w14:textId="77777777" w:rsidR="00F55A14" w:rsidRPr="004979D2" w:rsidRDefault="00336118"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Metoda e krahasimit</w:t>
            </w:r>
            <w:r w:rsidR="00F55A14" w:rsidRPr="004979D2">
              <w:rPr>
                <w:rFonts w:ascii="Times New Roman" w:hAnsi="Times New Roman" w:cs="Times New Roman"/>
                <w:b/>
                <w:sz w:val="24"/>
                <w:szCs w:val="24"/>
              </w:rPr>
              <w:t xml:space="preserve">: </w:t>
            </w:r>
          </w:p>
          <w:p w14:paraId="70AFFC35" w14:textId="77777777" w:rsidR="00F55A14" w:rsidRPr="004979D2" w:rsidRDefault="00F55A14" w:rsidP="002B1BC6">
            <w:pPr>
              <w:spacing w:line="360" w:lineRule="auto"/>
              <w:rPr>
                <w:rFonts w:ascii="Times New Roman" w:hAnsi="Times New Roman" w:cs="Times New Roman"/>
                <w:sz w:val="24"/>
                <w:szCs w:val="24"/>
              </w:rPr>
            </w:pPr>
          </w:p>
        </w:tc>
      </w:tr>
      <w:tr w:rsidR="00DB5E2A" w:rsidRPr="004979D2" w14:paraId="7F241175" w14:textId="77777777" w:rsidTr="00B11DC4">
        <w:tc>
          <w:tcPr>
            <w:tcW w:w="728" w:type="pct"/>
          </w:tcPr>
          <w:p w14:paraId="783A48F0" w14:textId="77777777" w:rsidR="00F55A14" w:rsidRPr="004979D2" w:rsidRDefault="00F55A14" w:rsidP="002B1BC6">
            <w:pPr>
              <w:spacing w:line="360" w:lineRule="auto"/>
              <w:rPr>
                <w:rFonts w:ascii="Times New Roman" w:hAnsi="Times New Roman" w:cs="Times New Roman"/>
                <w:b/>
                <w:sz w:val="24"/>
                <w:szCs w:val="24"/>
              </w:rPr>
            </w:pPr>
          </w:p>
        </w:tc>
        <w:tc>
          <w:tcPr>
            <w:tcW w:w="785" w:type="pct"/>
            <w:gridSpan w:val="3"/>
          </w:tcPr>
          <w:p w14:paraId="6F0D1B6B" w14:textId="77777777" w:rsidR="00F55A14" w:rsidRPr="004979D2" w:rsidRDefault="00F55A14"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Op</w:t>
            </w:r>
            <w:r w:rsidR="00336118" w:rsidRPr="004979D2">
              <w:rPr>
                <w:rFonts w:ascii="Times New Roman" w:hAnsi="Times New Roman" w:cs="Times New Roman"/>
                <w:b/>
                <w:sz w:val="24"/>
                <w:szCs w:val="24"/>
              </w:rPr>
              <w:t>s</w:t>
            </w:r>
            <w:r w:rsidRPr="004979D2">
              <w:rPr>
                <w:rFonts w:ascii="Times New Roman" w:hAnsi="Times New Roman" w:cs="Times New Roman"/>
                <w:b/>
                <w:sz w:val="24"/>
                <w:szCs w:val="24"/>
              </w:rPr>
              <w:t>ion</w:t>
            </w:r>
            <w:r w:rsidR="00336118" w:rsidRPr="004979D2">
              <w:rPr>
                <w:rFonts w:ascii="Times New Roman" w:hAnsi="Times New Roman" w:cs="Times New Roman"/>
                <w:b/>
                <w:sz w:val="24"/>
                <w:szCs w:val="24"/>
              </w:rPr>
              <w:t>i</w:t>
            </w:r>
            <w:r w:rsidRPr="004979D2">
              <w:rPr>
                <w:rFonts w:ascii="Times New Roman" w:hAnsi="Times New Roman" w:cs="Times New Roman"/>
                <w:b/>
                <w:sz w:val="24"/>
                <w:szCs w:val="24"/>
              </w:rPr>
              <w:t xml:space="preserve"> 1: </w:t>
            </w:r>
            <w:r w:rsidR="00674773" w:rsidRPr="004979D2">
              <w:rPr>
                <w:rFonts w:ascii="Times New Roman" w:hAnsi="Times New Roman" w:cs="Times New Roman"/>
                <w:b/>
                <w:sz w:val="24"/>
                <w:szCs w:val="24"/>
              </w:rPr>
              <w:t>A</w:t>
            </w:r>
            <w:r w:rsidR="00336118" w:rsidRPr="004979D2">
              <w:rPr>
                <w:rFonts w:ascii="Times New Roman" w:hAnsi="Times New Roman" w:cs="Times New Roman"/>
                <w:b/>
                <w:sz w:val="24"/>
                <w:szCs w:val="24"/>
              </w:rPr>
              <w:t>snjë ndryshim</w:t>
            </w:r>
          </w:p>
        </w:tc>
        <w:tc>
          <w:tcPr>
            <w:tcW w:w="1680" w:type="pct"/>
            <w:gridSpan w:val="3"/>
          </w:tcPr>
          <w:p w14:paraId="64E1B801" w14:textId="77777777" w:rsidR="00F55A14" w:rsidRPr="004979D2" w:rsidRDefault="00F55A14"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Op</w:t>
            </w:r>
            <w:r w:rsidR="00336118" w:rsidRPr="004979D2">
              <w:rPr>
                <w:rFonts w:ascii="Times New Roman" w:hAnsi="Times New Roman" w:cs="Times New Roman"/>
                <w:b/>
                <w:sz w:val="24"/>
                <w:szCs w:val="24"/>
              </w:rPr>
              <w:t>s</w:t>
            </w:r>
            <w:r w:rsidRPr="004979D2">
              <w:rPr>
                <w:rFonts w:ascii="Times New Roman" w:hAnsi="Times New Roman" w:cs="Times New Roman"/>
                <w:b/>
                <w:sz w:val="24"/>
                <w:szCs w:val="24"/>
              </w:rPr>
              <w:t>ion</w:t>
            </w:r>
            <w:r w:rsidR="00336118" w:rsidRPr="004979D2">
              <w:rPr>
                <w:rFonts w:ascii="Times New Roman" w:hAnsi="Times New Roman" w:cs="Times New Roman"/>
                <w:b/>
                <w:sz w:val="24"/>
                <w:szCs w:val="24"/>
              </w:rPr>
              <w:t>i</w:t>
            </w:r>
            <w:r w:rsidRPr="004979D2">
              <w:rPr>
                <w:rFonts w:ascii="Times New Roman" w:hAnsi="Times New Roman" w:cs="Times New Roman"/>
                <w:b/>
                <w:sz w:val="24"/>
                <w:szCs w:val="24"/>
              </w:rPr>
              <w:t xml:space="preserve"> 2: </w:t>
            </w:r>
            <w:r w:rsidR="00BF32EC" w:rsidRPr="004979D2">
              <w:rPr>
                <w:rFonts w:ascii="Times New Roman" w:hAnsi="Times New Roman" w:cs="Times New Roman"/>
                <w:b/>
                <w:sz w:val="24"/>
                <w:szCs w:val="24"/>
              </w:rPr>
              <w:t>Hartimi i Ligjit të ri për Mbrojtjen e Konkurrencës</w:t>
            </w:r>
          </w:p>
        </w:tc>
        <w:tc>
          <w:tcPr>
            <w:tcW w:w="1807" w:type="pct"/>
            <w:gridSpan w:val="3"/>
          </w:tcPr>
          <w:p w14:paraId="425CDA00" w14:textId="77777777" w:rsidR="00F55A14" w:rsidRPr="004979D2" w:rsidRDefault="00F55A14"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Op</w:t>
            </w:r>
            <w:r w:rsidR="00336118" w:rsidRPr="004979D2">
              <w:rPr>
                <w:rFonts w:ascii="Times New Roman" w:hAnsi="Times New Roman" w:cs="Times New Roman"/>
                <w:b/>
                <w:sz w:val="24"/>
                <w:szCs w:val="24"/>
              </w:rPr>
              <w:t>s</w:t>
            </w:r>
            <w:r w:rsidRPr="004979D2">
              <w:rPr>
                <w:rFonts w:ascii="Times New Roman" w:hAnsi="Times New Roman" w:cs="Times New Roman"/>
                <w:b/>
                <w:sz w:val="24"/>
                <w:szCs w:val="24"/>
              </w:rPr>
              <w:t>ion</w:t>
            </w:r>
            <w:r w:rsidR="00336118" w:rsidRPr="004979D2">
              <w:rPr>
                <w:rFonts w:ascii="Times New Roman" w:hAnsi="Times New Roman" w:cs="Times New Roman"/>
                <w:b/>
                <w:sz w:val="24"/>
                <w:szCs w:val="24"/>
              </w:rPr>
              <w:t>i</w:t>
            </w:r>
            <w:r w:rsidRPr="004979D2">
              <w:rPr>
                <w:rFonts w:ascii="Times New Roman" w:hAnsi="Times New Roman" w:cs="Times New Roman"/>
                <w:b/>
                <w:sz w:val="24"/>
                <w:szCs w:val="24"/>
              </w:rPr>
              <w:t xml:space="preserve"> 3: </w:t>
            </w:r>
            <w:r w:rsidR="00827A96" w:rsidRPr="004979D2">
              <w:rPr>
                <w:rFonts w:ascii="Times New Roman" w:hAnsi="Times New Roman" w:cs="Times New Roman"/>
                <w:b/>
                <w:sz w:val="24"/>
                <w:szCs w:val="24"/>
              </w:rPr>
              <w:t>Ngritja e kapaciteteve profesionale</w:t>
            </w:r>
            <w:r w:rsidR="008753CB" w:rsidRPr="004979D2">
              <w:rPr>
                <w:rFonts w:ascii="Times New Roman" w:hAnsi="Times New Roman" w:cs="Times New Roman"/>
                <w:b/>
                <w:sz w:val="24"/>
                <w:szCs w:val="24"/>
              </w:rPr>
              <w:t xml:space="preserve"> të </w:t>
            </w:r>
            <w:r w:rsidR="00827A96" w:rsidRPr="004979D2">
              <w:rPr>
                <w:rFonts w:ascii="Times New Roman" w:hAnsi="Times New Roman" w:cs="Times New Roman"/>
                <w:b/>
                <w:sz w:val="24"/>
                <w:szCs w:val="24"/>
              </w:rPr>
              <w:t>AKK</w:t>
            </w:r>
          </w:p>
        </w:tc>
      </w:tr>
      <w:tr w:rsidR="00DB5E2A" w:rsidRPr="004979D2" w14:paraId="12BEB1A2" w14:textId="77777777" w:rsidTr="00B11DC4">
        <w:tc>
          <w:tcPr>
            <w:tcW w:w="728" w:type="pct"/>
          </w:tcPr>
          <w:p w14:paraId="25BE9F14" w14:textId="77777777" w:rsidR="00F55A14" w:rsidRPr="004979D2" w:rsidRDefault="00827A96" w:rsidP="002B1BC6">
            <w:pPr>
              <w:spacing w:line="360" w:lineRule="auto"/>
              <w:rPr>
                <w:rFonts w:ascii="Times New Roman" w:hAnsi="Times New Roman" w:cs="Times New Roman"/>
                <w:sz w:val="24"/>
                <w:szCs w:val="24"/>
              </w:rPr>
            </w:pPr>
            <w:r w:rsidRPr="004979D2">
              <w:rPr>
                <w:rFonts w:ascii="Times New Roman" w:hAnsi="Times New Roman" w:cs="Times New Roman"/>
                <w:b/>
                <w:sz w:val="24"/>
                <w:szCs w:val="24"/>
              </w:rPr>
              <w:t>Ndikimet relevante pozitive</w:t>
            </w:r>
          </w:p>
        </w:tc>
        <w:tc>
          <w:tcPr>
            <w:tcW w:w="785" w:type="pct"/>
            <w:gridSpan w:val="3"/>
          </w:tcPr>
          <w:p w14:paraId="1CE9998F" w14:textId="77777777" w:rsidR="00F55A14" w:rsidRPr="004979D2" w:rsidRDefault="00827A96"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Nuk do t</w:t>
            </w:r>
            <w:r w:rsidR="00511DD8" w:rsidRPr="004979D2">
              <w:rPr>
                <w:rFonts w:ascii="Times New Roman" w:hAnsi="Times New Roman" w:cs="Times New Roman"/>
                <w:sz w:val="24"/>
                <w:szCs w:val="24"/>
              </w:rPr>
              <w:t>ë</w:t>
            </w:r>
            <w:r w:rsidRPr="004979D2">
              <w:rPr>
                <w:rFonts w:ascii="Times New Roman" w:hAnsi="Times New Roman" w:cs="Times New Roman"/>
                <w:sz w:val="24"/>
                <w:szCs w:val="24"/>
              </w:rPr>
              <w:t xml:space="preserve"> ketë ndikim pozitiv</w:t>
            </w:r>
          </w:p>
          <w:p w14:paraId="48B4CDE1" w14:textId="77777777" w:rsidR="00E152BB" w:rsidRPr="004979D2" w:rsidRDefault="00E152B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w:t>
            </w:r>
          </w:p>
        </w:tc>
        <w:tc>
          <w:tcPr>
            <w:tcW w:w="1680" w:type="pct"/>
            <w:gridSpan w:val="3"/>
          </w:tcPr>
          <w:p w14:paraId="5B4AFCCA" w14:textId="77777777" w:rsidR="00F55A14" w:rsidRPr="004979D2" w:rsidRDefault="00827A96"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Do t</w:t>
            </w:r>
            <w:r w:rsidR="00511DD8" w:rsidRPr="004979D2">
              <w:rPr>
                <w:rFonts w:ascii="Times New Roman" w:hAnsi="Times New Roman" w:cs="Times New Roman"/>
                <w:sz w:val="24"/>
                <w:szCs w:val="24"/>
              </w:rPr>
              <w:t>ë</w:t>
            </w:r>
            <w:r w:rsidRPr="004979D2">
              <w:rPr>
                <w:rFonts w:ascii="Times New Roman" w:hAnsi="Times New Roman" w:cs="Times New Roman"/>
                <w:sz w:val="24"/>
                <w:szCs w:val="24"/>
              </w:rPr>
              <w:t xml:space="preserve"> adresoj problemin e identifikuar duke ulur ndikimin e efekteve </w:t>
            </w:r>
          </w:p>
          <w:p w14:paraId="66D0B93B" w14:textId="77777777" w:rsidR="00E152BB" w:rsidRPr="004979D2" w:rsidRDefault="00E152B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w:t>
            </w:r>
          </w:p>
        </w:tc>
        <w:tc>
          <w:tcPr>
            <w:tcW w:w="1807" w:type="pct"/>
            <w:gridSpan w:val="3"/>
          </w:tcPr>
          <w:p w14:paraId="705F0331" w14:textId="77777777" w:rsidR="00F55A14" w:rsidRPr="004979D2" w:rsidRDefault="00827A96"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Nuk do t</w:t>
            </w:r>
            <w:r w:rsidR="00511DD8" w:rsidRPr="004979D2">
              <w:rPr>
                <w:rFonts w:ascii="Times New Roman" w:hAnsi="Times New Roman" w:cs="Times New Roman"/>
                <w:sz w:val="24"/>
                <w:szCs w:val="24"/>
              </w:rPr>
              <w:t>ë</w:t>
            </w:r>
            <w:r w:rsidRPr="004979D2">
              <w:rPr>
                <w:rFonts w:ascii="Times New Roman" w:hAnsi="Times New Roman" w:cs="Times New Roman"/>
                <w:sz w:val="24"/>
                <w:szCs w:val="24"/>
              </w:rPr>
              <w:t xml:space="preserve"> ketë ndikim n</w:t>
            </w:r>
            <w:r w:rsidR="00511DD8" w:rsidRPr="004979D2">
              <w:rPr>
                <w:rFonts w:ascii="Times New Roman" w:hAnsi="Times New Roman" w:cs="Times New Roman"/>
                <w:sz w:val="24"/>
                <w:szCs w:val="24"/>
              </w:rPr>
              <w:t>ë</w:t>
            </w:r>
            <w:r w:rsidRPr="004979D2">
              <w:rPr>
                <w:rFonts w:ascii="Times New Roman" w:hAnsi="Times New Roman" w:cs="Times New Roman"/>
                <w:sz w:val="24"/>
                <w:szCs w:val="24"/>
              </w:rPr>
              <w:t xml:space="preserve"> adresimin e problemit n</w:t>
            </w:r>
            <w:r w:rsidR="00511DD8" w:rsidRPr="004979D2">
              <w:rPr>
                <w:rFonts w:ascii="Times New Roman" w:hAnsi="Times New Roman" w:cs="Times New Roman"/>
                <w:sz w:val="24"/>
                <w:szCs w:val="24"/>
              </w:rPr>
              <w:t>ë</w:t>
            </w:r>
            <w:r w:rsidRPr="004979D2">
              <w:rPr>
                <w:rFonts w:ascii="Times New Roman" w:hAnsi="Times New Roman" w:cs="Times New Roman"/>
                <w:sz w:val="24"/>
                <w:szCs w:val="24"/>
              </w:rPr>
              <w:t xml:space="preserve"> masën e duhur si dhe </w:t>
            </w:r>
            <w:r w:rsidR="00CD6B5A" w:rsidRPr="004979D2">
              <w:rPr>
                <w:rFonts w:ascii="Times New Roman" w:hAnsi="Times New Roman" w:cs="Times New Roman"/>
                <w:sz w:val="24"/>
                <w:szCs w:val="24"/>
              </w:rPr>
              <w:t xml:space="preserve">nuk </w:t>
            </w:r>
            <w:r w:rsidRPr="004979D2">
              <w:rPr>
                <w:rFonts w:ascii="Times New Roman" w:hAnsi="Times New Roman" w:cs="Times New Roman"/>
                <w:sz w:val="24"/>
                <w:szCs w:val="24"/>
              </w:rPr>
              <w:t>do t</w:t>
            </w:r>
            <w:r w:rsidR="00511DD8" w:rsidRPr="004979D2">
              <w:rPr>
                <w:rFonts w:ascii="Times New Roman" w:hAnsi="Times New Roman" w:cs="Times New Roman"/>
                <w:sz w:val="24"/>
                <w:szCs w:val="24"/>
              </w:rPr>
              <w:t>ë</w:t>
            </w:r>
            <w:r w:rsidRPr="004979D2">
              <w:rPr>
                <w:rFonts w:ascii="Times New Roman" w:hAnsi="Times New Roman" w:cs="Times New Roman"/>
                <w:sz w:val="24"/>
                <w:szCs w:val="24"/>
              </w:rPr>
              <w:t xml:space="preserve"> ketë kosto </w:t>
            </w:r>
            <w:r w:rsidR="00466D84" w:rsidRPr="004979D2">
              <w:rPr>
                <w:rFonts w:ascii="Times New Roman" w:hAnsi="Times New Roman" w:cs="Times New Roman"/>
                <w:sz w:val="24"/>
                <w:szCs w:val="24"/>
              </w:rPr>
              <w:t xml:space="preserve">më </w:t>
            </w:r>
            <w:r w:rsidRPr="004979D2">
              <w:rPr>
                <w:rFonts w:ascii="Times New Roman" w:hAnsi="Times New Roman" w:cs="Times New Roman"/>
                <w:sz w:val="24"/>
                <w:szCs w:val="24"/>
              </w:rPr>
              <w:t>t</w:t>
            </w:r>
            <w:r w:rsidR="00511DD8" w:rsidRPr="004979D2">
              <w:rPr>
                <w:rFonts w:ascii="Times New Roman" w:hAnsi="Times New Roman" w:cs="Times New Roman"/>
                <w:sz w:val="24"/>
                <w:szCs w:val="24"/>
              </w:rPr>
              <w:t>ë</w:t>
            </w:r>
            <w:r w:rsidRPr="004979D2">
              <w:rPr>
                <w:rFonts w:ascii="Times New Roman" w:hAnsi="Times New Roman" w:cs="Times New Roman"/>
                <w:sz w:val="24"/>
                <w:szCs w:val="24"/>
              </w:rPr>
              <w:t xml:space="preserve"> lart</w:t>
            </w:r>
            <w:r w:rsidR="00511DD8" w:rsidRPr="004979D2">
              <w:rPr>
                <w:rFonts w:ascii="Times New Roman" w:hAnsi="Times New Roman" w:cs="Times New Roman"/>
                <w:sz w:val="24"/>
                <w:szCs w:val="24"/>
              </w:rPr>
              <w:t>ë</w:t>
            </w:r>
            <w:r w:rsidRPr="004979D2">
              <w:rPr>
                <w:rFonts w:ascii="Times New Roman" w:hAnsi="Times New Roman" w:cs="Times New Roman"/>
                <w:sz w:val="24"/>
                <w:szCs w:val="24"/>
              </w:rPr>
              <w:t xml:space="preserve"> n</w:t>
            </w:r>
            <w:r w:rsidR="00511DD8" w:rsidRPr="004979D2">
              <w:rPr>
                <w:rFonts w:ascii="Times New Roman" w:hAnsi="Times New Roman" w:cs="Times New Roman"/>
                <w:sz w:val="24"/>
                <w:szCs w:val="24"/>
              </w:rPr>
              <w:t>ë</w:t>
            </w:r>
            <w:r w:rsidRPr="004979D2">
              <w:rPr>
                <w:rFonts w:ascii="Times New Roman" w:hAnsi="Times New Roman" w:cs="Times New Roman"/>
                <w:sz w:val="24"/>
                <w:szCs w:val="24"/>
              </w:rPr>
              <w:t xml:space="preserve"> buxhet.</w:t>
            </w:r>
          </w:p>
          <w:p w14:paraId="080A6B2F" w14:textId="77777777" w:rsidR="00E152BB" w:rsidRPr="004979D2" w:rsidRDefault="00E152B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w:t>
            </w:r>
          </w:p>
        </w:tc>
      </w:tr>
      <w:tr w:rsidR="00DB5E2A" w:rsidRPr="004979D2" w14:paraId="60A609EF" w14:textId="77777777" w:rsidTr="00B11DC4">
        <w:tc>
          <w:tcPr>
            <w:tcW w:w="728" w:type="pct"/>
          </w:tcPr>
          <w:p w14:paraId="38B1593C" w14:textId="77777777" w:rsidR="007E669F" w:rsidRPr="004979D2" w:rsidRDefault="007E669F" w:rsidP="002B1BC6">
            <w:pPr>
              <w:spacing w:line="360" w:lineRule="auto"/>
              <w:rPr>
                <w:rFonts w:ascii="Times New Roman" w:hAnsi="Times New Roman" w:cs="Times New Roman"/>
                <w:b/>
                <w:sz w:val="24"/>
                <w:szCs w:val="24"/>
              </w:rPr>
            </w:pPr>
          </w:p>
          <w:p w14:paraId="06B93448" w14:textId="77777777" w:rsidR="00F55A14" w:rsidRPr="004979D2" w:rsidRDefault="00336118" w:rsidP="002B1BC6">
            <w:pPr>
              <w:spacing w:line="360" w:lineRule="auto"/>
              <w:rPr>
                <w:rFonts w:ascii="Times New Roman" w:hAnsi="Times New Roman" w:cs="Times New Roman"/>
                <w:sz w:val="24"/>
                <w:szCs w:val="24"/>
              </w:rPr>
            </w:pPr>
            <w:r w:rsidRPr="004979D2">
              <w:rPr>
                <w:rFonts w:ascii="Times New Roman" w:hAnsi="Times New Roman" w:cs="Times New Roman"/>
                <w:b/>
                <w:sz w:val="24"/>
                <w:szCs w:val="24"/>
              </w:rPr>
              <w:t>Ndikimet relevante negative</w:t>
            </w:r>
          </w:p>
        </w:tc>
        <w:tc>
          <w:tcPr>
            <w:tcW w:w="785" w:type="pct"/>
            <w:gridSpan w:val="3"/>
          </w:tcPr>
          <w:p w14:paraId="0A176DB3" w14:textId="77777777" w:rsidR="00F55A14" w:rsidRPr="004979D2" w:rsidRDefault="00827A96"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Do t</w:t>
            </w:r>
            <w:r w:rsidR="00511DD8" w:rsidRPr="004979D2">
              <w:rPr>
                <w:rFonts w:ascii="Times New Roman" w:hAnsi="Times New Roman" w:cs="Times New Roman"/>
                <w:sz w:val="24"/>
                <w:szCs w:val="24"/>
              </w:rPr>
              <w:t>ë</w:t>
            </w:r>
            <w:r w:rsidRPr="004979D2">
              <w:rPr>
                <w:rFonts w:ascii="Times New Roman" w:hAnsi="Times New Roman" w:cs="Times New Roman"/>
                <w:sz w:val="24"/>
                <w:szCs w:val="24"/>
              </w:rPr>
              <w:t xml:space="preserve"> ruaj status </w:t>
            </w:r>
            <w:proofErr w:type="spellStart"/>
            <w:r w:rsidRPr="004979D2">
              <w:rPr>
                <w:rFonts w:ascii="Times New Roman" w:hAnsi="Times New Roman" w:cs="Times New Roman"/>
                <w:sz w:val="24"/>
                <w:szCs w:val="24"/>
              </w:rPr>
              <w:t>quon</w:t>
            </w:r>
            <w:proofErr w:type="spellEnd"/>
            <w:r w:rsidRPr="004979D2">
              <w:rPr>
                <w:rFonts w:ascii="Times New Roman" w:hAnsi="Times New Roman" w:cs="Times New Roman"/>
                <w:sz w:val="24"/>
                <w:szCs w:val="24"/>
              </w:rPr>
              <w:t xml:space="preserve"> e problemit kryesor</w:t>
            </w:r>
          </w:p>
          <w:p w14:paraId="3FD820B4" w14:textId="77777777" w:rsidR="00E152BB" w:rsidRPr="004979D2" w:rsidRDefault="00E152B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w:t>
            </w:r>
          </w:p>
        </w:tc>
        <w:tc>
          <w:tcPr>
            <w:tcW w:w="1680" w:type="pct"/>
            <w:gridSpan w:val="3"/>
          </w:tcPr>
          <w:p w14:paraId="616B6777" w14:textId="77777777" w:rsidR="00F55A14" w:rsidRPr="004979D2" w:rsidRDefault="00827A96"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Nuk do t</w:t>
            </w:r>
            <w:r w:rsidR="00511DD8" w:rsidRPr="004979D2">
              <w:rPr>
                <w:rFonts w:ascii="Times New Roman" w:hAnsi="Times New Roman" w:cs="Times New Roman"/>
                <w:sz w:val="24"/>
                <w:szCs w:val="24"/>
              </w:rPr>
              <w:t>ë</w:t>
            </w:r>
            <w:r w:rsidRPr="004979D2">
              <w:rPr>
                <w:rFonts w:ascii="Times New Roman" w:hAnsi="Times New Roman" w:cs="Times New Roman"/>
                <w:sz w:val="24"/>
                <w:szCs w:val="24"/>
              </w:rPr>
              <w:t xml:space="preserve"> ketë ndikim negativ</w:t>
            </w:r>
          </w:p>
          <w:p w14:paraId="706D2468" w14:textId="77777777" w:rsidR="00E152BB" w:rsidRPr="004979D2" w:rsidRDefault="00E152B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w:t>
            </w:r>
          </w:p>
        </w:tc>
        <w:tc>
          <w:tcPr>
            <w:tcW w:w="1807" w:type="pct"/>
            <w:gridSpan w:val="3"/>
          </w:tcPr>
          <w:p w14:paraId="261AA45E" w14:textId="77777777" w:rsidR="00F55A14" w:rsidRPr="004979D2" w:rsidRDefault="00827A96"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N</w:t>
            </w:r>
            <w:r w:rsidR="00511DD8" w:rsidRPr="004979D2">
              <w:rPr>
                <w:rFonts w:ascii="Times New Roman" w:hAnsi="Times New Roman" w:cs="Times New Roman"/>
                <w:sz w:val="24"/>
                <w:szCs w:val="24"/>
              </w:rPr>
              <w:t>ë</w:t>
            </w:r>
            <w:r w:rsidRPr="004979D2">
              <w:rPr>
                <w:rFonts w:ascii="Times New Roman" w:hAnsi="Times New Roman" w:cs="Times New Roman"/>
                <w:sz w:val="24"/>
                <w:szCs w:val="24"/>
              </w:rPr>
              <w:t xml:space="preserve"> mas</w:t>
            </w:r>
            <w:r w:rsidR="00511DD8" w:rsidRPr="004979D2">
              <w:rPr>
                <w:rFonts w:ascii="Times New Roman" w:hAnsi="Times New Roman" w:cs="Times New Roman"/>
                <w:sz w:val="24"/>
                <w:szCs w:val="24"/>
              </w:rPr>
              <w:t>ë</w:t>
            </w:r>
            <w:r w:rsidRPr="004979D2">
              <w:rPr>
                <w:rFonts w:ascii="Times New Roman" w:hAnsi="Times New Roman" w:cs="Times New Roman"/>
                <w:sz w:val="24"/>
                <w:szCs w:val="24"/>
              </w:rPr>
              <w:t xml:space="preserve"> t</w:t>
            </w:r>
            <w:r w:rsidR="00511DD8" w:rsidRPr="004979D2">
              <w:rPr>
                <w:rFonts w:ascii="Times New Roman" w:hAnsi="Times New Roman" w:cs="Times New Roman"/>
                <w:sz w:val="24"/>
                <w:szCs w:val="24"/>
              </w:rPr>
              <w:t>ë</w:t>
            </w:r>
            <w:r w:rsidRPr="004979D2">
              <w:rPr>
                <w:rFonts w:ascii="Times New Roman" w:hAnsi="Times New Roman" w:cs="Times New Roman"/>
                <w:sz w:val="24"/>
                <w:szCs w:val="24"/>
              </w:rPr>
              <w:t xml:space="preserve"> madhe do t</w:t>
            </w:r>
            <w:r w:rsidR="00511DD8" w:rsidRPr="004979D2">
              <w:rPr>
                <w:rFonts w:ascii="Times New Roman" w:hAnsi="Times New Roman" w:cs="Times New Roman"/>
                <w:sz w:val="24"/>
                <w:szCs w:val="24"/>
              </w:rPr>
              <w:t>ë</w:t>
            </w:r>
            <w:r w:rsidRPr="004979D2">
              <w:rPr>
                <w:rFonts w:ascii="Times New Roman" w:hAnsi="Times New Roman" w:cs="Times New Roman"/>
                <w:sz w:val="24"/>
                <w:szCs w:val="24"/>
              </w:rPr>
              <w:t xml:space="preserve"> ruaj status </w:t>
            </w:r>
            <w:proofErr w:type="spellStart"/>
            <w:r w:rsidRPr="004979D2">
              <w:rPr>
                <w:rFonts w:ascii="Times New Roman" w:hAnsi="Times New Roman" w:cs="Times New Roman"/>
                <w:sz w:val="24"/>
                <w:szCs w:val="24"/>
              </w:rPr>
              <w:t>quo</w:t>
            </w:r>
            <w:r w:rsidR="00EE2866" w:rsidRPr="004979D2">
              <w:rPr>
                <w:rFonts w:ascii="Times New Roman" w:hAnsi="Times New Roman" w:cs="Times New Roman"/>
                <w:sz w:val="24"/>
                <w:szCs w:val="24"/>
              </w:rPr>
              <w:t>n</w:t>
            </w:r>
            <w:proofErr w:type="spellEnd"/>
            <w:r w:rsidRPr="004979D2">
              <w:rPr>
                <w:rFonts w:ascii="Times New Roman" w:hAnsi="Times New Roman" w:cs="Times New Roman"/>
                <w:sz w:val="24"/>
                <w:szCs w:val="24"/>
              </w:rPr>
              <w:t xml:space="preserve"> ose do t</w:t>
            </w:r>
            <w:r w:rsidR="00511DD8" w:rsidRPr="004979D2">
              <w:rPr>
                <w:rFonts w:ascii="Times New Roman" w:hAnsi="Times New Roman" w:cs="Times New Roman"/>
                <w:sz w:val="24"/>
                <w:szCs w:val="24"/>
              </w:rPr>
              <w:t>ë</w:t>
            </w:r>
            <w:r w:rsidRPr="004979D2">
              <w:rPr>
                <w:rFonts w:ascii="Times New Roman" w:hAnsi="Times New Roman" w:cs="Times New Roman"/>
                <w:sz w:val="24"/>
                <w:szCs w:val="24"/>
              </w:rPr>
              <w:t xml:space="preserve"> rendoj peshën e efekteve </w:t>
            </w:r>
            <w:r w:rsidR="008753CB" w:rsidRPr="004979D2">
              <w:rPr>
                <w:rFonts w:ascii="Times New Roman" w:hAnsi="Times New Roman" w:cs="Times New Roman"/>
                <w:sz w:val="24"/>
                <w:szCs w:val="24"/>
              </w:rPr>
              <w:t xml:space="preserve"> të </w:t>
            </w:r>
            <w:r w:rsidR="00EE2866" w:rsidRPr="004979D2">
              <w:rPr>
                <w:rFonts w:ascii="Times New Roman" w:hAnsi="Times New Roman" w:cs="Times New Roman"/>
                <w:sz w:val="24"/>
                <w:szCs w:val="24"/>
              </w:rPr>
              <w:t xml:space="preserve">identifikuara edhe pse nuk </w:t>
            </w:r>
            <w:r w:rsidRPr="004979D2">
              <w:rPr>
                <w:rFonts w:ascii="Times New Roman" w:hAnsi="Times New Roman" w:cs="Times New Roman"/>
                <w:sz w:val="24"/>
                <w:szCs w:val="24"/>
              </w:rPr>
              <w:t>do t</w:t>
            </w:r>
            <w:r w:rsidR="00511DD8" w:rsidRPr="004979D2">
              <w:rPr>
                <w:rFonts w:ascii="Times New Roman" w:hAnsi="Times New Roman" w:cs="Times New Roman"/>
                <w:sz w:val="24"/>
                <w:szCs w:val="24"/>
              </w:rPr>
              <w:t>ë</w:t>
            </w:r>
            <w:r w:rsidRPr="004979D2">
              <w:rPr>
                <w:rFonts w:ascii="Times New Roman" w:hAnsi="Times New Roman" w:cs="Times New Roman"/>
                <w:sz w:val="24"/>
                <w:szCs w:val="24"/>
              </w:rPr>
              <w:t xml:space="preserve"> ketë ndikim t</w:t>
            </w:r>
            <w:r w:rsidR="00511DD8" w:rsidRPr="004979D2">
              <w:rPr>
                <w:rFonts w:ascii="Times New Roman" w:hAnsi="Times New Roman" w:cs="Times New Roman"/>
                <w:sz w:val="24"/>
                <w:szCs w:val="24"/>
              </w:rPr>
              <w:t>ë</w:t>
            </w:r>
            <w:r w:rsidRPr="004979D2">
              <w:rPr>
                <w:rFonts w:ascii="Times New Roman" w:hAnsi="Times New Roman" w:cs="Times New Roman"/>
                <w:sz w:val="24"/>
                <w:szCs w:val="24"/>
              </w:rPr>
              <w:t xml:space="preserve"> lart</w:t>
            </w:r>
            <w:r w:rsidR="00511DD8" w:rsidRPr="004979D2">
              <w:rPr>
                <w:rFonts w:ascii="Times New Roman" w:hAnsi="Times New Roman" w:cs="Times New Roman"/>
                <w:sz w:val="24"/>
                <w:szCs w:val="24"/>
              </w:rPr>
              <w:t>ë</w:t>
            </w:r>
            <w:r w:rsidRPr="004979D2">
              <w:rPr>
                <w:rFonts w:ascii="Times New Roman" w:hAnsi="Times New Roman" w:cs="Times New Roman"/>
                <w:sz w:val="24"/>
                <w:szCs w:val="24"/>
              </w:rPr>
              <w:t xml:space="preserve"> n</w:t>
            </w:r>
            <w:r w:rsidR="00511DD8" w:rsidRPr="004979D2">
              <w:rPr>
                <w:rFonts w:ascii="Times New Roman" w:hAnsi="Times New Roman" w:cs="Times New Roman"/>
                <w:sz w:val="24"/>
                <w:szCs w:val="24"/>
              </w:rPr>
              <w:t>ë</w:t>
            </w:r>
            <w:r w:rsidRPr="004979D2">
              <w:rPr>
                <w:rFonts w:ascii="Times New Roman" w:hAnsi="Times New Roman" w:cs="Times New Roman"/>
                <w:sz w:val="24"/>
                <w:szCs w:val="24"/>
              </w:rPr>
              <w:t xml:space="preserve"> buxhet. </w:t>
            </w:r>
          </w:p>
          <w:p w14:paraId="672063EB" w14:textId="77777777" w:rsidR="00E152BB" w:rsidRPr="004979D2" w:rsidRDefault="00E152B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w:t>
            </w:r>
          </w:p>
        </w:tc>
      </w:tr>
      <w:tr w:rsidR="00DB5E2A" w:rsidRPr="004979D2" w14:paraId="628223BC" w14:textId="77777777" w:rsidTr="00B11DC4">
        <w:tc>
          <w:tcPr>
            <w:tcW w:w="728" w:type="pct"/>
          </w:tcPr>
          <w:p w14:paraId="5CD7EE50" w14:textId="77777777" w:rsidR="00F55A14" w:rsidRPr="004979D2" w:rsidRDefault="00336118" w:rsidP="002B1BC6">
            <w:pPr>
              <w:spacing w:line="360" w:lineRule="auto"/>
              <w:rPr>
                <w:rFonts w:ascii="Times New Roman" w:hAnsi="Times New Roman" w:cs="Times New Roman"/>
                <w:sz w:val="24"/>
                <w:szCs w:val="24"/>
              </w:rPr>
            </w:pPr>
            <w:r w:rsidRPr="004979D2">
              <w:rPr>
                <w:rFonts w:ascii="Times New Roman" w:hAnsi="Times New Roman" w:cs="Times New Roman"/>
                <w:b/>
                <w:sz w:val="24"/>
                <w:szCs w:val="24"/>
              </w:rPr>
              <w:t>Kostot relevante</w:t>
            </w:r>
          </w:p>
        </w:tc>
        <w:tc>
          <w:tcPr>
            <w:tcW w:w="785" w:type="pct"/>
            <w:gridSpan w:val="3"/>
          </w:tcPr>
          <w:p w14:paraId="62DE60C1" w14:textId="77777777" w:rsidR="00F55A14" w:rsidRPr="004979D2" w:rsidRDefault="00827A96"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Nuk do t</w:t>
            </w:r>
            <w:r w:rsidR="00511DD8" w:rsidRPr="004979D2">
              <w:rPr>
                <w:rFonts w:ascii="Times New Roman" w:hAnsi="Times New Roman" w:cs="Times New Roman"/>
                <w:sz w:val="24"/>
                <w:szCs w:val="24"/>
              </w:rPr>
              <w:t>ë</w:t>
            </w:r>
            <w:r w:rsidRPr="004979D2">
              <w:rPr>
                <w:rFonts w:ascii="Times New Roman" w:hAnsi="Times New Roman" w:cs="Times New Roman"/>
                <w:sz w:val="24"/>
                <w:szCs w:val="24"/>
              </w:rPr>
              <w:t xml:space="preserve"> krijoj kosto shtese</w:t>
            </w:r>
          </w:p>
          <w:p w14:paraId="0832C952" w14:textId="77777777" w:rsidR="00E152BB" w:rsidRPr="004979D2" w:rsidRDefault="00E152B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w:t>
            </w:r>
          </w:p>
        </w:tc>
        <w:tc>
          <w:tcPr>
            <w:tcW w:w="1680" w:type="pct"/>
            <w:gridSpan w:val="3"/>
          </w:tcPr>
          <w:p w14:paraId="1F621646" w14:textId="77777777" w:rsidR="00F55A14" w:rsidRPr="004979D2" w:rsidRDefault="00662CD0"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Është brenda planifikimeve nga buxheti i AKK.</w:t>
            </w:r>
          </w:p>
          <w:p w14:paraId="10FD39D9" w14:textId="77777777" w:rsidR="00E152BB" w:rsidRPr="004979D2" w:rsidRDefault="00E152B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w:t>
            </w:r>
          </w:p>
        </w:tc>
        <w:tc>
          <w:tcPr>
            <w:tcW w:w="1807" w:type="pct"/>
            <w:gridSpan w:val="3"/>
          </w:tcPr>
          <w:p w14:paraId="5DA0F912" w14:textId="77777777" w:rsidR="00F55A14" w:rsidRPr="004979D2" w:rsidRDefault="00662CD0"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Është brenda planifikimeve</w:t>
            </w:r>
            <w:r w:rsidR="001867B8" w:rsidRPr="004979D2">
              <w:rPr>
                <w:rFonts w:ascii="Times New Roman" w:hAnsi="Times New Roman" w:cs="Times New Roman"/>
                <w:sz w:val="24"/>
                <w:szCs w:val="24"/>
              </w:rPr>
              <w:t xml:space="preserve"> nga buxheti i AKK</w:t>
            </w:r>
            <w:r w:rsidR="00827A96" w:rsidRPr="004979D2">
              <w:rPr>
                <w:rFonts w:ascii="Times New Roman" w:hAnsi="Times New Roman" w:cs="Times New Roman"/>
                <w:sz w:val="24"/>
                <w:szCs w:val="24"/>
              </w:rPr>
              <w:t>.</w:t>
            </w:r>
          </w:p>
          <w:p w14:paraId="03800D12" w14:textId="77777777" w:rsidR="00E152BB" w:rsidRPr="004979D2" w:rsidRDefault="00E152B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w:t>
            </w:r>
          </w:p>
        </w:tc>
      </w:tr>
      <w:tr w:rsidR="00DB5E2A" w:rsidRPr="004979D2" w14:paraId="3C217E19" w14:textId="77777777" w:rsidTr="00B11DC4">
        <w:trPr>
          <w:trHeight w:val="405"/>
        </w:trPr>
        <w:tc>
          <w:tcPr>
            <w:tcW w:w="728" w:type="pct"/>
            <w:vMerge w:val="restart"/>
          </w:tcPr>
          <w:p w14:paraId="35A1C5FA" w14:textId="77777777" w:rsidR="007E669F" w:rsidRPr="004979D2" w:rsidRDefault="0064622A"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Vlerësimi i ndikimit të pritshëm buxhetor</w:t>
            </w:r>
          </w:p>
        </w:tc>
        <w:tc>
          <w:tcPr>
            <w:tcW w:w="262" w:type="pct"/>
          </w:tcPr>
          <w:p w14:paraId="1A34EA21" w14:textId="77777777" w:rsidR="007E669F" w:rsidRPr="004979D2" w:rsidRDefault="00336118"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Viti</w:t>
            </w:r>
            <w:r w:rsidR="007E669F" w:rsidRPr="004979D2">
              <w:rPr>
                <w:rFonts w:ascii="Times New Roman" w:hAnsi="Times New Roman" w:cs="Times New Roman"/>
                <w:sz w:val="24"/>
                <w:szCs w:val="24"/>
              </w:rPr>
              <w:t xml:space="preserve"> 1</w:t>
            </w:r>
          </w:p>
        </w:tc>
        <w:tc>
          <w:tcPr>
            <w:tcW w:w="262" w:type="pct"/>
          </w:tcPr>
          <w:p w14:paraId="7B06B373" w14:textId="77777777" w:rsidR="007E669F" w:rsidRPr="004979D2" w:rsidRDefault="00336118"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Viti</w:t>
            </w:r>
            <w:r w:rsidR="007E669F" w:rsidRPr="004979D2">
              <w:rPr>
                <w:rFonts w:ascii="Times New Roman" w:hAnsi="Times New Roman" w:cs="Times New Roman"/>
                <w:sz w:val="24"/>
                <w:szCs w:val="24"/>
              </w:rPr>
              <w:t xml:space="preserve"> 2</w:t>
            </w:r>
          </w:p>
        </w:tc>
        <w:tc>
          <w:tcPr>
            <w:tcW w:w="262" w:type="pct"/>
          </w:tcPr>
          <w:p w14:paraId="4B1F3D36" w14:textId="77777777" w:rsidR="007E669F" w:rsidRPr="004979D2" w:rsidRDefault="00336118"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Viti</w:t>
            </w:r>
            <w:r w:rsidR="007E669F" w:rsidRPr="004979D2">
              <w:rPr>
                <w:rFonts w:ascii="Times New Roman" w:hAnsi="Times New Roman" w:cs="Times New Roman"/>
                <w:sz w:val="24"/>
                <w:szCs w:val="24"/>
              </w:rPr>
              <w:t xml:space="preserve"> 3</w:t>
            </w:r>
          </w:p>
        </w:tc>
        <w:tc>
          <w:tcPr>
            <w:tcW w:w="564" w:type="pct"/>
          </w:tcPr>
          <w:p w14:paraId="087C12F8" w14:textId="77777777" w:rsidR="007E669F" w:rsidRPr="004979D2" w:rsidRDefault="00336118"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Viti</w:t>
            </w:r>
            <w:r w:rsidR="007E669F" w:rsidRPr="004979D2">
              <w:rPr>
                <w:rFonts w:ascii="Times New Roman" w:hAnsi="Times New Roman" w:cs="Times New Roman"/>
                <w:sz w:val="24"/>
                <w:szCs w:val="24"/>
              </w:rPr>
              <w:t xml:space="preserve"> 1</w:t>
            </w:r>
          </w:p>
        </w:tc>
        <w:tc>
          <w:tcPr>
            <w:tcW w:w="598" w:type="pct"/>
          </w:tcPr>
          <w:p w14:paraId="1AF0591C" w14:textId="77777777" w:rsidR="007E669F" w:rsidRPr="004979D2" w:rsidRDefault="00336118"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Viti</w:t>
            </w:r>
            <w:r w:rsidR="007E669F" w:rsidRPr="004979D2">
              <w:rPr>
                <w:rFonts w:ascii="Times New Roman" w:hAnsi="Times New Roman" w:cs="Times New Roman"/>
                <w:sz w:val="24"/>
                <w:szCs w:val="24"/>
              </w:rPr>
              <w:t xml:space="preserve"> 2</w:t>
            </w:r>
          </w:p>
        </w:tc>
        <w:tc>
          <w:tcPr>
            <w:tcW w:w="518" w:type="pct"/>
          </w:tcPr>
          <w:p w14:paraId="119756AD" w14:textId="77777777" w:rsidR="007E669F" w:rsidRPr="004979D2" w:rsidRDefault="00336118"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Viti</w:t>
            </w:r>
            <w:r w:rsidR="007E669F" w:rsidRPr="004979D2">
              <w:rPr>
                <w:rFonts w:ascii="Times New Roman" w:hAnsi="Times New Roman" w:cs="Times New Roman"/>
                <w:sz w:val="24"/>
                <w:szCs w:val="24"/>
              </w:rPr>
              <w:t xml:space="preserve"> 3</w:t>
            </w:r>
          </w:p>
        </w:tc>
        <w:tc>
          <w:tcPr>
            <w:tcW w:w="519" w:type="pct"/>
          </w:tcPr>
          <w:p w14:paraId="75E4D39B" w14:textId="77777777" w:rsidR="007E669F" w:rsidRPr="004979D2" w:rsidRDefault="00336118"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Viti</w:t>
            </w:r>
            <w:r w:rsidR="007E669F" w:rsidRPr="004979D2">
              <w:rPr>
                <w:rFonts w:ascii="Times New Roman" w:hAnsi="Times New Roman" w:cs="Times New Roman"/>
                <w:sz w:val="24"/>
                <w:szCs w:val="24"/>
              </w:rPr>
              <w:t xml:space="preserve"> 1</w:t>
            </w:r>
          </w:p>
        </w:tc>
        <w:tc>
          <w:tcPr>
            <w:tcW w:w="559" w:type="pct"/>
          </w:tcPr>
          <w:p w14:paraId="6696DA51" w14:textId="77777777" w:rsidR="007E669F" w:rsidRPr="004979D2" w:rsidRDefault="00336118"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Viti</w:t>
            </w:r>
            <w:r w:rsidR="007E669F" w:rsidRPr="004979D2">
              <w:rPr>
                <w:rFonts w:ascii="Times New Roman" w:hAnsi="Times New Roman" w:cs="Times New Roman"/>
                <w:sz w:val="24"/>
                <w:szCs w:val="24"/>
              </w:rPr>
              <w:t xml:space="preserve"> 2</w:t>
            </w:r>
          </w:p>
        </w:tc>
        <w:tc>
          <w:tcPr>
            <w:tcW w:w="729" w:type="pct"/>
          </w:tcPr>
          <w:p w14:paraId="44423CC1" w14:textId="77777777" w:rsidR="007E669F" w:rsidRPr="004979D2" w:rsidRDefault="00336118"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Viti</w:t>
            </w:r>
            <w:r w:rsidR="007E669F" w:rsidRPr="004979D2">
              <w:rPr>
                <w:rFonts w:ascii="Times New Roman" w:hAnsi="Times New Roman" w:cs="Times New Roman"/>
                <w:sz w:val="24"/>
                <w:szCs w:val="24"/>
              </w:rPr>
              <w:t xml:space="preserve"> 3</w:t>
            </w:r>
          </w:p>
        </w:tc>
      </w:tr>
      <w:tr w:rsidR="00DB5E2A" w:rsidRPr="004979D2" w14:paraId="5E04077C" w14:textId="77777777" w:rsidTr="00B11DC4">
        <w:trPr>
          <w:trHeight w:val="405"/>
        </w:trPr>
        <w:tc>
          <w:tcPr>
            <w:tcW w:w="728" w:type="pct"/>
            <w:vMerge/>
          </w:tcPr>
          <w:p w14:paraId="6BEF5195" w14:textId="77777777" w:rsidR="007E669F" w:rsidRPr="004979D2" w:rsidRDefault="007E669F" w:rsidP="002B1BC6">
            <w:pPr>
              <w:spacing w:line="360" w:lineRule="auto"/>
              <w:rPr>
                <w:rFonts w:ascii="Times New Roman" w:hAnsi="Times New Roman" w:cs="Times New Roman"/>
                <w:b/>
                <w:sz w:val="24"/>
                <w:szCs w:val="24"/>
              </w:rPr>
            </w:pPr>
          </w:p>
        </w:tc>
        <w:tc>
          <w:tcPr>
            <w:tcW w:w="262" w:type="pct"/>
          </w:tcPr>
          <w:p w14:paraId="5719AC6D" w14:textId="77777777" w:rsidR="007E669F" w:rsidRPr="004979D2" w:rsidRDefault="00827A96"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0</w:t>
            </w:r>
          </w:p>
        </w:tc>
        <w:tc>
          <w:tcPr>
            <w:tcW w:w="262" w:type="pct"/>
          </w:tcPr>
          <w:p w14:paraId="0EF8AFA3" w14:textId="77777777" w:rsidR="007E669F" w:rsidRPr="004979D2" w:rsidRDefault="00827A96"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0</w:t>
            </w:r>
          </w:p>
        </w:tc>
        <w:tc>
          <w:tcPr>
            <w:tcW w:w="262" w:type="pct"/>
          </w:tcPr>
          <w:p w14:paraId="7576B21D" w14:textId="77777777" w:rsidR="007E669F" w:rsidRPr="004979D2" w:rsidRDefault="00827A96"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0</w:t>
            </w:r>
          </w:p>
        </w:tc>
        <w:tc>
          <w:tcPr>
            <w:tcW w:w="564" w:type="pct"/>
          </w:tcPr>
          <w:p w14:paraId="659C01B0" w14:textId="77777777" w:rsidR="007E669F" w:rsidRPr="004979D2" w:rsidRDefault="00DB5E2A" w:rsidP="002B1BC6">
            <w:pPr>
              <w:spacing w:line="360" w:lineRule="auto"/>
              <w:rPr>
                <w:rFonts w:ascii="Times New Roman" w:hAnsi="Times New Roman" w:cs="Times New Roman"/>
                <w:sz w:val="24"/>
                <w:szCs w:val="24"/>
                <w:highlight w:val="yellow"/>
              </w:rPr>
            </w:pPr>
            <w:r w:rsidRPr="004979D2">
              <w:rPr>
                <w:rFonts w:ascii="Times New Roman" w:hAnsi="Times New Roman" w:cs="Times New Roman"/>
                <w:sz w:val="24"/>
                <w:szCs w:val="24"/>
              </w:rPr>
              <w:t>55,700€</w:t>
            </w:r>
          </w:p>
        </w:tc>
        <w:tc>
          <w:tcPr>
            <w:tcW w:w="598" w:type="pct"/>
          </w:tcPr>
          <w:p w14:paraId="2CF9A038" w14:textId="77777777" w:rsidR="007E669F" w:rsidRPr="004979D2" w:rsidRDefault="00DB5E2A" w:rsidP="002B1BC6">
            <w:pPr>
              <w:spacing w:line="360" w:lineRule="auto"/>
              <w:rPr>
                <w:rFonts w:ascii="Times New Roman" w:hAnsi="Times New Roman" w:cs="Times New Roman"/>
                <w:sz w:val="24"/>
                <w:szCs w:val="24"/>
                <w:highlight w:val="yellow"/>
              </w:rPr>
            </w:pPr>
            <w:r w:rsidRPr="004979D2">
              <w:rPr>
                <w:rFonts w:ascii="Times New Roman" w:hAnsi="Times New Roman" w:cs="Times New Roman"/>
                <w:sz w:val="24"/>
                <w:szCs w:val="24"/>
              </w:rPr>
              <w:t>52,900€</w:t>
            </w:r>
          </w:p>
        </w:tc>
        <w:tc>
          <w:tcPr>
            <w:tcW w:w="518" w:type="pct"/>
          </w:tcPr>
          <w:p w14:paraId="7F8451AB" w14:textId="77777777" w:rsidR="007E669F" w:rsidRPr="004979D2" w:rsidRDefault="00DB5E2A"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49,900€ </w:t>
            </w:r>
          </w:p>
        </w:tc>
        <w:tc>
          <w:tcPr>
            <w:tcW w:w="519" w:type="pct"/>
          </w:tcPr>
          <w:p w14:paraId="123DF859" w14:textId="77777777" w:rsidR="007E669F" w:rsidRPr="004979D2" w:rsidRDefault="00DB5E2A"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62,500€ </w:t>
            </w:r>
          </w:p>
        </w:tc>
        <w:tc>
          <w:tcPr>
            <w:tcW w:w="559" w:type="pct"/>
          </w:tcPr>
          <w:p w14:paraId="6E6D1F1C" w14:textId="77777777" w:rsidR="007E669F" w:rsidRPr="004979D2" w:rsidRDefault="00DB5E2A"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53,800</w:t>
            </w:r>
            <w:r w:rsidR="00DE300F" w:rsidRPr="004979D2">
              <w:rPr>
                <w:rFonts w:ascii="Times New Roman" w:hAnsi="Times New Roman" w:cs="Times New Roman"/>
                <w:sz w:val="24"/>
                <w:szCs w:val="24"/>
              </w:rPr>
              <w:t>€</w:t>
            </w:r>
          </w:p>
        </w:tc>
        <w:tc>
          <w:tcPr>
            <w:tcW w:w="729" w:type="pct"/>
          </w:tcPr>
          <w:p w14:paraId="6B4F5886" w14:textId="77777777" w:rsidR="007E669F" w:rsidRPr="004979D2" w:rsidRDefault="00DB5E2A"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54,100</w:t>
            </w:r>
            <w:r w:rsidR="00DE300F" w:rsidRPr="004979D2">
              <w:rPr>
                <w:rFonts w:ascii="Times New Roman" w:hAnsi="Times New Roman" w:cs="Times New Roman"/>
                <w:sz w:val="24"/>
                <w:szCs w:val="24"/>
              </w:rPr>
              <w:t>€</w:t>
            </w:r>
          </w:p>
        </w:tc>
      </w:tr>
      <w:tr w:rsidR="00DB5E2A" w:rsidRPr="004979D2" w14:paraId="2E0BE056" w14:textId="77777777" w:rsidTr="00B11DC4">
        <w:tc>
          <w:tcPr>
            <w:tcW w:w="728" w:type="pct"/>
          </w:tcPr>
          <w:p w14:paraId="5BA01529" w14:textId="77777777" w:rsidR="007E669F" w:rsidRPr="004979D2" w:rsidRDefault="00C13D3C"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Përfundimi</w:t>
            </w:r>
            <w:r w:rsidR="007E669F" w:rsidRPr="004979D2">
              <w:rPr>
                <w:rFonts w:ascii="Times New Roman" w:hAnsi="Times New Roman" w:cs="Times New Roman"/>
                <w:b/>
                <w:sz w:val="24"/>
                <w:szCs w:val="24"/>
              </w:rPr>
              <w:t xml:space="preserve"> </w:t>
            </w:r>
          </w:p>
        </w:tc>
        <w:tc>
          <w:tcPr>
            <w:tcW w:w="785" w:type="pct"/>
            <w:gridSpan w:val="3"/>
          </w:tcPr>
          <w:p w14:paraId="27589C10" w14:textId="77777777" w:rsidR="007E669F" w:rsidRPr="004979D2" w:rsidRDefault="00827A96"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Nuk Rekomandohet</w:t>
            </w:r>
          </w:p>
        </w:tc>
        <w:tc>
          <w:tcPr>
            <w:tcW w:w="1680" w:type="pct"/>
            <w:gridSpan w:val="3"/>
          </w:tcPr>
          <w:p w14:paraId="0D67E74F" w14:textId="77777777" w:rsidR="007E669F" w:rsidRPr="004979D2" w:rsidRDefault="00827A96"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Opsion i Rekomanduar</w:t>
            </w:r>
          </w:p>
        </w:tc>
        <w:tc>
          <w:tcPr>
            <w:tcW w:w="1807" w:type="pct"/>
            <w:gridSpan w:val="3"/>
          </w:tcPr>
          <w:p w14:paraId="66217ED7" w14:textId="77777777" w:rsidR="007E669F" w:rsidRPr="004979D2" w:rsidRDefault="00827A96"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Nuk Rekomandohet</w:t>
            </w:r>
          </w:p>
        </w:tc>
      </w:tr>
    </w:tbl>
    <w:p w14:paraId="18AA221B" w14:textId="77777777" w:rsidR="00F55A14" w:rsidRPr="004979D2" w:rsidRDefault="00F55A14" w:rsidP="002B1BC6">
      <w:pPr>
        <w:spacing w:line="360" w:lineRule="auto"/>
        <w:rPr>
          <w:rFonts w:ascii="Times New Roman" w:eastAsia="MS Mincho" w:hAnsi="Times New Roman" w:cs="Times New Roman"/>
          <w:sz w:val="24"/>
          <w:szCs w:val="24"/>
        </w:rPr>
      </w:pPr>
    </w:p>
    <w:p w14:paraId="51EB17A3" w14:textId="4505807D" w:rsidR="00D16A1B" w:rsidRPr="004979D2" w:rsidRDefault="000E1566"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Figura e më sipërme është një</w:t>
      </w:r>
      <w:r w:rsidR="004F37D9" w:rsidRPr="004979D2">
        <w:rPr>
          <w:rFonts w:ascii="Times New Roman" w:hAnsi="Times New Roman" w:cs="Times New Roman"/>
          <w:sz w:val="24"/>
          <w:szCs w:val="24"/>
        </w:rPr>
        <w:t xml:space="preserve"> përmbledhje </w:t>
      </w:r>
      <w:r w:rsidRPr="004979D2">
        <w:rPr>
          <w:rFonts w:ascii="Times New Roman" w:hAnsi="Times New Roman" w:cs="Times New Roman"/>
          <w:sz w:val="24"/>
          <w:szCs w:val="24"/>
        </w:rPr>
        <w:t>e tre opsioneve të</w:t>
      </w:r>
      <w:r w:rsidR="004F37D9" w:rsidRPr="004979D2">
        <w:rPr>
          <w:rFonts w:ascii="Times New Roman" w:hAnsi="Times New Roman" w:cs="Times New Roman"/>
          <w:sz w:val="24"/>
          <w:szCs w:val="24"/>
        </w:rPr>
        <w:t xml:space="preserve"> </w:t>
      </w:r>
      <w:proofErr w:type="spellStart"/>
      <w:r w:rsidR="004F37D9" w:rsidRPr="004979D2">
        <w:rPr>
          <w:rFonts w:ascii="Times New Roman" w:hAnsi="Times New Roman" w:cs="Times New Roman"/>
          <w:sz w:val="24"/>
          <w:szCs w:val="24"/>
        </w:rPr>
        <w:t>disponueshme</w:t>
      </w:r>
      <w:proofErr w:type="spellEnd"/>
      <w:r w:rsidRPr="004979D2">
        <w:rPr>
          <w:rFonts w:ascii="Times New Roman" w:hAnsi="Times New Roman" w:cs="Times New Roman"/>
          <w:sz w:val="24"/>
          <w:szCs w:val="24"/>
        </w:rPr>
        <w:t xml:space="preserve"> që</w:t>
      </w:r>
      <w:r w:rsidR="004F37D9" w:rsidRPr="004979D2">
        <w:rPr>
          <w:rFonts w:ascii="Times New Roman" w:hAnsi="Times New Roman" w:cs="Times New Roman"/>
          <w:sz w:val="24"/>
          <w:szCs w:val="24"/>
        </w:rPr>
        <w:t xml:space="preserve"> </w:t>
      </w:r>
      <w:r w:rsidRPr="004979D2">
        <w:rPr>
          <w:rFonts w:ascii="Times New Roman" w:hAnsi="Times New Roman" w:cs="Times New Roman"/>
          <w:sz w:val="24"/>
          <w:szCs w:val="24"/>
        </w:rPr>
        <w:t>prezanton ky koncept dokument në</w:t>
      </w:r>
      <w:r w:rsidR="004F37D9" w:rsidRPr="004979D2">
        <w:rPr>
          <w:rFonts w:ascii="Times New Roman" w:hAnsi="Times New Roman" w:cs="Times New Roman"/>
          <w:sz w:val="24"/>
          <w:szCs w:val="24"/>
        </w:rPr>
        <w:t xml:space="preserve"> lidhj</w:t>
      </w:r>
      <w:r w:rsidRPr="004979D2">
        <w:rPr>
          <w:rFonts w:ascii="Times New Roman" w:hAnsi="Times New Roman" w:cs="Times New Roman"/>
          <w:sz w:val="24"/>
          <w:szCs w:val="24"/>
        </w:rPr>
        <w:t>e me problemin e identifikuar në</w:t>
      </w:r>
      <w:r w:rsidR="004F37D9" w:rsidRPr="004979D2">
        <w:rPr>
          <w:rFonts w:ascii="Times New Roman" w:hAnsi="Times New Roman" w:cs="Times New Roman"/>
          <w:sz w:val="24"/>
          <w:szCs w:val="24"/>
        </w:rPr>
        <w:t xml:space="preserve"> fushën e </w:t>
      </w:r>
      <w:proofErr w:type="spellStart"/>
      <w:r w:rsidRPr="004979D2">
        <w:rPr>
          <w:rFonts w:ascii="Times New Roman" w:hAnsi="Times New Roman" w:cs="Times New Roman"/>
          <w:sz w:val="24"/>
          <w:szCs w:val="24"/>
        </w:rPr>
        <w:t>konkunrre</w:t>
      </w:r>
      <w:r w:rsidR="004F27D0" w:rsidRPr="004979D2">
        <w:rPr>
          <w:rFonts w:ascii="Times New Roman" w:hAnsi="Times New Roman" w:cs="Times New Roman"/>
          <w:sz w:val="24"/>
          <w:szCs w:val="24"/>
        </w:rPr>
        <w:t>n</w:t>
      </w:r>
      <w:r w:rsidRPr="004979D2">
        <w:rPr>
          <w:rFonts w:ascii="Times New Roman" w:hAnsi="Times New Roman" w:cs="Times New Roman"/>
          <w:sz w:val="24"/>
          <w:szCs w:val="24"/>
        </w:rPr>
        <w:t>cës</w:t>
      </w:r>
      <w:proofErr w:type="spellEnd"/>
      <w:r w:rsidRPr="004979D2">
        <w:rPr>
          <w:rFonts w:ascii="Times New Roman" w:hAnsi="Times New Roman" w:cs="Times New Roman"/>
          <w:sz w:val="24"/>
          <w:szCs w:val="24"/>
        </w:rPr>
        <w:t xml:space="preserve"> në Republikën e Koso</w:t>
      </w:r>
      <w:r w:rsidR="004F37D9" w:rsidRPr="004979D2">
        <w:rPr>
          <w:rFonts w:ascii="Times New Roman" w:hAnsi="Times New Roman" w:cs="Times New Roman"/>
          <w:sz w:val="24"/>
          <w:szCs w:val="24"/>
        </w:rPr>
        <w:t>v</w:t>
      </w:r>
      <w:r w:rsidRPr="004979D2">
        <w:rPr>
          <w:rFonts w:ascii="Times New Roman" w:hAnsi="Times New Roman" w:cs="Times New Roman"/>
          <w:sz w:val="24"/>
          <w:szCs w:val="24"/>
        </w:rPr>
        <w:t>ës</w:t>
      </w:r>
      <w:r w:rsidR="004F37D9" w:rsidRPr="004979D2">
        <w:rPr>
          <w:rFonts w:ascii="Times New Roman" w:hAnsi="Times New Roman" w:cs="Times New Roman"/>
          <w:sz w:val="24"/>
          <w:szCs w:val="24"/>
        </w:rPr>
        <w:t xml:space="preserve">. </w:t>
      </w:r>
      <w:proofErr w:type="spellStart"/>
      <w:r w:rsidR="004F37D9" w:rsidRPr="004979D2">
        <w:rPr>
          <w:rFonts w:ascii="Times New Roman" w:hAnsi="Times New Roman" w:cs="Times New Roman"/>
          <w:sz w:val="24"/>
          <w:szCs w:val="24"/>
        </w:rPr>
        <w:t>Rekomadimet</w:t>
      </w:r>
      <w:proofErr w:type="spellEnd"/>
      <w:r w:rsidR="00A0218C" w:rsidRPr="004979D2">
        <w:rPr>
          <w:rFonts w:ascii="Times New Roman" w:hAnsi="Times New Roman" w:cs="Times New Roman"/>
          <w:sz w:val="24"/>
          <w:szCs w:val="24"/>
        </w:rPr>
        <w:t xml:space="preserve"> kanë</w:t>
      </w:r>
      <w:r w:rsidR="004F37D9" w:rsidRPr="004979D2">
        <w:rPr>
          <w:rFonts w:ascii="Times New Roman" w:hAnsi="Times New Roman" w:cs="Times New Roman"/>
          <w:sz w:val="24"/>
          <w:szCs w:val="24"/>
        </w:rPr>
        <w:t xml:space="preserve"> rrjedhur</w:t>
      </w:r>
      <w:r w:rsidR="00A0218C" w:rsidRPr="004979D2">
        <w:rPr>
          <w:rFonts w:ascii="Times New Roman" w:hAnsi="Times New Roman" w:cs="Times New Roman"/>
          <w:sz w:val="24"/>
          <w:szCs w:val="24"/>
        </w:rPr>
        <w:t xml:space="preserve"> nga analizat që ka</w:t>
      </w:r>
      <w:r w:rsidR="004F37D9" w:rsidRPr="004979D2">
        <w:rPr>
          <w:rFonts w:ascii="Times New Roman" w:hAnsi="Times New Roman" w:cs="Times New Roman"/>
          <w:sz w:val="24"/>
          <w:szCs w:val="24"/>
        </w:rPr>
        <w:t xml:space="preserve"> </w:t>
      </w:r>
      <w:r w:rsidR="00A0218C" w:rsidRPr="004979D2">
        <w:rPr>
          <w:rFonts w:ascii="Times New Roman" w:hAnsi="Times New Roman" w:cs="Times New Roman"/>
          <w:sz w:val="24"/>
          <w:szCs w:val="24"/>
        </w:rPr>
        <w:t xml:space="preserve">bërë grupi punues dhe </w:t>
      </w:r>
      <w:r w:rsidR="00A0218C" w:rsidRPr="004979D2">
        <w:rPr>
          <w:rFonts w:ascii="Times New Roman" w:hAnsi="Times New Roman" w:cs="Times New Roman"/>
          <w:sz w:val="24"/>
          <w:szCs w:val="24"/>
        </w:rPr>
        <w:lastRenderedPageBreak/>
        <w:t xml:space="preserve">për </w:t>
      </w:r>
      <w:r w:rsidR="004F27D0" w:rsidRPr="004979D2">
        <w:rPr>
          <w:rFonts w:ascii="Times New Roman" w:hAnsi="Times New Roman" w:cs="Times New Roman"/>
          <w:sz w:val="24"/>
          <w:szCs w:val="24"/>
        </w:rPr>
        <w:t>ç</w:t>
      </w:r>
      <w:r w:rsidR="00A0218C" w:rsidRPr="004979D2">
        <w:rPr>
          <w:rFonts w:ascii="Times New Roman" w:hAnsi="Times New Roman" w:cs="Times New Roman"/>
          <w:sz w:val="24"/>
          <w:szCs w:val="24"/>
        </w:rPr>
        <w:t>do rekomandim është</w:t>
      </w:r>
      <w:r w:rsidR="004F37D9" w:rsidRPr="004979D2">
        <w:rPr>
          <w:rFonts w:ascii="Times New Roman" w:hAnsi="Times New Roman" w:cs="Times New Roman"/>
          <w:sz w:val="24"/>
          <w:szCs w:val="24"/>
        </w:rPr>
        <w:t xml:space="preserve"> </w:t>
      </w:r>
      <w:r w:rsidR="00A0218C" w:rsidRPr="004979D2">
        <w:rPr>
          <w:rFonts w:ascii="Times New Roman" w:hAnsi="Times New Roman" w:cs="Times New Roman"/>
          <w:sz w:val="24"/>
          <w:szCs w:val="24"/>
        </w:rPr>
        <w:t xml:space="preserve">dhënë </w:t>
      </w:r>
      <w:proofErr w:type="spellStart"/>
      <w:r w:rsidR="00A0218C" w:rsidRPr="004979D2">
        <w:rPr>
          <w:rFonts w:ascii="Times New Roman" w:hAnsi="Times New Roman" w:cs="Times New Roman"/>
          <w:sz w:val="24"/>
          <w:szCs w:val="24"/>
        </w:rPr>
        <w:t>vlersimi</w:t>
      </w:r>
      <w:proofErr w:type="spellEnd"/>
      <w:r w:rsidR="00A0218C" w:rsidRPr="004979D2">
        <w:rPr>
          <w:rFonts w:ascii="Times New Roman" w:hAnsi="Times New Roman" w:cs="Times New Roman"/>
          <w:sz w:val="24"/>
          <w:szCs w:val="24"/>
        </w:rPr>
        <w:t xml:space="preserve"> i ndikimit të</w:t>
      </w:r>
      <w:r w:rsidR="004F37D9" w:rsidRPr="004979D2">
        <w:rPr>
          <w:rFonts w:ascii="Times New Roman" w:hAnsi="Times New Roman" w:cs="Times New Roman"/>
          <w:sz w:val="24"/>
          <w:szCs w:val="24"/>
        </w:rPr>
        <w:t xml:space="preserve"> pritshëm buxhetor duke u bazuar </w:t>
      </w:r>
      <w:r w:rsidR="00A0218C" w:rsidRPr="004979D2">
        <w:rPr>
          <w:rFonts w:ascii="Times New Roman" w:hAnsi="Times New Roman" w:cs="Times New Roman"/>
          <w:sz w:val="24"/>
          <w:szCs w:val="24"/>
        </w:rPr>
        <w:t>në planin e zbatimit të secilit opsion. Bazuar në këto të dhëna është ardhur në</w:t>
      </w:r>
      <w:r w:rsidR="00B94763" w:rsidRPr="004979D2">
        <w:rPr>
          <w:rFonts w:ascii="Times New Roman" w:hAnsi="Times New Roman" w:cs="Times New Roman"/>
          <w:sz w:val="24"/>
          <w:szCs w:val="24"/>
        </w:rPr>
        <w:t xml:space="preserve"> përfundimin </w:t>
      </w:r>
      <w:r w:rsidR="00A0218C" w:rsidRPr="004979D2">
        <w:rPr>
          <w:rFonts w:ascii="Times New Roman" w:hAnsi="Times New Roman" w:cs="Times New Roman"/>
          <w:sz w:val="24"/>
          <w:szCs w:val="24"/>
        </w:rPr>
        <w:t>s</w:t>
      </w:r>
      <w:r w:rsidR="004F27D0" w:rsidRPr="004979D2">
        <w:rPr>
          <w:rFonts w:ascii="Times New Roman" w:hAnsi="Times New Roman" w:cs="Times New Roman"/>
          <w:sz w:val="24"/>
          <w:szCs w:val="24"/>
        </w:rPr>
        <w:t>e</w:t>
      </w:r>
      <w:r w:rsidR="00A0218C" w:rsidRPr="004979D2">
        <w:rPr>
          <w:rFonts w:ascii="Times New Roman" w:hAnsi="Times New Roman" w:cs="Times New Roman"/>
          <w:sz w:val="24"/>
          <w:szCs w:val="24"/>
        </w:rPr>
        <w:t xml:space="preserve"> Opsioni</w:t>
      </w:r>
      <w:r w:rsidR="00075215" w:rsidRPr="004979D2">
        <w:rPr>
          <w:rFonts w:ascii="Times New Roman" w:hAnsi="Times New Roman" w:cs="Times New Roman"/>
          <w:sz w:val="24"/>
          <w:szCs w:val="24"/>
        </w:rPr>
        <w:t xml:space="preserve"> i dytë</w:t>
      </w:r>
      <w:r w:rsidR="00A0218C" w:rsidRPr="004979D2">
        <w:rPr>
          <w:rFonts w:ascii="Times New Roman" w:hAnsi="Times New Roman" w:cs="Times New Roman"/>
          <w:sz w:val="24"/>
          <w:szCs w:val="24"/>
        </w:rPr>
        <w:t xml:space="preserve"> </w:t>
      </w:r>
      <w:r w:rsidR="00075215" w:rsidRPr="004979D2">
        <w:rPr>
          <w:rFonts w:ascii="Times New Roman" w:hAnsi="Times New Roman" w:cs="Times New Roman"/>
          <w:sz w:val="24"/>
          <w:szCs w:val="24"/>
        </w:rPr>
        <w:t>(</w:t>
      </w:r>
      <w:r w:rsidR="00A0218C" w:rsidRPr="004979D2">
        <w:rPr>
          <w:rFonts w:ascii="Times New Roman" w:hAnsi="Times New Roman" w:cs="Times New Roman"/>
          <w:sz w:val="24"/>
          <w:szCs w:val="24"/>
        </w:rPr>
        <w:t>2</w:t>
      </w:r>
      <w:r w:rsidR="00075215" w:rsidRPr="004979D2">
        <w:rPr>
          <w:rFonts w:ascii="Times New Roman" w:hAnsi="Times New Roman" w:cs="Times New Roman"/>
          <w:sz w:val="24"/>
          <w:szCs w:val="24"/>
        </w:rPr>
        <w:t>)</w:t>
      </w:r>
      <w:r w:rsidR="00A0218C" w:rsidRPr="004979D2">
        <w:rPr>
          <w:rFonts w:ascii="Times New Roman" w:hAnsi="Times New Roman" w:cs="Times New Roman"/>
          <w:sz w:val="24"/>
          <w:szCs w:val="24"/>
        </w:rPr>
        <w:t xml:space="preserve"> për hartimin e Ligjit të ri pë</w:t>
      </w:r>
      <w:r w:rsidR="00B94763" w:rsidRPr="004979D2">
        <w:rPr>
          <w:rFonts w:ascii="Times New Roman" w:hAnsi="Times New Roman" w:cs="Times New Roman"/>
          <w:sz w:val="24"/>
          <w:szCs w:val="24"/>
        </w:rPr>
        <w:t xml:space="preserve">r mbrojtjen e konkurrencës </w:t>
      </w:r>
      <w:r w:rsidR="00A0218C" w:rsidRPr="004979D2">
        <w:rPr>
          <w:rFonts w:ascii="Times New Roman" w:hAnsi="Times New Roman" w:cs="Times New Roman"/>
          <w:sz w:val="24"/>
          <w:szCs w:val="24"/>
        </w:rPr>
        <w:t>është</w:t>
      </w:r>
      <w:r w:rsidR="00B94763" w:rsidRPr="004979D2">
        <w:rPr>
          <w:rFonts w:ascii="Times New Roman" w:hAnsi="Times New Roman" w:cs="Times New Roman"/>
          <w:sz w:val="24"/>
          <w:szCs w:val="24"/>
        </w:rPr>
        <w:t xml:space="preserve"> opsioni i rekomanduar</w:t>
      </w:r>
      <w:r w:rsidR="004F27D0" w:rsidRPr="004979D2">
        <w:rPr>
          <w:rFonts w:ascii="Times New Roman" w:hAnsi="Times New Roman" w:cs="Times New Roman"/>
          <w:sz w:val="24"/>
          <w:szCs w:val="24"/>
        </w:rPr>
        <w:t>,</w:t>
      </w:r>
      <w:r w:rsidR="00B94763" w:rsidRPr="004979D2">
        <w:rPr>
          <w:rFonts w:ascii="Times New Roman" w:hAnsi="Times New Roman" w:cs="Times New Roman"/>
          <w:sz w:val="24"/>
          <w:szCs w:val="24"/>
        </w:rPr>
        <w:t xml:space="preserve"> pasi </w:t>
      </w:r>
      <w:r w:rsidR="00A0218C" w:rsidRPr="004979D2">
        <w:rPr>
          <w:rFonts w:ascii="Times New Roman" w:hAnsi="Times New Roman" w:cs="Times New Roman"/>
          <w:sz w:val="24"/>
          <w:szCs w:val="24"/>
        </w:rPr>
        <w:t>duke qëndruar brenda planifikimeve buxhetore  nga</w:t>
      </w:r>
      <w:r w:rsidR="00B94763" w:rsidRPr="004979D2">
        <w:rPr>
          <w:rFonts w:ascii="Times New Roman" w:hAnsi="Times New Roman" w:cs="Times New Roman"/>
          <w:sz w:val="24"/>
          <w:szCs w:val="24"/>
        </w:rPr>
        <w:t xml:space="preserve"> AKK</w:t>
      </w:r>
      <w:r w:rsidR="00A0218C" w:rsidRPr="004979D2">
        <w:rPr>
          <w:rFonts w:ascii="Times New Roman" w:hAnsi="Times New Roman" w:cs="Times New Roman"/>
          <w:sz w:val="24"/>
          <w:szCs w:val="24"/>
        </w:rPr>
        <w:t xml:space="preserve"> adreson</w:t>
      </w:r>
      <w:r w:rsidR="00B94763" w:rsidRPr="004979D2">
        <w:rPr>
          <w:rFonts w:ascii="Times New Roman" w:hAnsi="Times New Roman" w:cs="Times New Roman"/>
          <w:sz w:val="24"/>
          <w:szCs w:val="24"/>
        </w:rPr>
        <w:t xml:space="preserve"> problemin e identifikuar</w:t>
      </w:r>
      <w:r w:rsidR="004F27D0" w:rsidRPr="004979D2">
        <w:rPr>
          <w:rFonts w:ascii="Times New Roman" w:hAnsi="Times New Roman" w:cs="Times New Roman"/>
          <w:sz w:val="24"/>
          <w:szCs w:val="24"/>
        </w:rPr>
        <w:t xml:space="preserve">. Ky opsion kontribuon në uljen e ndikimit të efekteve të identifikuara dhe </w:t>
      </w:r>
      <w:r w:rsidR="00A0218C" w:rsidRPr="004979D2">
        <w:rPr>
          <w:rFonts w:ascii="Times New Roman" w:hAnsi="Times New Roman" w:cs="Times New Roman"/>
          <w:sz w:val="24"/>
          <w:szCs w:val="24"/>
        </w:rPr>
        <w:t>nuk krijon</w:t>
      </w:r>
      <w:r w:rsidR="00B94763" w:rsidRPr="004979D2">
        <w:rPr>
          <w:rFonts w:ascii="Times New Roman" w:hAnsi="Times New Roman" w:cs="Times New Roman"/>
          <w:sz w:val="24"/>
          <w:szCs w:val="24"/>
        </w:rPr>
        <w:t xml:space="preserve"> ndonjë ndikim negativ. Nd</w:t>
      </w:r>
      <w:r w:rsidR="004F27D0" w:rsidRPr="004979D2">
        <w:rPr>
          <w:rFonts w:ascii="Times New Roman" w:hAnsi="Times New Roman" w:cs="Times New Roman"/>
          <w:sz w:val="24"/>
          <w:szCs w:val="24"/>
        </w:rPr>
        <w:t>ë</w:t>
      </w:r>
      <w:r w:rsidR="00B94763" w:rsidRPr="004979D2">
        <w:rPr>
          <w:rFonts w:ascii="Times New Roman" w:hAnsi="Times New Roman" w:cs="Times New Roman"/>
          <w:sz w:val="24"/>
          <w:szCs w:val="24"/>
        </w:rPr>
        <w:t>rsa, Opsioni</w:t>
      </w:r>
      <w:r w:rsidR="00075215" w:rsidRPr="004979D2">
        <w:rPr>
          <w:rFonts w:ascii="Times New Roman" w:hAnsi="Times New Roman" w:cs="Times New Roman"/>
          <w:sz w:val="24"/>
          <w:szCs w:val="24"/>
        </w:rPr>
        <w:t xml:space="preserve"> i tretë (3)</w:t>
      </w:r>
      <w:r w:rsidR="00B94763" w:rsidRPr="004979D2">
        <w:rPr>
          <w:rFonts w:ascii="Times New Roman" w:hAnsi="Times New Roman" w:cs="Times New Roman"/>
          <w:sz w:val="24"/>
          <w:szCs w:val="24"/>
        </w:rPr>
        <w:t xml:space="preserve"> </w:t>
      </w:r>
      <w:r w:rsidR="00A0218C" w:rsidRPr="004979D2">
        <w:rPr>
          <w:rFonts w:ascii="Times New Roman" w:hAnsi="Times New Roman" w:cs="Times New Roman"/>
          <w:sz w:val="24"/>
          <w:szCs w:val="24"/>
        </w:rPr>
        <w:t>që</w:t>
      </w:r>
      <w:r w:rsidR="0010376B" w:rsidRPr="004979D2">
        <w:rPr>
          <w:rFonts w:ascii="Times New Roman" w:hAnsi="Times New Roman" w:cs="Times New Roman"/>
          <w:sz w:val="24"/>
          <w:szCs w:val="24"/>
        </w:rPr>
        <w:t xml:space="preserve"> </w:t>
      </w:r>
      <w:proofErr w:type="spellStart"/>
      <w:r w:rsidR="0010376B" w:rsidRPr="004979D2">
        <w:rPr>
          <w:rFonts w:ascii="Times New Roman" w:hAnsi="Times New Roman" w:cs="Times New Roman"/>
          <w:sz w:val="24"/>
          <w:szCs w:val="24"/>
        </w:rPr>
        <w:t>sygjeron</w:t>
      </w:r>
      <w:proofErr w:type="spellEnd"/>
      <w:r w:rsidR="0010376B" w:rsidRPr="004979D2">
        <w:rPr>
          <w:rFonts w:ascii="Times New Roman" w:hAnsi="Times New Roman" w:cs="Times New Roman"/>
          <w:sz w:val="24"/>
          <w:szCs w:val="24"/>
        </w:rPr>
        <w:t xml:space="preserve"> si alternativ</w:t>
      </w:r>
      <w:r w:rsidR="004F27D0" w:rsidRPr="004979D2">
        <w:rPr>
          <w:rFonts w:ascii="Times New Roman" w:hAnsi="Times New Roman" w:cs="Times New Roman"/>
          <w:sz w:val="24"/>
          <w:szCs w:val="24"/>
        </w:rPr>
        <w:t>ë</w:t>
      </w:r>
      <w:r w:rsidR="0010376B" w:rsidRPr="004979D2">
        <w:rPr>
          <w:rFonts w:ascii="Times New Roman" w:hAnsi="Times New Roman" w:cs="Times New Roman"/>
          <w:sz w:val="24"/>
          <w:szCs w:val="24"/>
        </w:rPr>
        <w:t xml:space="preserve"> ngritjen e kapaciteteve</w:t>
      </w:r>
      <w:r w:rsidR="0088254B" w:rsidRPr="004979D2">
        <w:rPr>
          <w:rFonts w:ascii="Times New Roman" w:hAnsi="Times New Roman" w:cs="Times New Roman"/>
          <w:sz w:val="24"/>
          <w:szCs w:val="24"/>
        </w:rPr>
        <w:t xml:space="preserve"> profesionale të</w:t>
      </w:r>
      <w:r w:rsidR="0010376B" w:rsidRPr="004979D2">
        <w:rPr>
          <w:rFonts w:ascii="Times New Roman" w:hAnsi="Times New Roman" w:cs="Times New Roman"/>
          <w:sz w:val="24"/>
          <w:szCs w:val="24"/>
        </w:rPr>
        <w:t xml:space="preserve"> AKK</w:t>
      </w:r>
      <w:r w:rsidR="0088254B" w:rsidRPr="004979D2">
        <w:rPr>
          <w:rFonts w:ascii="Times New Roman" w:hAnsi="Times New Roman" w:cs="Times New Roman"/>
          <w:sz w:val="24"/>
          <w:szCs w:val="24"/>
        </w:rPr>
        <w:t>-së</w:t>
      </w:r>
      <w:r w:rsidR="0010376B" w:rsidRPr="004979D2">
        <w:rPr>
          <w:rFonts w:ascii="Times New Roman" w:hAnsi="Times New Roman" w:cs="Times New Roman"/>
          <w:sz w:val="24"/>
          <w:szCs w:val="24"/>
        </w:rPr>
        <w:t>,</w:t>
      </w:r>
      <w:r w:rsidR="00B94763" w:rsidRPr="004979D2">
        <w:rPr>
          <w:rFonts w:ascii="Times New Roman" w:hAnsi="Times New Roman" w:cs="Times New Roman"/>
          <w:sz w:val="24"/>
          <w:szCs w:val="24"/>
        </w:rPr>
        <w:t xml:space="preserve"> nuk rekomandohet</w:t>
      </w:r>
      <w:r w:rsidR="004F27D0" w:rsidRPr="004979D2">
        <w:rPr>
          <w:rFonts w:ascii="Times New Roman" w:hAnsi="Times New Roman" w:cs="Times New Roman"/>
          <w:sz w:val="24"/>
          <w:szCs w:val="24"/>
        </w:rPr>
        <w:t>. Ndonëse</w:t>
      </w:r>
      <w:r w:rsidR="00B94763" w:rsidRPr="004979D2">
        <w:rPr>
          <w:rFonts w:ascii="Times New Roman" w:hAnsi="Times New Roman" w:cs="Times New Roman"/>
          <w:sz w:val="24"/>
          <w:szCs w:val="24"/>
        </w:rPr>
        <w:t xml:space="preserve"> </w:t>
      </w:r>
      <w:r w:rsidR="0088254B" w:rsidRPr="004979D2">
        <w:rPr>
          <w:rFonts w:ascii="Times New Roman" w:hAnsi="Times New Roman" w:cs="Times New Roman"/>
          <w:sz w:val="24"/>
          <w:szCs w:val="24"/>
        </w:rPr>
        <w:t>është</w:t>
      </w:r>
      <w:r w:rsidR="00B94763" w:rsidRPr="004979D2">
        <w:rPr>
          <w:rFonts w:ascii="Times New Roman" w:hAnsi="Times New Roman" w:cs="Times New Roman"/>
          <w:sz w:val="24"/>
          <w:szCs w:val="24"/>
        </w:rPr>
        <w:t xml:space="preserve"> brenda</w:t>
      </w:r>
      <w:r w:rsidR="0088254B" w:rsidRPr="004979D2">
        <w:rPr>
          <w:rFonts w:ascii="Times New Roman" w:hAnsi="Times New Roman" w:cs="Times New Roman"/>
          <w:sz w:val="24"/>
          <w:szCs w:val="24"/>
        </w:rPr>
        <w:t xml:space="preserve"> planifikimeve buxhetore të</w:t>
      </w:r>
      <w:r w:rsidR="0010376B" w:rsidRPr="004979D2">
        <w:rPr>
          <w:rFonts w:ascii="Times New Roman" w:hAnsi="Times New Roman" w:cs="Times New Roman"/>
          <w:sz w:val="24"/>
          <w:szCs w:val="24"/>
        </w:rPr>
        <w:t xml:space="preserve"> </w:t>
      </w:r>
      <w:r w:rsidR="0088254B" w:rsidRPr="004979D2">
        <w:rPr>
          <w:rFonts w:ascii="Times New Roman" w:hAnsi="Times New Roman" w:cs="Times New Roman"/>
          <w:sz w:val="24"/>
          <w:szCs w:val="24"/>
        </w:rPr>
        <w:t xml:space="preserve">agjencisë është vlerësuar se nuk do të </w:t>
      </w:r>
      <w:proofErr w:type="spellStart"/>
      <w:r w:rsidR="0088254B" w:rsidRPr="004979D2">
        <w:rPr>
          <w:rFonts w:ascii="Times New Roman" w:hAnsi="Times New Roman" w:cs="Times New Roman"/>
          <w:sz w:val="24"/>
          <w:szCs w:val="24"/>
        </w:rPr>
        <w:t>arijë</w:t>
      </w:r>
      <w:proofErr w:type="spellEnd"/>
      <w:r w:rsidR="0088254B" w:rsidRPr="004979D2">
        <w:rPr>
          <w:rFonts w:ascii="Times New Roman" w:hAnsi="Times New Roman" w:cs="Times New Roman"/>
          <w:sz w:val="24"/>
          <w:szCs w:val="24"/>
        </w:rPr>
        <w:t xml:space="preserve"> </w:t>
      </w:r>
      <w:r w:rsidR="00B94763" w:rsidRPr="004979D2">
        <w:rPr>
          <w:rFonts w:ascii="Times New Roman" w:hAnsi="Times New Roman" w:cs="Times New Roman"/>
          <w:sz w:val="24"/>
          <w:szCs w:val="24"/>
        </w:rPr>
        <w:t>të ketë ndikim në adresimin e problemit në masën e duhur</w:t>
      </w:r>
      <w:r w:rsidR="004F27D0" w:rsidRPr="004979D2">
        <w:rPr>
          <w:rFonts w:ascii="Times New Roman" w:hAnsi="Times New Roman" w:cs="Times New Roman"/>
          <w:sz w:val="24"/>
          <w:szCs w:val="24"/>
        </w:rPr>
        <w:t>,</w:t>
      </w:r>
      <w:r w:rsidR="00B94763" w:rsidRPr="004979D2">
        <w:rPr>
          <w:rFonts w:ascii="Times New Roman" w:hAnsi="Times New Roman" w:cs="Times New Roman"/>
          <w:sz w:val="24"/>
          <w:szCs w:val="24"/>
        </w:rPr>
        <w:t xml:space="preserve"> </w:t>
      </w:r>
      <w:r w:rsidR="0088254B" w:rsidRPr="004979D2">
        <w:rPr>
          <w:rFonts w:ascii="Times New Roman" w:hAnsi="Times New Roman" w:cs="Times New Roman"/>
          <w:sz w:val="24"/>
          <w:szCs w:val="24"/>
        </w:rPr>
        <w:t>duke</w:t>
      </w:r>
      <w:r w:rsidR="00B94763" w:rsidRPr="004979D2">
        <w:rPr>
          <w:rFonts w:ascii="Times New Roman" w:hAnsi="Times New Roman" w:cs="Times New Roman"/>
          <w:sz w:val="24"/>
          <w:szCs w:val="24"/>
        </w:rPr>
        <w:t xml:space="preserve"> ruaj</w:t>
      </w:r>
      <w:r w:rsidR="0088254B" w:rsidRPr="004979D2">
        <w:rPr>
          <w:rFonts w:ascii="Times New Roman" w:hAnsi="Times New Roman" w:cs="Times New Roman"/>
          <w:sz w:val="24"/>
          <w:szCs w:val="24"/>
        </w:rPr>
        <w:t xml:space="preserve">tur “status </w:t>
      </w:r>
      <w:proofErr w:type="spellStart"/>
      <w:r w:rsidR="0088254B" w:rsidRPr="004979D2">
        <w:rPr>
          <w:rFonts w:ascii="Times New Roman" w:hAnsi="Times New Roman" w:cs="Times New Roman"/>
          <w:sz w:val="24"/>
          <w:szCs w:val="24"/>
        </w:rPr>
        <w:t>quo</w:t>
      </w:r>
      <w:proofErr w:type="spellEnd"/>
      <w:r w:rsidR="0088254B" w:rsidRPr="004979D2">
        <w:rPr>
          <w:rFonts w:ascii="Times New Roman" w:hAnsi="Times New Roman" w:cs="Times New Roman"/>
          <w:sz w:val="24"/>
          <w:szCs w:val="24"/>
        </w:rPr>
        <w:t xml:space="preserve">” </w:t>
      </w:r>
      <w:r w:rsidR="004F27D0" w:rsidRPr="004979D2">
        <w:rPr>
          <w:rFonts w:ascii="Times New Roman" w:hAnsi="Times New Roman" w:cs="Times New Roman"/>
          <w:sz w:val="24"/>
          <w:szCs w:val="24"/>
        </w:rPr>
        <w:t xml:space="preserve">dhe duke rënduar </w:t>
      </w:r>
      <w:r w:rsidR="0010376B" w:rsidRPr="004979D2">
        <w:rPr>
          <w:rFonts w:ascii="Times New Roman" w:hAnsi="Times New Roman" w:cs="Times New Roman"/>
          <w:sz w:val="24"/>
          <w:szCs w:val="24"/>
        </w:rPr>
        <w:t>peshën e efekteve</w:t>
      </w:r>
      <w:r w:rsidR="00B94763" w:rsidRPr="004979D2">
        <w:rPr>
          <w:rFonts w:ascii="Times New Roman" w:hAnsi="Times New Roman" w:cs="Times New Roman"/>
          <w:sz w:val="24"/>
          <w:szCs w:val="24"/>
        </w:rPr>
        <w:t xml:space="preserve"> të identifikuara. </w:t>
      </w:r>
      <w:r w:rsidR="00B94763" w:rsidRPr="004979D2" w:rsidDel="00D16A1B">
        <w:rPr>
          <w:rFonts w:ascii="Times New Roman" w:hAnsi="Times New Roman" w:cs="Times New Roman"/>
          <w:sz w:val="24"/>
          <w:szCs w:val="24"/>
        </w:rPr>
        <w:t xml:space="preserve"> </w:t>
      </w:r>
      <w:r w:rsidR="0088254B" w:rsidRPr="004979D2">
        <w:rPr>
          <w:rFonts w:ascii="Times New Roman" w:hAnsi="Times New Roman" w:cs="Times New Roman"/>
          <w:sz w:val="24"/>
          <w:szCs w:val="24"/>
        </w:rPr>
        <w:t>Sa i p</w:t>
      </w:r>
      <w:r w:rsidR="004F27D0" w:rsidRPr="004979D2">
        <w:rPr>
          <w:rFonts w:ascii="Times New Roman" w:hAnsi="Times New Roman" w:cs="Times New Roman"/>
          <w:sz w:val="24"/>
          <w:szCs w:val="24"/>
        </w:rPr>
        <w:t>ë</w:t>
      </w:r>
      <w:r w:rsidR="0088254B" w:rsidRPr="004979D2">
        <w:rPr>
          <w:rFonts w:ascii="Times New Roman" w:hAnsi="Times New Roman" w:cs="Times New Roman"/>
          <w:sz w:val="24"/>
          <w:szCs w:val="24"/>
        </w:rPr>
        <w:t xml:space="preserve">rket Opsionit </w:t>
      </w:r>
      <w:r w:rsidR="00075215" w:rsidRPr="004979D2">
        <w:rPr>
          <w:rFonts w:ascii="Times New Roman" w:hAnsi="Times New Roman" w:cs="Times New Roman"/>
          <w:sz w:val="24"/>
          <w:szCs w:val="24"/>
        </w:rPr>
        <w:t>të parë (1)</w:t>
      </w:r>
      <w:r w:rsidR="0088254B" w:rsidRPr="004979D2">
        <w:rPr>
          <w:rFonts w:ascii="Times New Roman" w:hAnsi="Times New Roman" w:cs="Times New Roman"/>
          <w:sz w:val="24"/>
          <w:szCs w:val="24"/>
        </w:rPr>
        <w:t>,</w:t>
      </w:r>
      <w:r w:rsidR="0010376B" w:rsidRPr="004979D2">
        <w:rPr>
          <w:rFonts w:ascii="Times New Roman" w:hAnsi="Times New Roman" w:cs="Times New Roman"/>
          <w:sz w:val="24"/>
          <w:szCs w:val="24"/>
        </w:rPr>
        <w:t xml:space="preserve"> i cili ruan “status </w:t>
      </w:r>
      <w:proofErr w:type="spellStart"/>
      <w:r w:rsidR="0010376B" w:rsidRPr="004979D2">
        <w:rPr>
          <w:rFonts w:ascii="Times New Roman" w:hAnsi="Times New Roman" w:cs="Times New Roman"/>
          <w:sz w:val="24"/>
          <w:szCs w:val="24"/>
        </w:rPr>
        <w:t>quon</w:t>
      </w:r>
      <w:proofErr w:type="spellEnd"/>
      <w:r w:rsidR="0010376B" w:rsidRPr="004979D2">
        <w:rPr>
          <w:rFonts w:ascii="Times New Roman" w:hAnsi="Times New Roman" w:cs="Times New Roman"/>
          <w:sz w:val="24"/>
          <w:szCs w:val="24"/>
        </w:rPr>
        <w:t>”</w:t>
      </w:r>
      <w:r w:rsidR="0088254B" w:rsidRPr="004979D2">
        <w:rPr>
          <w:rFonts w:ascii="Times New Roman" w:hAnsi="Times New Roman" w:cs="Times New Roman"/>
          <w:sz w:val="24"/>
          <w:szCs w:val="24"/>
        </w:rPr>
        <w:t>, është</w:t>
      </w:r>
      <w:r w:rsidR="00B94763" w:rsidRPr="004979D2">
        <w:rPr>
          <w:rFonts w:ascii="Times New Roman" w:hAnsi="Times New Roman" w:cs="Times New Roman"/>
          <w:sz w:val="24"/>
          <w:szCs w:val="24"/>
        </w:rPr>
        <w:t xml:space="preserve"> </w:t>
      </w:r>
      <w:proofErr w:type="spellStart"/>
      <w:r w:rsidR="00B94763" w:rsidRPr="004979D2">
        <w:rPr>
          <w:rFonts w:ascii="Times New Roman" w:hAnsi="Times New Roman" w:cs="Times New Roman"/>
          <w:sz w:val="24"/>
          <w:szCs w:val="24"/>
        </w:rPr>
        <w:t>vlersuar</w:t>
      </w:r>
      <w:proofErr w:type="spellEnd"/>
      <w:r w:rsidR="00B94763" w:rsidRPr="004979D2">
        <w:rPr>
          <w:rFonts w:ascii="Times New Roman" w:hAnsi="Times New Roman" w:cs="Times New Roman"/>
          <w:sz w:val="24"/>
          <w:szCs w:val="24"/>
        </w:rPr>
        <w:t xml:space="preserve"> se </w:t>
      </w:r>
      <w:r w:rsidR="0088254B" w:rsidRPr="004979D2">
        <w:rPr>
          <w:rFonts w:ascii="Times New Roman" w:hAnsi="Times New Roman" w:cs="Times New Roman"/>
          <w:sz w:val="24"/>
          <w:szCs w:val="24"/>
        </w:rPr>
        <w:t>nuk do të ketë</w:t>
      </w:r>
      <w:r w:rsidR="0010376B" w:rsidRPr="004979D2">
        <w:rPr>
          <w:rFonts w:ascii="Times New Roman" w:hAnsi="Times New Roman" w:cs="Times New Roman"/>
          <w:sz w:val="24"/>
          <w:szCs w:val="24"/>
        </w:rPr>
        <w:t xml:space="preserve"> ndikim pozitiv pasi nuk adreso</w:t>
      </w:r>
      <w:r w:rsidR="0088254B" w:rsidRPr="004979D2">
        <w:rPr>
          <w:rFonts w:ascii="Times New Roman" w:hAnsi="Times New Roman" w:cs="Times New Roman"/>
          <w:sz w:val="24"/>
          <w:szCs w:val="24"/>
        </w:rPr>
        <w:t>n në</w:t>
      </w:r>
      <w:r w:rsidR="0010376B" w:rsidRPr="004979D2">
        <w:rPr>
          <w:rFonts w:ascii="Times New Roman" w:hAnsi="Times New Roman" w:cs="Times New Roman"/>
          <w:sz w:val="24"/>
          <w:szCs w:val="24"/>
        </w:rPr>
        <w:t xml:space="preserve"> asnjë nivel problemin e identifikuar nga ky konce</w:t>
      </w:r>
      <w:r w:rsidR="0088254B" w:rsidRPr="004979D2">
        <w:rPr>
          <w:rFonts w:ascii="Times New Roman" w:hAnsi="Times New Roman" w:cs="Times New Roman"/>
          <w:sz w:val="24"/>
          <w:szCs w:val="24"/>
        </w:rPr>
        <w:t>pt dokument edhe pse ndikimet në</w:t>
      </w:r>
      <w:r w:rsidR="0010376B" w:rsidRPr="004979D2">
        <w:rPr>
          <w:rFonts w:ascii="Times New Roman" w:hAnsi="Times New Roman" w:cs="Times New Roman"/>
          <w:sz w:val="24"/>
          <w:szCs w:val="24"/>
        </w:rPr>
        <w:t xml:space="preserve"> buxhetin e AKK</w:t>
      </w:r>
      <w:r w:rsidR="0088254B" w:rsidRPr="004979D2">
        <w:rPr>
          <w:rFonts w:ascii="Times New Roman" w:hAnsi="Times New Roman" w:cs="Times New Roman"/>
          <w:sz w:val="24"/>
          <w:szCs w:val="24"/>
        </w:rPr>
        <w:t xml:space="preserve">-së do të </w:t>
      </w:r>
      <w:r w:rsidR="004F27D0" w:rsidRPr="004979D2">
        <w:rPr>
          <w:rFonts w:ascii="Times New Roman" w:hAnsi="Times New Roman" w:cs="Times New Roman"/>
          <w:sz w:val="24"/>
          <w:szCs w:val="24"/>
        </w:rPr>
        <w:t>mbesin</w:t>
      </w:r>
      <w:r w:rsidR="0088254B" w:rsidRPr="004979D2">
        <w:rPr>
          <w:rFonts w:ascii="Times New Roman" w:hAnsi="Times New Roman" w:cs="Times New Roman"/>
          <w:sz w:val="24"/>
          <w:szCs w:val="24"/>
        </w:rPr>
        <w:t xml:space="preserve"> në</w:t>
      </w:r>
      <w:r w:rsidR="0010376B" w:rsidRPr="004979D2">
        <w:rPr>
          <w:rFonts w:ascii="Times New Roman" w:hAnsi="Times New Roman" w:cs="Times New Roman"/>
          <w:sz w:val="24"/>
          <w:szCs w:val="24"/>
        </w:rPr>
        <w:t xml:space="preserve"> nivelin zero.  </w:t>
      </w:r>
      <w:r w:rsidR="00B94763" w:rsidRPr="004979D2">
        <w:rPr>
          <w:rFonts w:ascii="Times New Roman" w:hAnsi="Times New Roman" w:cs="Times New Roman"/>
          <w:sz w:val="24"/>
          <w:szCs w:val="24"/>
        </w:rPr>
        <w:t xml:space="preserve"> </w:t>
      </w:r>
    </w:p>
    <w:p w14:paraId="42F69A09" w14:textId="77777777" w:rsidR="0075339D" w:rsidRPr="004979D2" w:rsidRDefault="00427755" w:rsidP="002B1BC6">
      <w:pPr>
        <w:pStyle w:val="Heading1"/>
        <w:spacing w:line="360" w:lineRule="auto"/>
        <w:rPr>
          <w:rFonts w:ascii="Times New Roman" w:hAnsi="Times New Roman" w:cs="Times New Roman"/>
          <w:b/>
          <w:sz w:val="24"/>
          <w:szCs w:val="24"/>
        </w:rPr>
      </w:pPr>
      <w:bookmarkStart w:id="51" w:name="_Toc1114335"/>
      <w:r w:rsidRPr="004979D2">
        <w:rPr>
          <w:rFonts w:ascii="Times New Roman" w:hAnsi="Times New Roman" w:cs="Times New Roman"/>
          <w:b/>
          <w:sz w:val="24"/>
          <w:szCs w:val="24"/>
        </w:rPr>
        <w:t>KAPITULLI 7: KONKLUZIONET DHE HAPAT E ARDHSHËM</w:t>
      </w:r>
      <w:bookmarkEnd w:id="51"/>
    </w:p>
    <w:p w14:paraId="1621DD91" w14:textId="610719B7" w:rsidR="00E43229" w:rsidRPr="004979D2" w:rsidRDefault="00E43229" w:rsidP="002B1BC6">
      <w:pPr>
        <w:spacing w:line="360" w:lineRule="auto"/>
        <w:jc w:val="both"/>
        <w:rPr>
          <w:rFonts w:ascii="Times New Roman" w:eastAsia="MS Mincho" w:hAnsi="Times New Roman" w:cs="Times New Roman"/>
          <w:sz w:val="24"/>
          <w:szCs w:val="24"/>
        </w:rPr>
      </w:pPr>
      <w:r w:rsidRPr="004979D2">
        <w:rPr>
          <w:rFonts w:ascii="Times New Roman" w:eastAsia="MS Mincho" w:hAnsi="Times New Roman" w:cs="Times New Roman"/>
          <w:sz w:val="24"/>
          <w:szCs w:val="24"/>
        </w:rPr>
        <w:t>Sipas të gjitha analizave të bëra nga ky Koncept Dokument, i vetmi opsion që garanton adresimin e problemeve të identifikuara në fushën</w:t>
      </w:r>
      <w:r w:rsidR="00297CA2" w:rsidRPr="004979D2">
        <w:rPr>
          <w:rFonts w:ascii="Times New Roman" w:eastAsia="MS Mincho" w:hAnsi="Times New Roman" w:cs="Times New Roman"/>
          <w:sz w:val="24"/>
          <w:szCs w:val="24"/>
        </w:rPr>
        <w:t xml:space="preserve"> e</w:t>
      </w:r>
      <w:r w:rsidRPr="004979D2">
        <w:rPr>
          <w:rFonts w:ascii="Times New Roman" w:eastAsia="MS Mincho" w:hAnsi="Times New Roman" w:cs="Times New Roman"/>
          <w:sz w:val="24"/>
          <w:szCs w:val="24"/>
        </w:rPr>
        <w:t xml:space="preserve"> konkurrencës është hartimi </w:t>
      </w:r>
      <w:r w:rsidR="005B099D" w:rsidRPr="004979D2">
        <w:rPr>
          <w:rFonts w:ascii="Times New Roman" w:eastAsia="MS Mincho" w:hAnsi="Times New Roman" w:cs="Times New Roman"/>
          <w:sz w:val="24"/>
          <w:szCs w:val="24"/>
        </w:rPr>
        <w:t>i</w:t>
      </w:r>
      <w:r w:rsidRPr="004979D2">
        <w:rPr>
          <w:rFonts w:ascii="Times New Roman" w:eastAsia="MS Mincho" w:hAnsi="Times New Roman" w:cs="Times New Roman"/>
          <w:sz w:val="24"/>
          <w:szCs w:val="24"/>
        </w:rPr>
        <w:t xml:space="preserve"> një ligji t</w:t>
      </w:r>
      <w:r w:rsidR="005054BC" w:rsidRPr="004979D2">
        <w:rPr>
          <w:rFonts w:ascii="Times New Roman" w:eastAsia="MS Mincho" w:hAnsi="Times New Roman" w:cs="Times New Roman"/>
          <w:sz w:val="24"/>
          <w:szCs w:val="24"/>
        </w:rPr>
        <w:t>ë</w:t>
      </w:r>
      <w:r w:rsidRPr="004979D2">
        <w:rPr>
          <w:rFonts w:ascii="Times New Roman" w:eastAsia="MS Mincho" w:hAnsi="Times New Roman" w:cs="Times New Roman"/>
          <w:sz w:val="24"/>
          <w:szCs w:val="24"/>
        </w:rPr>
        <w:t xml:space="preserve"> ri</w:t>
      </w:r>
      <w:r w:rsidR="00427755" w:rsidRPr="004979D2">
        <w:rPr>
          <w:rFonts w:ascii="Times New Roman" w:eastAsia="MS Mincho" w:hAnsi="Times New Roman" w:cs="Times New Roman"/>
          <w:sz w:val="24"/>
          <w:szCs w:val="24"/>
        </w:rPr>
        <w:t>. S</w:t>
      </w:r>
      <w:r w:rsidRPr="004979D2">
        <w:rPr>
          <w:rFonts w:ascii="Times New Roman" w:eastAsia="MS Mincho" w:hAnsi="Times New Roman" w:cs="Times New Roman"/>
          <w:sz w:val="24"/>
          <w:szCs w:val="24"/>
        </w:rPr>
        <w:t>hka</w:t>
      </w:r>
      <w:r w:rsidR="005B099D" w:rsidRPr="004979D2">
        <w:rPr>
          <w:rFonts w:ascii="Times New Roman" w:eastAsia="MS Mincho" w:hAnsi="Times New Roman" w:cs="Times New Roman"/>
          <w:sz w:val="24"/>
          <w:szCs w:val="24"/>
        </w:rPr>
        <w:t>qet</w:t>
      </w:r>
      <w:r w:rsidRPr="004979D2">
        <w:rPr>
          <w:rFonts w:ascii="Times New Roman" w:eastAsia="MS Mincho" w:hAnsi="Times New Roman" w:cs="Times New Roman"/>
          <w:sz w:val="24"/>
          <w:szCs w:val="24"/>
        </w:rPr>
        <w:t xml:space="preserve"> kryesor</w:t>
      </w:r>
      <w:r w:rsidR="00C61042" w:rsidRPr="004979D2">
        <w:rPr>
          <w:rFonts w:ascii="Times New Roman" w:eastAsia="MS Mincho" w:hAnsi="Times New Roman" w:cs="Times New Roman"/>
          <w:sz w:val="24"/>
          <w:szCs w:val="24"/>
        </w:rPr>
        <w:t>e</w:t>
      </w:r>
      <w:r w:rsidRPr="004979D2">
        <w:rPr>
          <w:rFonts w:ascii="Times New Roman" w:eastAsia="MS Mincho" w:hAnsi="Times New Roman" w:cs="Times New Roman"/>
          <w:sz w:val="24"/>
          <w:szCs w:val="24"/>
        </w:rPr>
        <w:t xml:space="preserve"> </w:t>
      </w:r>
      <w:r w:rsidR="005B099D" w:rsidRPr="004979D2">
        <w:rPr>
          <w:rFonts w:ascii="Times New Roman" w:eastAsia="MS Mincho" w:hAnsi="Times New Roman" w:cs="Times New Roman"/>
          <w:sz w:val="24"/>
          <w:szCs w:val="24"/>
        </w:rPr>
        <w:t>q</w:t>
      </w:r>
      <w:r w:rsidR="00297CA2" w:rsidRPr="004979D2">
        <w:rPr>
          <w:rFonts w:ascii="Times New Roman" w:eastAsia="MS Mincho" w:hAnsi="Times New Roman" w:cs="Times New Roman"/>
          <w:sz w:val="24"/>
          <w:szCs w:val="24"/>
        </w:rPr>
        <w:t>ë</w:t>
      </w:r>
      <w:r w:rsidR="005B099D" w:rsidRPr="004979D2">
        <w:rPr>
          <w:rFonts w:ascii="Times New Roman" w:eastAsia="MS Mincho" w:hAnsi="Times New Roman" w:cs="Times New Roman"/>
          <w:sz w:val="24"/>
          <w:szCs w:val="24"/>
        </w:rPr>
        <w:t xml:space="preserve"> na kan</w:t>
      </w:r>
      <w:r w:rsidR="00297CA2" w:rsidRPr="004979D2">
        <w:rPr>
          <w:rFonts w:ascii="Times New Roman" w:eastAsia="MS Mincho" w:hAnsi="Times New Roman" w:cs="Times New Roman"/>
          <w:sz w:val="24"/>
          <w:szCs w:val="24"/>
        </w:rPr>
        <w:t>ë</w:t>
      </w:r>
      <w:r w:rsidR="005B099D" w:rsidRPr="004979D2">
        <w:rPr>
          <w:rFonts w:ascii="Times New Roman" w:eastAsia="MS Mincho" w:hAnsi="Times New Roman" w:cs="Times New Roman"/>
          <w:sz w:val="24"/>
          <w:szCs w:val="24"/>
        </w:rPr>
        <w:t xml:space="preserve"> drejtuar n</w:t>
      </w:r>
      <w:r w:rsidR="00297CA2" w:rsidRPr="004979D2">
        <w:rPr>
          <w:rFonts w:ascii="Times New Roman" w:eastAsia="MS Mincho" w:hAnsi="Times New Roman" w:cs="Times New Roman"/>
          <w:sz w:val="24"/>
          <w:szCs w:val="24"/>
        </w:rPr>
        <w:t>ë</w:t>
      </w:r>
      <w:r w:rsidR="005B099D" w:rsidRPr="004979D2">
        <w:rPr>
          <w:rFonts w:ascii="Times New Roman" w:eastAsia="MS Mincho" w:hAnsi="Times New Roman" w:cs="Times New Roman"/>
          <w:sz w:val="24"/>
          <w:szCs w:val="24"/>
        </w:rPr>
        <w:t xml:space="preserve"> identifikimin e</w:t>
      </w:r>
      <w:r w:rsidRPr="004979D2">
        <w:rPr>
          <w:rFonts w:ascii="Times New Roman" w:eastAsia="MS Mincho" w:hAnsi="Times New Roman" w:cs="Times New Roman"/>
          <w:sz w:val="24"/>
          <w:szCs w:val="24"/>
        </w:rPr>
        <w:t xml:space="preserve"> problemit </w:t>
      </w:r>
      <w:r w:rsidR="005B099D" w:rsidRPr="004979D2">
        <w:rPr>
          <w:rFonts w:ascii="Times New Roman" w:eastAsia="MS Mincho" w:hAnsi="Times New Roman" w:cs="Times New Roman"/>
          <w:sz w:val="24"/>
          <w:szCs w:val="24"/>
        </w:rPr>
        <w:t xml:space="preserve">kryesor </w:t>
      </w:r>
      <w:r w:rsidRPr="004979D2">
        <w:rPr>
          <w:rFonts w:ascii="Times New Roman" w:eastAsia="MS Mincho" w:hAnsi="Times New Roman" w:cs="Times New Roman"/>
          <w:sz w:val="24"/>
          <w:szCs w:val="24"/>
        </w:rPr>
        <w:t>janë efekte</w:t>
      </w:r>
      <w:r w:rsidR="005B099D" w:rsidRPr="004979D2">
        <w:rPr>
          <w:rFonts w:ascii="Times New Roman" w:eastAsia="MS Mincho" w:hAnsi="Times New Roman" w:cs="Times New Roman"/>
          <w:sz w:val="24"/>
          <w:szCs w:val="24"/>
        </w:rPr>
        <w:t>t</w:t>
      </w:r>
      <w:r w:rsidRPr="004979D2">
        <w:rPr>
          <w:rFonts w:ascii="Times New Roman" w:eastAsia="MS Mincho" w:hAnsi="Times New Roman" w:cs="Times New Roman"/>
          <w:sz w:val="24"/>
          <w:szCs w:val="24"/>
        </w:rPr>
        <w:t xml:space="preserve"> t</w:t>
      </w:r>
      <w:r w:rsidR="005054BC" w:rsidRPr="004979D2">
        <w:rPr>
          <w:rFonts w:ascii="Times New Roman" w:eastAsia="MS Mincho" w:hAnsi="Times New Roman" w:cs="Times New Roman"/>
          <w:sz w:val="24"/>
          <w:szCs w:val="24"/>
        </w:rPr>
        <w:t>ë</w:t>
      </w:r>
      <w:r w:rsidRPr="004979D2">
        <w:rPr>
          <w:rFonts w:ascii="Times New Roman" w:eastAsia="MS Mincho" w:hAnsi="Times New Roman" w:cs="Times New Roman"/>
          <w:sz w:val="24"/>
          <w:szCs w:val="24"/>
        </w:rPr>
        <w:t xml:space="preserve"> cilat krijohen n</w:t>
      </w:r>
      <w:r w:rsidR="005B099D" w:rsidRPr="004979D2">
        <w:rPr>
          <w:rFonts w:ascii="Times New Roman" w:eastAsia="MS Mincho" w:hAnsi="Times New Roman" w:cs="Times New Roman"/>
          <w:sz w:val="24"/>
          <w:szCs w:val="24"/>
        </w:rPr>
        <w:t>ga</w:t>
      </w:r>
      <w:r w:rsidRPr="004979D2">
        <w:rPr>
          <w:rFonts w:ascii="Times New Roman" w:eastAsia="MS Mincho" w:hAnsi="Times New Roman" w:cs="Times New Roman"/>
          <w:sz w:val="24"/>
          <w:szCs w:val="24"/>
        </w:rPr>
        <w:t xml:space="preserve"> dispozita ligjore që </w:t>
      </w:r>
      <w:r w:rsidR="005B099D" w:rsidRPr="004979D2">
        <w:rPr>
          <w:rFonts w:ascii="Times New Roman" w:eastAsia="MS Mincho" w:hAnsi="Times New Roman" w:cs="Times New Roman"/>
          <w:sz w:val="24"/>
          <w:szCs w:val="24"/>
        </w:rPr>
        <w:t>m</w:t>
      </w:r>
      <w:r w:rsidR="00297CA2" w:rsidRPr="004979D2">
        <w:rPr>
          <w:rFonts w:ascii="Times New Roman" w:eastAsia="MS Mincho" w:hAnsi="Times New Roman" w:cs="Times New Roman"/>
          <w:sz w:val="24"/>
          <w:szCs w:val="24"/>
        </w:rPr>
        <w:t>ë</w:t>
      </w:r>
      <w:r w:rsidR="005B099D" w:rsidRPr="004979D2">
        <w:rPr>
          <w:rFonts w:ascii="Times New Roman" w:eastAsia="MS Mincho" w:hAnsi="Times New Roman" w:cs="Times New Roman"/>
          <w:sz w:val="24"/>
          <w:szCs w:val="24"/>
        </w:rPr>
        <w:t xml:space="preserve"> pas </w:t>
      </w:r>
      <w:r w:rsidRPr="004979D2">
        <w:rPr>
          <w:rFonts w:ascii="Times New Roman" w:eastAsia="MS Mincho" w:hAnsi="Times New Roman" w:cs="Times New Roman"/>
          <w:sz w:val="24"/>
          <w:szCs w:val="24"/>
        </w:rPr>
        <w:t>paraqesin vështirësi në funksionimin</w:t>
      </w:r>
      <w:r w:rsidR="005B099D" w:rsidRPr="004979D2">
        <w:rPr>
          <w:rFonts w:ascii="Times New Roman" w:eastAsia="MS Mincho" w:hAnsi="Times New Roman" w:cs="Times New Roman"/>
          <w:sz w:val="24"/>
          <w:szCs w:val="24"/>
        </w:rPr>
        <w:t xml:space="preserve"> e AKK-s</w:t>
      </w:r>
      <w:r w:rsidR="00297CA2" w:rsidRPr="004979D2">
        <w:rPr>
          <w:rFonts w:ascii="Times New Roman" w:eastAsia="MS Mincho" w:hAnsi="Times New Roman" w:cs="Times New Roman"/>
          <w:sz w:val="24"/>
          <w:szCs w:val="24"/>
        </w:rPr>
        <w:t>ë</w:t>
      </w:r>
      <w:r w:rsidR="005B099D" w:rsidRPr="004979D2">
        <w:rPr>
          <w:rFonts w:ascii="Times New Roman" w:eastAsia="MS Mincho" w:hAnsi="Times New Roman" w:cs="Times New Roman"/>
          <w:sz w:val="24"/>
          <w:szCs w:val="24"/>
        </w:rPr>
        <w:t xml:space="preserve"> n</w:t>
      </w:r>
      <w:r w:rsidR="00297CA2" w:rsidRPr="004979D2">
        <w:rPr>
          <w:rFonts w:ascii="Times New Roman" w:eastAsia="MS Mincho" w:hAnsi="Times New Roman" w:cs="Times New Roman"/>
          <w:sz w:val="24"/>
          <w:szCs w:val="24"/>
        </w:rPr>
        <w:t>ë</w:t>
      </w:r>
      <w:r w:rsidR="005B099D" w:rsidRPr="004979D2">
        <w:rPr>
          <w:rFonts w:ascii="Times New Roman" w:eastAsia="MS Mincho" w:hAnsi="Times New Roman" w:cs="Times New Roman"/>
          <w:sz w:val="24"/>
          <w:szCs w:val="24"/>
        </w:rPr>
        <w:t xml:space="preserve"> mbrojtjen e</w:t>
      </w:r>
      <w:r w:rsidRPr="004979D2">
        <w:rPr>
          <w:rFonts w:ascii="Times New Roman" w:eastAsia="MS Mincho" w:hAnsi="Times New Roman" w:cs="Times New Roman"/>
          <w:sz w:val="24"/>
          <w:szCs w:val="24"/>
        </w:rPr>
        <w:t xml:space="preserve"> </w:t>
      </w:r>
      <w:r w:rsidR="005B099D" w:rsidRPr="004979D2">
        <w:rPr>
          <w:rFonts w:ascii="Times New Roman" w:eastAsia="MS Mincho" w:hAnsi="Times New Roman" w:cs="Times New Roman"/>
          <w:sz w:val="24"/>
          <w:szCs w:val="24"/>
        </w:rPr>
        <w:t xml:space="preserve">tregut të lirë </w:t>
      </w:r>
      <w:r w:rsidRPr="004979D2">
        <w:rPr>
          <w:rFonts w:ascii="Times New Roman" w:eastAsia="MS Mincho" w:hAnsi="Times New Roman" w:cs="Times New Roman"/>
          <w:sz w:val="24"/>
          <w:szCs w:val="24"/>
        </w:rPr>
        <w:t xml:space="preserve">dhe konkurrencës. </w:t>
      </w:r>
      <w:r w:rsidR="005B099D" w:rsidRPr="004979D2">
        <w:rPr>
          <w:rFonts w:ascii="Times New Roman" w:eastAsia="MS Mincho" w:hAnsi="Times New Roman" w:cs="Times New Roman"/>
          <w:sz w:val="24"/>
          <w:szCs w:val="24"/>
        </w:rPr>
        <w:t>Opsioni i dyt</w:t>
      </w:r>
      <w:r w:rsidR="00297CA2" w:rsidRPr="004979D2">
        <w:rPr>
          <w:rFonts w:ascii="Times New Roman" w:eastAsia="MS Mincho" w:hAnsi="Times New Roman" w:cs="Times New Roman"/>
          <w:sz w:val="24"/>
          <w:szCs w:val="24"/>
        </w:rPr>
        <w:t>ë</w:t>
      </w:r>
      <w:r w:rsidR="005B099D" w:rsidRPr="004979D2">
        <w:rPr>
          <w:rFonts w:ascii="Times New Roman" w:eastAsia="MS Mincho" w:hAnsi="Times New Roman" w:cs="Times New Roman"/>
          <w:sz w:val="24"/>
          <w:szCs w:val="24"/>
        </w:rPr>
        <w:t xml:space="preserve"> </w:t>
      </w:r>
      <w:r w:rsidR="00075215" w:rsidRPr="004979D2">
        <w:rPr>
          <w:rFonts w:ascii="Times New Roman" w:eastAsia="MS Mincho" w:hAnsi="Times New Roman" w:cs="Times New Roman"/>
          <w:sz w:val="24"/>
          <w:szCs w:val="24"/>
        </w:rPr>
        <w:t xml:space="preserve">(2) </w:t>
      </w:r>
      <w:r w:rsidR="005B099D" w:rsidRPr="004979D2">
        <w:rPr>
          <w:rFonts w:ascii="Times New Roman" w:eastAsia="MS Mincho" w:hAnsi="Times New Roman" w:cs="Times New Roman"/>
          <w:sz w:val="24"/>
          <w:szCs w:val="24"/>
        </w:rPr>
        <w:t>i cili është edhe opsioni i rekomanduar, bazuar n</w:t>
      </w:r>
      <w:r w:rsidR="00297CA2" w:rsidRPr="004979D2">
        <w:rPr>
          <w:rFonts w:ascii="Times New Roman" w:eastAsia="MS Mincho" w:hAnsi="Times New Roman" w:cs="Times New Roman"/>
          <w:sz w:val="24"/>
          <w:szCs w:val="24"/>
        </w:rPr>
        <w:t>ë</w:t>
      </w:r>
      <w:r w:rsidR="005B099D" w:rsidRPr="004979D2">
        <w:rPr>
          <w:rFonts w:ascii="Times New Roman" w:eastAsia="MS Mincho" w:hAnsi="Times New Roman" w:cs="Times New Roman"/>
          <w:sz w:val="24"/>
          <w:szCs w:val="24"/>
        </w:rPr>
        <w:t xml:space="preserve"> analizat e grupit punues</w:t>
      </w:r>
      <w:r w:rsidR="008753CB" w:rsidRPr="004979D2">
        <w:rPr>
          <w:rFonts w:ascii="Times New Roman" w:eastAsia="MS Mincho" w:hAnsi="Times New Roman" w:cs="Times New Roman"/>
          <w:sz w:val="24"/>
          <w:szCs w:val="24"/>
        </w:rPr>
        <w:t xml:space="preserve"> të </w:t>
      </w:r>
      <w:r w:rsidR="005B099D" w:rsidRPr="004979D2">
        <w:rPr>
          <w:rFonts w:ascii="Times New Roman" w:eastAsia="MS Mincho" w:hAnsi="Times New Roman" w:cs="Times New Roman"/>
          <w:sz w:val="24"/>
          <w:szCs w:val="24"/>
        </w:rPr>
        <w:t xml:space="preserve">këtij Koncept Dokumenti nuk paraqet vështirësi financiare për tu adresuar. </w:t>
      </w:r>
      <w:r w:rsidR="00427755" w:rsidRPr="004979D2">
        <w:rPr>
          <w:rFonts w:ascii="Times New Roman" w:eastAsia="MS Mincho" w:hAnsi="Times New Roman" w:cs="Times New Roman"/>
          <w:sz w:val="24"/>
          <w:szCs w:val="24"/>
        </w:rPr>
        <w:t>Sipas analizave të grupit punues, o</w:t>
      </w:r>
      <w:r w:rsidR="005B099D" w:rsidRPr="004979D2">
        <w:rPr>
          <w:rFonts w:ascii="Times New Roman" w:eastAsia="MS Mincho" w:hAnsi="Times New Roman" w:cs="Times New Roman"/>
          <w:sz w:val="24"/>
          <w:szCs w:val="24"/>
        </w:rPr>
        <w:t xml:space="preserve">psioni i </w:t>
      </w:r>
      <w:r w:rsidR="00427755" w:rsidRPr="004979D2">
        <w:rPr>
          <w:rFonts w:ascii="Times New Roman" w:eastAsia="MS Mincho" w:hAnsi="Times New Roman" w:cs="Times New Roman"/>
          <w:sz w:val="24"/>
          <w:szCs w:val="24"/>
        </w:rPr>
        <w:t>tretë</w:t>
      </w:r>
      <w:r w:rsidR="00075215" w:rsidRPr="004979D2">
        <w:rPr>
          <w:rFonts w:ascii="Times New Roman" w:eastAsia="MS Mincho" w:hAnsi="Times New Roman" w:cs="Times New Roman"/>
          <w:sz w:val="24"/>
          <w:szCs w:val="24"/>
        </w:rPr>
        <w:t xml:space="preserve"> (3)</w:t>
      </w:r>
      <w:r w:rsidR="005B099D" w:rsidRPr="004979D2">
        <w:rPr>
          <w:rFonts w:ascii="Times New Roman" w:eastAsia="MS Mincho" w:hAnsi="Times New Roman" w:cs="Times New Roman"/>
          <w:sz w:val="24"/>
          <w:szCs w:val="24"/>
        </w:rPr>
        <w:t xml:space="preserve"> edhe pse ka një kosto m</w:t>
      </w:r>
      <w:r w:rsidR="00C61042" w:rsidRPr="004979D2">
        <w:rPr>
          <w:rFonts w:ascii="Times New Roman" w:eastAsia="MS Mincho" w:hAnsi="Times New Roman" w:cs="Times New Roman"/>
          <w:sz w:val="24"/>
          <w:szCs w:val="24"/>
        </w:rPr>
        <w:t>ë</w:t>
      </w:r>
      <w:r w:rsidR="008753CB" w:rsidRPr="004979D2">
        <w:rPr>
          <w:rFonts w:ascii="Times New Roman" w:eastAsia="MS Mincho" w:hAnsi="Times New Roman" w:cs="Times New Roman"/>
          <w:sz w:val="24"/>
          <w:szCs w:val="24"/>
        </w:rPr>
        <w:t xml:space="preserve"> të </w:t>
      </w:r>
      <w:r w:rsidR="005B099D" w:rsidRPr="004979D2">
        <w:rPr>
          <w:rFonts w:ascii="Times New Roman" w:eastAsia="MS Mincho" w:hAnsi="Times New Roman" w:cs="Times New Roman"/>
          <w:sz w:val="24"/>
          <w:szCs w:val="24"/>
        </w:rPr>
        <w:t>ul</w:t>
      </w:r>
      <w:r w:rsidR="00427755" w:rsidRPr="004979D2">
        <w:rPr>
          <w:rFonts w:ascii="Times New Roman" w:eastAsia="MS Mincho" w:hAnsi="Times New Roman" w:cs="Times New Roman"/>
          <w:sz w:val="24"/>
          <w:szCs w:val="24"/>
        </w:rPr>
        <w:t>ë</w:t>
      </w:r>
      <w:r w:rsidR="005B099D" w:rsidRPr="004979D2">
        <w:rPr>
          <w:rFonts w:ascii="Times New Roman" w:eastAsia="MS Mincho" w:hAnsi="Times New Roman" w:cs="Times New Roman"/>
          <w:sz w:val="24"/>
          <w:szCs w:val="24"/>
        </w:rPr>
        <w:t>t nuk do</w:t>
      </w:r>
      <w:r w:rsidR="008753CB" w:rsidRPr="004979D2">
        <w:rPr>
          <w:rFonts w:ascii="Times New Roman" w:eastAsia="MS Mincho" w:hAnsi="Times New Roman" w:cs="Times New Roman"/>
          <w:sz w:val="24"/>
          <w:szCs w:val="24"/>
        </w:rPr>
        <w:t xml:space="preserve"> të </w:t>
      </w:r>
      <w:r w:rsidR="005B099D" w:rsidRPr="004979D2">
        <w:rPr>
          <w:rFonts w:ascii="Times New Roman" w:eastAsia="MS Mincho" w:hAnsi="Times New Roman" w:cs="Times New Roman"/>
          <w:sz w:val="24"/>
          <w:szCs w:val="24"/>
        </w:rPr>
        <w:t>mund</w:t>
      </w:r>
      <w:r w:rsidR="008753CB" w:rsidRPr="004979D2">
        <w:rPr>
          <w:rFonts w:ascii="Times New Roman" w:eastAsia="MS Mincho" w:hAnsi="Times New Roman" w:cs="Times New Roman"/>
          <w:sz w:val="24"/>
          <w:szCs w:val="24"/>
        </w:rPr>
        <w:t xml:space="preserve"> të </w:t>
      </w:r>
      <w:r w:rsidR="005B099D" w:rsidRPr="004979D2">
        <w:rPr>
          <w:rFonts w:ascii="Times New Roman" w:eastAsia="MS Mincho" w:hAnsi="Times New Roman" w:cs="Times New Roman"/>
          <w:sz w:val="24"/>
          <w:szCs w:val="24"/>
        </w:rPr>
        <w:t>adresonte plotësisht efektet dhe shkaqet me natyrë legjislative</w:t>
      </w:r>
      <w:r w:rsidR="008753CB" w:rsidRPr="004979D2">
        <w:rPr>
          <w:rFonts w:ascii="Times New Roman" w:eastAsia="MS Mincho" w:hAnsi="Times New Roman" w:cs="Times New Roman"/>
          <w:sz w:val="24"/>
          <w:szCs w:val="24"/>
        </w:rPr>
        <w:t xml:space="preserve"> të </w:t>
      </w:r>
      <w:r w:rsidR="005B099D" w:rsidRPr="004979D2">
        <w:rPr>
          <w:rFonts w:ascii="Times New Roman" w:eastAsia="MS Mincho" w:hAnsi="Times New Roman" w:cs="Times New Roman"/>
          <w:sz w:val="24"/>
          <w:szCs w:val="24"/>
        </w:rPr>
        <w:t>cilat kan</w:t>
      </w:r>
      <w:r w:rsidR="00C61042" w:rsidRPr="004979D2">
        <w:rPr>
          <w:rFonts w:ascii="Times New Roman" w:eastAsia="MS Mincho" w:hAnsi="Times New Roman" w:cs="Times New Roman"/>
          <w:sz w:val="24"/>
          <w:szCs w:val="24"/>
        </w:rPr>
        <w:t>ë</w:t>
      </w:r>
      <w:r w:rsidR="005B099D" w:rsidRPr="004979D2">
        <w:rPr>
          <w:rFonts w:ascii="Times New Roman" w:eastAsia="MS Mincho" w:hAnsi="Times New Roman" w:cs="Times New Roman"/>
          <w:sz w:val="24"/>
          <w:szCs w:val="24"/>
        </w:rPr>
        <w:t xml:space="preserve"> </w:t>
      </w:r>
      <w:r w:rsidR="000C6DC1" w:rsidRPr="004979D2">
        <w:rPr>
          <w:rFonts w:ascii="Times New Roman" w:eastAsia="MS Mincho" w:hAnsi="Times New Roman" w:cs="Times New Roman"/>
          <w:sz w:val="24"/>
          <w:szCs w:val="24"/>
        </w:rPr>
        <w:t xml:space="preserve">sjellë </w:t>
      </w:r>
      <w:r w:rsidR="005B099D" w:rsidRPr="004979D2">
        <w:rPr>
          <w:rFonts w:ascii="Times New Roman" w:eastAsia="MS Mincho" w:hAnsi="Times New Roman" w:cs="Times New Roman"/>
          <w:sz w:val="24"/>
          <w:szCs w:val="24"/>
        </w:rPr>
        <w:t>problemin kryeso</w:t>
      </w:r>
      <w:r w:rsidR="000C6DC1" w:rsidRPr="004979D2">
        <w:rPr>
          <w:rFonts w:ascii="Times New Roman" w:eastAsia="MS Mincho" w:hAnsi="Times New Roman" w:cs="Times New Roman"/>
          <w:sz w:val="24"/>
          <w:szCs w:val="24"/>
        </w:rPr>
        <w:t xml:space="preserve">r. Gjithashtu </w:t>
      </w:r>
      <w:r w:rsidR="00427755" w:rsidRPr="004979D2">
        <w:rPr>
          <w:rFonts w:ascii="Times New Roman" w:eastAsia="MS Mincho" w:hAnsi="Times New Roman" w:cs="Times New Roman"/>
          <w:sz w:val="24"/>
          <w:szCs w:val="24"/>
        </w:rPr>
        <w:t>ky opsion</w:t>
      </w:r>
      <w:r w:rsidR="000C6DC1" w:rsidRPr="004979D2">
        <w:rPr>
          <w:rFonts w:ascii="Times New Roman" w:eastAsia="MS Mincho" w:hAnsi="Times New Roman" w:cs="Times New Roman"/>
          <w:sz w:val="24"/>
          <w:szCs w:val="24"/>
        </w:rPr>
        <w:t xml:space="preserve"> pavarësisht kostos m</w:t>
      </w:r>
      <w:r w:rsidR="00C61042" w:rsidRPr="004979D2">
        <w:rPr>
          <w:rFonts w:ascii="Times New Roman" w:eastAsia="MS Mincho" w:hAnsi="Times New Roman" w:cs="Times New Roman"/>
          <w:sz w:val="24"/>
          <w:szCs w:val="24"/>
        </w:rPr>
        <w:t>ë</w:t>
      </w:r>
      <w:r w:rsidR="008753CB" w:rsidRPr="004979D2">
        <w:rPr>
          <w:rFonts w:ascii="Times New Roman" w:eastAsia="MS Mincho" w:hAnsi="Times New Roman" w:cs="Times New Roman"/>
          <w:sz w:val="24"/>
          <w:szCs w:val="24"/>
        </w:rPr>
        <w:t xml:space="preserve"> të </w:t>
      </w:r>
      <w:r w:rsidR="000C6DC1" w:rsidRPr="004979D2">
        <w:rPr>
          <w:rFonts w:ascii="Times New Roman" w:eastAsia="MS Mincho" w:hAnsi="Times New Roman" w:cs="Times New Roman"/>
          <w:sz w:val="24"/>
          <w:szCs w:val="24"/>
        </w:rPr>
        <w:t xml:space="preserve">ulet, nuk </w:t>
      </w:r>
      <w:r w:rsidR="00E32856" w:rsidRPr="004979D2">
        <w:rPr>
          <w:rFonts w:ascii="Times New Roman" w:eastAsia="MS Mincho" w:hAnsi="Times New Roman" w:cs="Times New Roman"/>
          <w:sz w:val="24"/>
          <w:szCs w:val="24"/>
        </w:rPr>
        <w:t xml:space="preserve">i përmbush të gjitha </w:t>
      </w:r>
      <w:r w:rsidR="000C6DC1" w:rsidRPr="004979D2">
        <w:rPr>
          <w:rFonts w:ascii="Times New Roman" w:eastAsia="MS Mincho" w:hAnsi="Times New Roman" w:cs="Times New Roman"/>
          <w:sz w:val="24"/>
          <w:szCs w:val="24"/>
        </w:rPr>
        <w:t xml:space="preserve">kërkesat </w:t>
      </w:r>
      <w:r w:rsidR="00E32856" w:rsidRPr="004979D2">
        <w:rPr>
          <w:rFonts w:ascii="Times New Roman" w:eastAsia="MS Mincho" w:hAnsi="Times New Roman" w:cs="Times New Roman"/>
          <w:sz w:val="24"/>
          <w:szCs w:val="24"/>
        </w:rPr>
        <w:t xml:space="preserve">që </w:t>
      </w:r>
      <w:r w:rsidR="00075215" w:rsidRPr="004979D2">
        <w:rPr>
          <w:rFonts w:ascii="Times New Roman" w:eastAsia="MS Mincho" w:hAnsi="Times New Roman" w:cs="Times New Roman"/>
          <w:sz w:val="24"/>
          <w:szCs w:val="24"/>
        </w:rPr>
        <w:t xml:space="preserve">burojnë nga MSA-ja </w:t>
      </w:r>
      <w:r w:rsidR="00E32856" w:rsidRPr="004979D2">
        <w:rPr>
          <w:rFonts w:ascii="Times New Roman" w:eastAsia="MS Mincho" w:hAnsi="Times New Roman" w:cs="Times New Roman"/>
          <w:sz w:val="24"/>
          <w:szCs w:val="24"/>
        </w:rPr>
        <w:t>dhe detyrime</w:t>
      </w:r>
      <w:r w:rsidR="00075215" w:rsidRPr="004979D2">
        <w:rPr>
          <w:rFonts w:ascii="Times New Roman" w:eastAsia="MS Mincho" w:hAnsi="Times New Roman" w:cs="Times New Roman"/>
          <w:sz w:val="24"/>
          <w:szCs w:val="24"/>
        </w:rPr>
        <w:t>t</w:t>
      </w:r>
      <w:r w:rsidR="00E32856" w:rsidRPr="004979D2">
        <w:rPr>
          <w:rFonts w:ascii="Times New Roman" w:eastAsia="MS Mincho" w:hAnsi="Times New Roman" w:cs="Times New Roman"/>
          <w:sz w:val="24"/>
          <w:szCs w:val="24"/>
        </w:rPr>
        <w:t xml:space="preserve"> </w:t>
      </w:r>
      <w:r w:rsidR="00075215" w:rsidRPr="004979D2">
        <w:rPr>
          <w:rFonts w:ascii="Times New Roman" w:eastAsia="MS Mincho" w:hAnsi="Times New Roman" w:cs="Times New Roman"/>
          <w:sz w:val="24"/>
          <w:szCs w:val="24"/>
        </w:rPr>
        <w:t>e</w:t>
      </w:r>
      <w:r w:rsidR="00E32856" w:rsidRPr="004979D2">
        <w:rPr>
          <w:rFonts w:ascii="Times New Roman" w:eastAsia="MS Mincho" w:hAnsi="Times New Roman" w:cs="Times New Roman"/>
          <w:sz w:val="24"/>
          <w:szCs w:val="24"/>
        </w:rPr>
        <w:t xml:space="preserve"> tjera që</w:t>
      </w:r>
      <w:r w:rsidR="000C6DC1" w:rsidRPr="004979D2">
        <w:rPr>
          <w:rFonts w:ascii="Times New Roman" w:eastAsia="MS Mincho" w:hAnsi="Times New Roman" w:cs="Times New Roman"/>
          <w:sz w:val="24"/>
          <w:szCs w:val="24"/>
        </w:rPr>
        <w:t xml:space="preserve"> ka Kosova</w:t>
      </w:r>
      <w:r w:rsidR="008753CB" w:rsidRPr="004979D2">
        <w:rPr>
          <w:rFonts w:ascii="Times New Roman" w:eastAsia="MS Mincho" w:hAnsi="Times New Roman" w:cs="Times New Roman"/>
          <w:sz w:val="24"/>
          <w:szCs w:val="24"/>
        </w:rPr>
        <w:t xml:space="preserve"> </w:t>
      </w:r>
      <w:r w:rsidR="00E32856" w:rsidRPr="004979D2">
        <w:rPr>
          <w:rFonts w:ascii="Times New Roman" w:eastAsia="MS Mincho" w:hAnsi="Times New Roman" w:cs="Times New Roman"/>
          <w:sz w:val="24"/>
          <w:szCs w:val="24"/>
        </w:rPr>
        <w:t xml:space="preserve">sa i përket agjendës Evropiane në fushën e Konkurrencës. </w:t>
      </w:r>
    </w:p>
    <w:p w14:paraId="2C3DD02E" w14:textId="77777777" w:rsidR="00051DC1" w:rsidRDefault="00E43229" w:rsidP="002B1BC6">
      <w:pPr>
        <w:spacing w:line="360" w:lineRule="auto"/>
        <w:jc w:val="both"/>
        <w:rPr>
          <w:rFonts w:ascii="Times New Roman" w:eastAsia="MS Mincho" w:hAnsi="Times New Roman" w:cs="Times New Roman"/>
          <w:sz w:val="24"/>
          <w:szCs w:val="24"/>
        </w:rPr>
      </w:pPr>
      <w:r w:rsidRPr="004979D2">
        <w:rPr>
          <w:rFonts w:ascii="Times New Roman" w:eastAsia="MS Mincho" w:hAnsi="Times New Roman" w:cs="Times New Roman"/>
          <w:sz w:val="24"/>
          <w:szCs w:val="24"/>
        </w:rPr>
        <w:t xml:space="preserve">Plani për zbatimin e këtij Koncept Dokumenti, me kusht që të aprovohet me opsionin e rekomanduar, </w:t>
      </w:r>
      <w:r w:rsidR="00075215" w:rsidRPr="004979D2">
        <w:rPr>
          <w:rFonts w:ascii="Times New Roman" w:eastAsia="MS Mincho" w:hAnsi="Times New Roman" w:cs="Times New Roman"/>
          <w:sz w:val="24"/>
          <w:szCs w:val="24"/>
        </w:rPr>
        <w:t xml:space="preserve">opsioni i dytë (2), </w:t>
      </w:r>
      <w:r w:rsidRPr="004979D2">
        <w:rPr>
          <w:rFonts w:ascii="Times New Roman" w:eastAsia="MS Mincho" w:hAnsi="Times New Roman" w:cs="Times New Roman"/>
          <w:sz w:val="24"/>
          <w:szCs w:val="24"/>
        </w:rPr>
        <w:t>është si në vijim:</w:t>
      </w:r>
    </w:p>
    <w:p w14:paraId="330CF0F9" w14:textId="77777777" w:rsidR="00B04C19" w:rsidRDefault="00B04C19" w:rsidP="002B1BC6">
      <w:pPr>
        <w:spacing w:line="360" w:lineRule="auto"/>
        <w:jc w:val="both"/>
        <w:rPr>
          <w:rFonts w:ascii="Times New Roman" w:eastAsia="MS Mincho" w:hAnsi="Times New Roman" w:cs="Times New Roman"/>
          <w:sz w:val="24"/>
          <w:szCs w:val="24"/>
        </w:rPr>
      </w:pPr>
    </w:p>
    <w:p w14:paraId="12855BCC" w14:textId="77777777" w:rsidR="00B04C19" w:rsidRPr="004979D2" w:rsidRDefault="00B04C19" w:rsidP="002B1BC6">
      <w:pPr>
        <w:spacing w:line="360" w:lineRule="auto"/>
        <w:jc w:val="both"/>
        <w:rPr>
          <w:rFonts w:ascii="Times New Roman" w:eastAsia="MS Mincho" w:hAnsi="Times New Roman" w:cs="Times New Roman"/>
          <w:sz w:val="24"/>
          <w:szCs w:val="24"/>
        </w:rPr>
      </w:pPr>
    </w:p>
    <w:p w14:paraId="5A6839A5" w14:textId="77777777" w:rsidR="00051DC1" w:rsidRPr="004979D2" w:rsidRDefault="00051DC1" w:rsidP="002B1BC6">
      <w:pPr>
        <w:pStyle w:val="Caption"/>
        <w:spacing w:line="360" w:lineRule="auto"/>
        <w:rPr>
          <w:rFonts w:ascii="Times New Roman" w:hAnsi="Times New Roman" w:cs="Times New Roman"/>
          <w:sz w:val="24"/>
          <w:szCs w:val="24"/>
        </w:rPr>
      </w:pPr>
      <w:r w:rsidRPr="004979D2">
        <w:rPr>
          <w:rFonts w:ascii="Times New Roman" w:hAnsi="Times New Roman" w:cs="Times New Roman"/>
          <w:sz w:val="24"/>
          <w:szCs w:val="24"/>
        </w:rPr>
        <w:lastRenderedPageBreak/>
        <w:t>Figur</w:t>
      </w:r>
      <w:r w:rsidR="0064622A" w:rsidRPr="004979D2">
        <w:rPr>
          <w:rFonts w:ascii="Times New Roman" w:hAnsi="Times New Roman" w:cs="Times New Roman"/>
          <w:sz w:val="24"/>
          <w:szCs w:val="24"/>
        </w:rPr>
        <w:t>a</w:t>
      </w:r>
      <w:r w:rsidRPr="004979D2">
        <w:rPr>
          <w:rFonts w:ascii="Times New Roman" w:hAnsi="Times New Roman" w:cs="Times New Roman"/>
          <w:sz w:val="24"/>
          <w:szCs w:val="24"/>
        </w:rPr>
        <w:t xml:space="preserve"> </w:t>
      </w:r>
      <w:r w:rsidR="008904AB" w:rsidRPr="004979D2">
        <w:rPr>
          <w:rFonts w:ascii="Times New Roman" w:hAnsi="Times New Roman" w:cs="Times New Roman"/>
          <w:sz w:val="24"/>
          <w:szCs w:val="24"/>
        </w:rPr>
        <w:t>14</w:t>
      </w:r>
      <w:r w:rsidRPr="004979D2">
        <w:rPr>
          <w:rFonts w:ascii="Times New Roman" w:hAnsi="Times New Roman" w:cs="Times New Roman"/>
          <w:sz w:val="24"/>
          <w:szCs w:val="24"/>
        </w:rPr>
        <w:t xml:space="preserve">: </w:t>
      </w:r>
      <w:r w:rsidR="0064622A" w:rsidRPr="004979D2">
        <w:rPr>
          <w:rFonts w:ascii="Times New Roman" w:hAnsi="Times New Roman" w:cs="Times New Roman"/>
          <w:sz w:val="24"/>
          <w:szCs w:val="24"/>
        </w:rPr>
        <w:t>Plani i zbatimit të opsionit të preferuar</w:t>
      </w:r>
    </w:p>
    <w:tbl>
      <w:tblPr>
        <w:tblStyle w:val="TableGrid2"/>
        <w:tblW w:w="0" w:type="auto"/>
        <w:tblLook w:val="04A0" w:firstRow="1" w:lastRow="0" w:firstColumn="1" w:lastColumn="0" w:noHBand="0" w:noVBand="1"/>
      </w:tblPr>
      <w:tblGrid>
        <w:gridCol w:w="6976"/>
        <w:gridCol w:w="2420"/>
      </w:tblGrid>
      <w:tr w:rsidR="00E43229" w:rsidRPr="004979D2" w14:paraId="59A083EE" w14:textId="77777777" w:rsidTr="001C7171">
        <w:tc>
          <w:tcPr>
            <w:tcW w:w="7128" w:type="dxa"/>
          </w:tcPr>
          <w:p w14:paraId="6B784CF9" w14:textId="77777777" w:rsidR="00E43229" w:rsidRPr="004979D2" w:rsidRDefault="00E43229" w:rsidP="002B1BC6">
            <w:pPr>
              <w:spacing w:line="360" w:lineRule="auto"/>
              <w:jc w:val="center"/>
              <w:rPr>
                <w:rFonts w:ascii="Times New Roman" w:hAnsi="Times New Roman" w:cs="Times New Roman"/>
                <w:b/>
                <w:sz w:val="24"/>
                <w:szCs w:val="24"/>
              </w:rPr>
            </w:pPr>
            <w:r w:rsidRPr="004979D2">
              <w:rPr>
                <w:rFonts w:ascii="Times New Roman" w:hAnsi="Times New Roman" w:cs="Times New Roman"/>
                <w:b/>
                <w:sz w:val="24"/>
                <w:szCs w:val="24"/>
              </w:rPr>
              <w:t>Veprimi</w:t>
            </w:r>
          </w:p>
        </w:tc>
        <w:tc>
          <w:tcPr>
            <w:tcW w:w="2448" w:type="dxa"/>
          </w:tcPr>
          <w:p w14:paraId="012DEB17" w14:textId="77777777" w:rsidR="00E43229" w:rsidRPr="004979D2" w:rsidRDefault="00E43229" w:rsidP="002B1BC6">
            <w:pPr>
              <w:spacing w:line="360" w:lineRule="auto"/>
              <w:jc w:val="center"/>
              <w:rPr>
                <w:rFonts w:ascii="Times New Roman" w:hAnsi="Times New Roman" w:cs="Times New Roman"/>
                <w:b/>
                <w:sz w:val="24"/>
                <w:szCs w:val="24"/>
              </w:rPr>
            </w:pPr>
            <w:r w:rsidRPr="004979D2">
              <w:rPr>
                <w:rFonts w:ascii="Times New Roman" w:hAnsi="Times New Roman" w:cs="Times New Roman"/>
                <w:b/>
                <w:sz w:val="24"/>
                <w:szCs w:val="24"/>
              </w:rPr>
              <w:t>Afati kohor</w:t>
            </w:r>
          </w:p>
        </w:tc>
      </w:tr>
      <w:tr w:rsidR="00E43229" w:rsidRPr="004979D2" w14:paraId="4FC945B1" w14:textId="77777777" w:rsidTr="001C7171">
        <w:tc>
          <w:tcPr>
            <w:tcW w:w="7128" w:type="dxa"/>
          </w:tcPr>
          <w:p w14:paraId="7DF2329A" w14:textId="77777777" w:rsidR="00E43229" w:rsidRPr="004979D2" w:rsidRDefault="00F224EE" w:rsidP="002B1BC6">
            <w:pPr>
              <w:pStyle w:val="ListParagraph"/>
              <w:numPr>
                <w:ilvl w:val="0"/>
                <w:numId w:val="39"/>
              </w:num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Hartimi i Projektligjit </w:t>
            </w:r>
            <w:r w:rsidR="00C17F8E" w:rsidRPr="004979D2">
              <w:rPr>
                <w:rFonts w:ascii="Times New Roman" w:hAnsi="Times New Roman" w:cs="Times New Roman"/>
                <w:sz w:val="24"/>
                <w:szCs w:val="24"/>
              </w:rPr>
              <w:t xml:space="preserve">për </w:t>
            </w:r>
            <w:r w:rsidR="00E43229" w:rsidRPr="004979D2">
              <w:rPr>
                <w:rFonts w:ascii="Times New Roman" w:hAnsi="Times New Roman" w:cs="Times New Roman"/>
                <w:sz w:val="24"/>
                <w:szCs w:val="24"/>
              </w:rPr>
              <w:t xml:space="preserve">mbrojtjen e konkurrencës </w:t>
            </w:r>
          </w:p>
        </w:tc>
        <w:tc>
          <w:tcPr>
            <w:tcW w:w="2448" w:type="dxa"/>
          </w:tcPr>
          <w:p w14:paraId="4F8C2DE3" w14:textId="77777777" w:rsidR="00E43229" w:rsidRPr="004979D2" w:rsidRDefault="00E43229" w:rsidP="002B1BC6">
            <w:pPr>
              <w:spacing w:line="360" w:lineRule="auto"/>
              <w:jc w:val="center"/>
              <w:rPr>
                <w:rFonts w:ascii="Times New Roman" w:hAnsi="Times New Roman" w:cs="Times New Roman"/>
                <w:sz w:val="24"/>
                <w:szCs w:val="24"/>
              </w:rPr>
            </w:pPr>
            <w:r w:rsidRPr="004979D2">
              <w:rPr>
                <w:rFonts w:ascii="Times New Roman" w:hAnsi="Times New Roman" w:cs="Times New Roman"/>
                <w:sz w:val="24"/>
                <w:szCs w:val="24"/>
              </w:rPr>
              <w:t>K2 2019</w:t>
            </w:r>
          </w:p>
        </w:tc>
      </w:tr>
      <w:tr w:rsidR="00E43229" w:rsidRPr="004979D2" w14:paraId="4ED66721" w14:textId="77777777" w:rsidTr="001C7171">
        <w:tc>
          <w:tcPr>
            <w:tcW w:w="7128" w:type="dxa"/>
          </w:tcPr>
          <w:p w14:paraId="7783642D" w14:textId="77777777" w:rsidR="00E43229" w:rsidRPr="004979D2" w:rsidRDefault="00E43229" w:rsidP="002B1BC6">
            <w:pPr>
              <w:pStyle w:val="ListParagraph"/>
              <w:numPr>
                <w:ilvl w:val="0"/>
                <w:numId w:val="39"/>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Aprovimi Projektligjit për mbrojtjen e konkurrencës në Qeverinë e Republikës së Kosovës</w:t>
            </w:r>
          </w:p>
        </w:tc>
        <w:tc>
          <w:tcPr>
            <w:tcW w:w="2448" w:type="dxa"/>
          </w:tcPr>
          <w:p w14:paraId="06A6FA21" w14:textId="77777777" w:rsidR="00E43229" w:rsidRPr="004979D2" w:rsidRDefault="00E43229" w:rsidP="002B1BC6">
            <w:pPr>
              <w:spacing w:line="360" w:lineRule="auto"/>
              <w:jc w:val="center"/>
              <w:rPr>
                <w:rFonts w:ascii="Times New Roman" w:hAnsi="Times New Roman" w:cs="Times New Roman"/>
                <w:sz w:val="24"/>
                <w:szCs w:val="24"/>
              </w:rPr>
            </w:pPr>
            <w:r w:rsidRPr="004979D2">
              <w:rPr>
                <w:rFonts w:ascii="Times New Roman" w:hAnsi="Times New Roman" w:cs="Times New Roman"/>
                <w:sz w:val="24"/>
                <w:szCs w:val="24"/>
              </w:rPr>
              <w:t>K2 2019</w:t>
            </w:r>
          </w:p>
        </w:tc>
      </w:tr>
      <w:tr w:rsidR="00E43229" w:rsidRPr="004979D2" w14:paraId="29CB3CB9" w14:textId="77777777" w:rsidTr="001C7171">
        <w:tc>
          <w:tcPr>
            <w:tcW w:w="7128" w:type="dxa"/>
          </w:tcPr>
          <w:p w14:paraId="123F3E19" w14:textId="77777777" w:rsidR="00E43229" w:rsidRPr="004979D2" w:rsidRDefault="00E43229" w:rsidP="002B1BC6">
            <w:pPr>
              <w:pStyle w:val="ListParagraph"/>
              <w:numPr>
                <w:ilvl w:val="0"/>
                <w:numId w:val="39"/>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Aprovimi Projektligjit për mbrojtjen e konkurrencës në Kuvendin e Republikës së Kosovës</w:t>
            </w:r>
          </w:p>
        </w:tc>
        <w:tc>
          <w:tcPr>
            <w:tcW w:w="2448" w:type="dxa"/>
          </w:tcPr>
          <w:p w14:paraId="1F3E0825" w14:textId="77777777" w:rsidR="00E43229" w:rsidRPr="004979D2" w:rsidRDefault="00E43229" w:rsidP="002B1BC6">
            <w:pPr>
              <w:spacing w:line="360" w:lineRule="auto"/>
              <w:jc w:val="center"/>
              <w:rPr>
                <w:rFonts w:ascii="Times New Roman" w:hAnsi="Times New Roman" w:cs="Times New Roman"/>
                <w:sz w:val="24"/>
                <w:szCs w:val="24"/>
              </w:rPr>
            </w:pPr>
            <w:r w:rsidRPr="004979D2">
              <w:rPr>
                <w:rFonts w:ascii="Times New Roman" w:hAnsi="Times New Roman" w:cs="Times New Roman"/>
                <w:sz w:val="24"/>
                <w:szCs w:val="24"/>
              </w:rPr>
              <w:t>K3 2019</w:t>
            </w:r>
          </w:p>
        </w:tc>
      </w:tr>
      <w:tr w:rsidR="00E43229" w:rsidRPr="004979D2" w14:paraId="34FCC132" w14:textId="77777777" w:rsidTr="001C7171">
        <w:tc>
          <w:tcPr>
            <w:tcW w:w="7128" w:type="dxa"/>
          </w:tcPr>
          <w:p w14:paraId="74E55168" w14:textId="77777777" w:rsidR="00E43229" w:rsidRPr="004979D2" w:rsidRDefault="00E43229" w:rsidP="002B1BC6">
            <w:pPr>
              <w:pStyle w:val="ListParagraph"/>
              <w:numPr>
                <w:ilvl w:val="0"/>
                <w:numId w:val="39"/>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Hyrja në fuqi e Projektligjit për mbrojtjen e konkurrencës</w:t>
            </w:r>
          </w:p>
        </w:tc>
        <w:tc>
          <w:tcPr>
            <w:tcW w:w="2448" w:type="dxa"/>
          </w:tcPr>
          <w:p w14:paraId="1C70F892" w14:textId="77777777" w:rsidR="00E43229" w:rsidRPr="004979D2" w:rsidRDefault="008904AB" w:rsidP="002B1BC6">
            <w:pPr>
              <w:spacing w:line="360" w:lineRule="auto"/>
              <w:jc w:val="center"/>
              <w:rPr>
                <w:rFonts w:ascii="Times New Roman" w:hAnsi="Times New Roman" w:cs="Times New Roman"/>
                <w:sz w:val="24"/>
                <w:szCs w:val="24"/>
              </w:rPr>
            </w:pPr>
            <w:r w:rsidRPr="004979D2">
              <w:rPr>
                <w:rFonts w:ascii="Times New Roman" w:hAnsi="Times New Roman" w:cs="Times New Roman"/>
                <w:sz w:val="24"/>
                <w:szCs w:val="24"/>
              </w:rPr>
              <w:t xml:space="preserve">       </w:t>
            </w:r>
            <w:r w:rsidR="00E43229" w:rsidRPr="004979D2">
              <w:rPr>
                <w:rFonts w:ascii="Times New Roman" w:hAnsi="Times New Roman" w:cs="Times New Roman"/>
                <w:sz w:val="24"/>
                <w:szCs w:val="24"/>
              </w:rPr>
              <w:t>1 janar 2020</w:t>
            </w:r>
          </w:p>
        </w:tc>
      </w:tr>
      <w:tr w:rsidR="00E43229" w:rsidRPr="004979D2" w14:paraId="34F63225" w14:textId="77777777" w:rsidTr="001C7171">
        <w:tc>
          <w:tcPr>
            <w:tcW w:w="7128" w:type="dxa"/>
          </w:tcPr>
          <w:p w14:paraId="5F8C71EE" w14:textId="77777777" w:rsidR="00E43229" w:rsidRPr="004979D2" w:rsidRDefault="00E43229" w:rsidP="002B1BC6">
            <w:pPr>
              <w:pStyle w:val="ListParagraph"/>
              <w:numPr>
                <w:ilvl w:val="0"/>
                <w:numId w:val="39"/>
              </w:num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Zbatimi i Ligjit për mbrojtjen e konkurrencës</w:t>
            </w:r>
          </w:p>
        </w:tc>
        <w:tc>
          <w:tcPr>
            <w:tcW w:w="2448" w:type="dxa"/>
          </w:tcPr>
          <w:p w14:paraId="29FB9E57" w14:textId="77777777" w:rsidR="00E43229" w:rsidRPr="004979D2" w:rsidRDefault="008904AB" w:rsidP="002B1BC6">
            <w:pPr>
              <w:spacing w:line="360" w:lineRule="auto"/>
              <w:ind w:left="720"/>
              <w:rPr>
                <w:rFonts w:ascii="Times New Roman" w:hAnsi="Times New Roman" w:cs="Times New Roman"/>
                <w:sz w:val="24"/>
                <w:szCs w:val="24"/>
              </w:rPr>
            </w:pPr>
            <w:r w:rsidRPr="004979D2">
              <w:rPr>
                <w:rFonts w:ascii="Times New Roman" w:hAnsi="Times New Roman" w:cs="Times New Roman"/>
                <w:sz w:val="24"/>
                <w:szCs w:val="24"/>
              </w:rPr>
              <w:t xml:space="preserve">1 </w:t>
            </w:r>
            <w:r w:rsidR="00E43229" w:rsidRPr="004979D2">
              <w:rPr>
                <w:rFonts w:ascii="Times New Roman" w:hAnsi="Times New Roman" w:cs="Times New Roman"/>
                <w:sz w:val="24"/>
                <w:szCs w:val="24"/>
              </w:rPr>
              <w:t>janar 2020</w:t>
            </w:r>
          </w:p>
        </w:tc>
      </w:tr>
    </w:tbl>
    <w:p w14:paraId="63EE744E" w14:textId="77777777" w:rsidR="00051DC1" w:rsidRPr="004979D2" w:rsidRDefault="00051DC1" w:rsidP="002B1BC6">
      <w:pPr>
        <w:spacing w:line="360" w:lineRule="auto"/>
        <w:rPr>
          <w:rFonts w:ascii="Times New Roman" w:hAnsi="Times New Roman" w:cs="Times New Roman"/>
          <w:sz w:val="24"/>
          <w:szCs w:val="24"/>
        </w:rPr>
      </w:pPr>
    </w:p>
    <w:p w14:paraId="4DF0BD63" w14:textId="77777777" w:rsidR="00051DC1" w:rsidRPr="004979D2" w:rsidRDefault="00623843" w:rsidP="002B1BC6">
      <w:pPr>
        <w:pStyle w:val="Heading2"/>
        <w:spacing w:line="360" w:lineRule="auto"/>
        <w:rPr>
          <w:rFonts w:cs="Times New Roman"/>
          <w:szCs w:val="24"/>
        </w:rPr>
      </w:pPr>
      <w:bookmarkStart w:id="52" w:name="_Toc1114336"/>
      <w:r w:rsidRPr="004979D2">
        <w:rPr>
          <w:rFonts w:cs="Times New Roman"/>
          <w:szCs w:val="24"/>
        </w:rPr>
        <w:t>K</w:t>
      </w:r>
      <w:r w:rsidR="00AC094B" w:rsidRPr="004979D2">
        <w:rPr>
          <w:rFonts w:cs="Times New Roman"/>
          <w:szCs w:val="24"/>
        </w:rPr>
        <w:t>ap</w:t>
      </w:r>
      <w:r w:rsidRPr="004979D2">
        <w:rPr>
          <w:rFonts w:cs="Times New Roman"/>
          <w:szCs w:val="24"/>
        </w:rPr>
        <w:t>i</w:t>
      </w:r>
      <w:r w:rsidR="00AC094B" w:rsidRPr="004979D2">
        <w:rPr>
          <w:rFonts w:cs="Times New Roman"/>
          <w:szCs w:val="24"/>
        </w:rPr>
        <w:t>t</w:t>
      </w:r>
      <w:r w:rsidRPr="004979D2">
        <w:rPr>
          <w:rFonts w:cs="Times New Roman"/>
          <w:szCs w:val="24"/>
        </w:rPr>
        <w:t>ulli</w:t>
      </w:r>
      <w:r w:rsidR="00AC094B" w:rsidRPr="004979D2">
        <w:rPr>
          <w:rFonts w:cs="Times New Roman"/>
          <w:szCs w:val="24"/>
        </w:rPr>
        <w:t xml:space="preserve"> 7.1: </w:t>
      </w:r>
      <w:r w:rsidRPr="004979D2">
        <w:rPr>
          <w:rFonts w:cs="Times New Roman"/>
          <w:szCs w:val="24"/>
        </w:rPr>
        <w:t>Dispozitat për monitorimin dhe vlerësimin</w:t>
      </w:r>
      <w:bookmarkEnd w:id="52"/>
    </w:p>
    <w:p w14:paraId="279E4BC5" w14:textId="77777777" w:rsidR="008904AB" w:rsidRPr="004979D2" w:rsidRDefault="008904AB" w:rsidP="002B1BC6">
      <w:pPr>
        <w:spacing w:line="360" w:lineRule="auto"/>
        <w:rPr>
          <w:rFonts w:ascii="Times New Roman" w:hAnsi="Times New Roman" w:cs="Times New Roman"/>
          <w:sz w:val="24"/>
          <w:szCs w:val="24"/>
        </w:rPr>
      </w:pPr>
    </w:p>
    <w:p w14:paraId="7ECD7F02" w14:textId="1FF82919" w:rsidR="00E43229" w:rsidRPr="004979D2" w:rsidRDefault="00E43229" w:rsidP="002B1BC6">
      <w:pPr>
        <w:spacing w:line="360" w:lineRule="auto"/>
        <w:jc w:val="both"/>
        <w:rPr>
          <w:rFonts w:ascii="Times New Roman" w:eastAsia="MS Mincho" w:hAnsi="Times New Roman" w:cs="Times New Roman"/>
          <w:sz w:val="24"/>
          <w:szCs w:val="24"/>
        </w:rPr>
      </w:pPr>
      <w:r w:rsidRPr="004979D2">
        <w:rPr>
          <w:rFonts w:ascii="Times New Roman" w:eastAsia="MS Mincho" w:hAnsi="Times New Roman" w:cs="Times New Roman"/>
          <w:sz w:val="24"/>
          <w:szCs w:val="24"/>
        </w:rPr>
        <w:t>Plani i veprimit për zbatimin e opsionit të rekomanduar të këtij Koncept Dokumenti do të reflektohet në Planin e Punës së Autoritetit  t</w:t>
      </w:r>
      <w:r w:rsidR="00384463" w:rsidRPr="004979D2">
        <w:rPr>
          <w:rFonts w:ascii="Times New Roman" w:eastAsia="MS Mincho" w:hAnsi="Times New Roman" w:cs="Times New Roman"/>
          <w:sz w:val="24"/>
          <w:szCs w:val="24"/>
        </w:rPr>
        <w:t>ë</w:t>
      </w:r>
      <w:r w:rsidRPr="004979D2">
        <w:rPr>
          <w:rFonts w:ascii="Times New Roman" w:eastAsia="MS Mincho" w:hAnsi="Times New Roman" w:cs="Times New Roman"/>
          <w:sz w:val="24"/>
          <w:szCs w:val="24"/>
        </w:rPr>
        <w:t xml:space="preserve">  </w:t>
      </w:r>
      <w:r w:rsidR="00AE6725" w:rsidRPr="004979D2">
        <w:rPr>
          <w:rFonts w:ascii="Times New Roman" w:eastAsia="MS Mincho" w:hAnsi="Times New Roman" w:cs="Times New Roman"/>
          <w:sz w:val="24"/>
          <w:szCs w:val="24"/>
        </w:rPr>
        <w:t>Konkurrencës</w:t>
      </w:r>
      <w:r w:rsidR="00B675A8" w:rsidRPr="004979D2">
        <w:rPr>
          <w:rFonts w:ascii="Times New Roman" w:eastAsia="MS Mincho" w:hAnsi="Times New Roman" w:cs="Times New Roman"/>
          <w:sz w:val="24"/>
          <w:szCs w:val="24"/>
        </w:rPr>
        <w:t>.</w:t>
      </w:r>
      <w:r w:rsidRPr="004979D2">
        <w:rPr>
          <w:rFonts w:ascii="Times New Roman" w:eastAsia="MS Mincho" w:hAnsi="Times New Roman" w:cs="Times New Roman"/>
          <w:sz w:val="24"/>
          <w:szCs w:val="24"/>
        </w:rPr>
        <w:t xml:space="preserve"> </w:t>
      </w:r>
      <w:r w:rsidR="00B675A8" w:rsidRPr="004979D2">
        <w:rPr>
          <w:rFonts w:ascii="Times New Roman" w:eastAsia="MS Mincho" w:hAnsi="Times New Roman" w:cs="Times New Roman"/>
          <w:sz w:val="24"/>
          <w:szCs w:val="24"/>
        </w:rPr>
        <w:t>Z</w:t>
      </w:r>
      <w:r w:rsidRPr="004979D2">
        <w:rPr>
          <w:rFonts w:ascii="Times New Roman" w:eastAsia="MS Mincho" w:hAnsi="Times New Roman" w:cs="Times New Roman"/>
          <w:sz w:val="24"/>
          <w:szCs w:val="24"/>
        </w:rPr>
        <w:t>batim i plani</w:t>
      </w:r>
      <w:r w:rsidR="00B675A8" w:rsidRPr="004979D2">
        <w:rPr>
          <w:rFonts w:ascii="Times New Roman" w:eastAsia="MS Mincho" w:hAnsi="Times New Roman" w:cs="Times New Roman"/>
          <w:sz w:val="24"/>
          <w:szCs w:val="24"/>
        </w:rPr>
        <w:t xml:space="preserve">t të </w:t>
      </w:r>
      <w:proofErr w:type="spellStart"/>
      <w:r w:rsidR="00B675A8" w:rsidRPr="004979D2">
        <w:rPr>
          <w:rFonts w:ascii="Times New Roman" w:eastAsia="MS Mincho" w:hAnsi="Times New Roman" w:cs="Times New Roman"/>
          <w:sz w:val="24"/>
          <w:szCs w:val="24"/>
        </w:rPr>
        <w:t>veprimiti</w:t>
      </w:r>
      <w:proofErr w:type="spellEnd"/>
      <w:r w:rsidRPr="004979D2">
        <w:rPr>
          <w:rFonts w:ascii="Times New Roman" w:eastAsia="MS Mincho" w:hAnsi="Times New Roman" w:cs="Times New Roman"/>
          <w:sz w:val="24"/>
          <w:szCs w:val="24"/>
        </w:rPr>
        <w:t xml:space="preserve"> do të monitorohet nga </w:t>
      </w:r>
      <w:proofErr w:type="spellStart"/>
      <w:r w:rsidRPr="004979D2">
        <w:rPr>
          <w:rFonts w:ascii="Times New Roman" w:eastAsia="MS Mincho" w:hAnsi="Times New Roman" w:cs="Times New Roman"/>
          <w:sz w:val="24"/>
          <w:szCs w:val="24"/>
        </w:rPr>
        <w:t>menaxhmenti</w:t>
      </w:r>
      <w:proofErr w:type="spellEnd"/>
      <w:r w:rsidRPr="004979D2">
        <w:rPr>
          <w:rFonts w:ascii="Times New Roman" w:eastAsia="MS Mincho" w:hAnsi="Times New Roman" w:cs="Times New Roman"/>
          <w:sz w:val="24"/>
          <w:szCs w:val="24"/>
        </w:rPr>
        <w:t xml:space="preserve"> i Autoritetit  t</w:t>
      </w:r>
      <w:r w:rsidR="00384463" w:rsidRPr="004979D2">
        <w:rPr>
          <w:rFonts w:ascii="Times New Roman" w:eastAsia="MS Mincho" w:hAnsi="Times New Roman" w:cs="Times New Roman"/>
          <w:sz w:val="24"/>
          <w:szCs w:val="24"/>
        </w:rPr>
        <w:t>ë</w:t>
      </w:r>
      <w:r w:rsidRPr="004979D2">
        <w:rPr>
          <w:rFonts w:ascii="Times New Roman" w:eastAsia="MS Mincho" w:hAnsi="Times New Roman" w:cs="Times New Roman"/>
          <w:sz w:val="24"/>
          <w:szCs w:val="24"/>
        </w:rPr>
        <w:t xml:space="preserve">  </w:t>
      </w:r>
      <w:r w:rsidR="00AE6725" w:rsidRPr="004979D2">
        <w:rPr>
          <w:rFonts w:ascii="Times New Roman" w:eastAsia="MS Mincho" w:hAnsi="Times New Roman" w:cs="Times New Roman"/>
          <w:sz w:val="24"/>
          <w:szCs w:val="24"/>
        </w:rPr>
        <w:t>Konkurrencës</w:t>
      </w:r>
      <w:r w:rsidR="00640DC6" w:rsidRPr="004979D2">
        <w:rPr>
          <w:rFonts w:ascii="Times New Roman" w:eastAsia="MS Mincho" w:hAnsi="Times New Roman" w:cs="Times New Roman"/>
          <w:sz w:val="24"/>
          <w:szCs w:val="24"/>
        </w:rPr>
        <w:t xml:space="preserve"> dhe</w:t>
      </w:r>
      <w:r w:rsidRPr="004979D2">
        <w:rPr>
          <w:rFonts w:ascii="Times New Roman" w:eastAsia="MS Mincho" w:hAnsi="Times New Roman" w:cs="Times New Roman"/>
          <w:sz w:val="24"/>
          <w:szCs w:val="24"/>
        </w:rPr>
        <w:t xml:space="preserve"> Departamentit për Integrim Evropian dhe Koordinim të Politikave</w:t>
      </w:r>
      <w:r w:rsidR="00640DC6" w:rsidRPr="004979D2">
        <w:rPr>
          <w:rFonts w:ascii="Times New Roman" w:eastAsia="MS Mincho" w:hAnsi="Times New Roman" w:cs="Times New Roman"/>
          <w:sz w:val="24"/>
          <w:szCs w:val="24"/>
        </w:rPr>
        <w:t xml:space="preserve"> në kuadër të MTI-së</w:t>
      </w:r>
      <w:r w:rsidRPr="004979D2">
        <w:rPr>
          <w:rFonts w:ascii="Times New Roman" w:eastAsia="MS Mincho" w:hAnsi="Times New Roman" w:cs="Times New Roman"/>
          <w:sz w:val="24"/>
          <w:szCs w:val="24"/>
        </w:rPr>
        <w:t xml:space="preserve">. </w:t>
      </w:r>
      <w:r w:rsidR="00F224EE" w:rsidRPr="004979D2">
        <w:rPr>
          <w:rFonts w:ascii="Times New Roman" w:eastAsia="MS Mincho" w:hAnsi="Times New Roman" w:cs="Times New Roman"/>
          <w:sz w:val="24"/>
          <w:szCs w:val="24"/>
        </w:rPr>
        <w:t>Gjithashtu, ky Koncept Dokument parasheh q</w:t>
      </w:r>
      <w:r w:rsidR="00F22258" w:rsidRPr="004979D2">
        <w:rPr>
          <w:rFonts w:ascii="Times New Roman" w:eastAsia="MS Mincho" w:hAnsi="Times New Roman" w:cs="Times New Roman"/>
          <w:sz w:val="24"/>
          <w:szCs w:val="24"/>
        </w:rPr>
        <w:t>ë</w:t>
      </w:r>
      <w:r w:rsidR="00F224EE" w:rsidRPr="004979D2">
        <w:rPr>
          <w:rFonts w:ascii="Times New Roman" w:eastAsia="MS Mincho" w:hAnsi="Times New Roman" w:cs="Times New Roman"/>
          <w:sz w:val="24"/>
          <w:szCs w:val="24"/>
        </w:rPr>
        <w:t xml:space="preserve"> </w:t>
      </w:r>
      <w:r w:rsidR="00B675A8" w:rsidRPr="004979D2">
        <w:rPr>
          <w:rFonts w:ascii="Times New Roman" w:eastAsia="MS Mincho" w:hAnsi="Times New Roman" w:cs="Times New Roman"/>
          <w:sz w:val="24"/>
          <w:szCs w:val="24"/>
        </w:rPr>
        <w:t xml:space="preserve">pas </w:t>
      </w:r>
      <w:r w:rsidR="006201C3" w:rsidRPr="004979D2">
        <w:rPr>
          <w:rFonts w:ascii="Times New Roman" w:eastAsia="MS Mincho" w:hAnsi="Times New Roman" w:cs="Times New Roman"/>
          <w:sz w:val="24"/>
          <w:szCs w:val="24"/>
        </w:rPr>
        <w:t>pes</w:t>
      </w:r>
      <w:r w:rsidR="00F22258" w:rsidRPr="004979D2">
        <w:rPr>
          <w:rFonts w:ascii="Times New Roman" w:eastAsia="MS Mincho" w:hAnsi="Times New Roman" w:cs="Times New Roman"/>
          <w:sz w:val="24"/>
          <w:szCs w:val="24"/>
        </w:rPr>
        <w:t>ë</w:t>
      </w:r>
      <w:r w:rsidR="00F224EE" w:rsidRPr="004979D2">
        <w:rPr>
          <w:rFonts w:ascii="Times New Roman" w:eastAsia="MS Mincho" w:hAnsi="Times New Roman" w:cs="Times New Roman"/>
          <w:sz w:val="24"/>
          <w:szCs w:val="24"/>
        </w:rPr>
        <w:t xml:space="preserve"> viteve t</w:t>
      </w:r>
      <w:r w:rsidR="00F22258" w:rsidRPr="004979D2">
        <w:rPr>
          <w:rFonts w:ascii="Times New Roman" w:eastAsia="MS Mincho" w:hAnsi="Times New Roman" w:cs="Times New Roman"/>
          <w:sz w:val="24"/>
          <w:szCs w:val="24"/>
        </w:rPr>
        <w:t>ë</w:t>
      </w:r>
      <w:r w:rsidR="00F224EE" w:rsidRPr="004979D2">
        <w:rPr>
          <w:rFonts w:ascii="Times New Roman" w:eastAsia="MS Mincho" w:hAnsi="Times New Roman" w:cs="Times New Roman"/>
          <w:sz w:val="24"/>
          <w:szCs w:val="24"/>
        </w:rPr>
        <w:t xml:space="preserve"> hyrjes n</w:t>
      </w:r>
      <w:r w:rsidR="00F22258" w:rsidRPr="004979D2">
        <w:rPr>
          <w:rFonts w:ascii="Times New Roman" w:eastAsia="MS Mincho" w:hAnsi="Times New Roman" w:cs="Times New Roman"/>
          <w:sz w:val="24"/>
          <w:szCs w:val="24"/>
        </w:rPr>
        <w:t>ë</w:t>
      </w:r>
      <w:r w:rsidR="00F224EE" w:rsidRPr="004979D2">
        <w:rPr>
          <w:rFonts w:ascii="Times New Roman" w:eastAsia="MS Mincho" w:hAnsi="Times New Roman" w:cs="Times New Roman"/>
          <w:sz w:val="24"/>
          <w:szCs w:val="24"/>
        </w:rPr>
        <w:t xml:space="preserve"> fuqi t</w:t>
      </w:r>
      <w:r w:rsidR="00F22258" w:rsidRPr="004979D2">
        <w:rPr>
          <w:rFonts w:ascii="Times New Roman" w:eastAsia="MS Mincho" w:hAnsi="Times New Roman" w:cs="Times New Roman"/>
          <w:sz w:val="24"/>
          <w:szCs w:val="24"/>
        </w:rPr>
        <w:t>ë</w:t>
      </w:r>
      <w:r w:rsidR="00F224EE" w:rsidRPr="004979D2">
        <w:rPr>
          <w:rFonts w:ascii="Times New Roman" w:eastAsia="MS Mincho" w:hAnsi="Times New Roman" w:cs="Times New Roman"/>
          <w:sz w:val="24"/>
          <w:szCs w:val="24"/>
        </w:rPr>
        <w:t xml:space="preserve"> Ligjit t</w:t>
      </w:r>
      <w:r w:rsidR="00F22258" w:rsidRPr="004979D2">
        <w:rPr>
          <w:rFonts w:ascii="Times New Roman" w:eastAsia="MS Mincho" w:hAnsi="Times New Roman" w:cs="Times New Roman"/>
          <w:sz w:val="24"/>
          <w:szCs w:val="24"/>
        </w:rPr>
        <w:t>ë</w:t>
      </w:r>
      <w:r w:rsidR="00F224EE" w:rsidRPr="004979D2">
        <w:rPr>
          <w:rFonts w:ascii="Times New Roman" w:eastAsia="MS Mincho" w:hAnsi="Times New Roman" w:cs="Times New Roman"/>
          <w:sz w:val="24"/>
          <w:szCs w:val="24"/>
        </w:rPr>
        <w:t xml:space="preserve"> ri për Mbrojtjen e Konkurrencës t</w:t>
      </w:r>
      <w:r w:rsidR="00F22258" w:rsidRPr="004979D2">
        <w:rPr>
          <w:rFonts w:ascii="Times New Roman" w:eastAsia="MS Mincho" w:hAnsi="Times New Roman" w:cs="Times New Roman"/>
          <w:sz w:val="24"/>
          <w:szCs w:val="24"/>
        </w:rPr>
        <w:t>ë</w:t>
      </w:r>
      <w:r w:rsidR="00F224EE" w:rsidRPr="004979D2">
        <w:rPr>
          <w:rFonts w:ascii="Times New Roman" w:eastAsia="MS Mincho" w:hAnsi="Times New Roman" w:cs="Times New Roman"/>
          <w:sz w:val="24"/>
          <w:szCs w:val="24"/>
        </w:rPr>
        <w:t xml:space="preserve"> b</w:t>
      </w:r>
      <w:r w:rsidR="00F22258" w:rsidRPr="004979D2">
        <w:rPr>
          <w:rFonts w:ascii="Times New Roman" w:eastAsia="MS Mincho" w:hAnsi="Times New Roman" w:cs="Times New Roman"/>
          <w:sz w:val="24"/>
          <w:szCs w:val="24"/>
        </w:rPr>
        <w:t>ë</w:t>
      </w:r>
      <w:r w:rsidR="00F224EE" w:rsidRPr="004979D2">
        <w:rPr>
          <w:rFonts w:ascii="Times New Roman" w:eastAsia="MS Mincho" w:hAnsi="Times New Roman" w:cs="Times New Roman"/>
          <w:sz w:val="24"/>
          <w:szCs w:val="24"/>
        </w:rPr>
        <w:t xml:space="preserve">het vlerësimi </w:t>
      </w:r>
      <w:proofErr w:type="spellStart"/>
      <w:r w:rsidR="00F224EE" w:rsidRPr="004979D2">
        <w:rPr>
          <w:rFonts w:ascii="Times New Roman" w:eastAsia="MS Mincho" w:hAnsi="Times New Roman" w:cs="Times New Roman"/>
          <w:sz w:val="24"/>
          <w:szCs w:val="24"/>
        </w:rPr>
        <w:t>ex</w:t>
      </w:r>
      <w:proofErr w:type="spellEnd"/>
      <w:r w:rsidR="00F224EE" w:rsidRPr="004979D2">
        <w:rPr>
          <w:rFonts w:ascii="Times New Roman" w:eastAsia="MS Mincho" w:hAnsi="Times New Roman" w:cs="Times New Roman"/>
          <w:sz w:val="24"/>
          <w:szCs w:val="24"/>
        </w:rPr>
        <w:t>-post</w:t>
      </w:r>
      <w:r w:rsidR="00B675A8" w:rsidRPr="004979D2">
        <w:rPr>
          <w:rFonts w:ascii="Times New Roman" w:eastAsia="MS Mincho" w:hAnsi="Times New Roman" w:cs="Times New Roman"/>
          <w:sz w:val="24"/>
          <w:szCs w:val="24"/>
        </w:rPr>
        <w:t xml:space="preserve"> mbi nivelin e zbatimit të</w:t>
      </w:r>
      <w:r w:rsidR="00F224EE" w:rsidRPr="004979D2">
        <w:rPr>
          <w:rFonts w:ascii="Times New Roman" w:eastAsia="MS Mincho" w:hAnsi="Times New Roman" w:cs="Times New Roman"/>
          <w:sz w:val="24"/>
          <w:szCs w:val="24"/>
        </w:rPr>
        <w:t xml:space="preserve"> këtij Ligji.  </w:t>
      </w:r>
    </w:p>
    <w:p w14:paraId="2C8E63A4" w14:textId="77777777" w:rsidR="00051DC1" w:rsidRPr="004979D2" w:rsidRDefault="00051DC1" w:rsidP="002B1BC6">
      <w:pPr>
        <w:spacing w:line="360" w:lineRule="auto"/>
        <w:rPr>
          <w:rFonts w:ascii="Times New Roman" w:hAnsi="Times New Roman" w:cs="Times New Roman"/>
          <w:sz w:val="24"/>
          <w:szCs w:val="24"/>
        </w:rPr>
      </w:pPr>
    </w:p>
    <w:p w14:paraId="6D91646A" w14:textId="77777777" w:rsidR="00051DC1" w:rsidRPr="004979D2" w:rsidRDefault="00051DC1" w:rsidP="002B1BC6">
      <w:pPr>
        <w:spacing w:line="360" w:lineRule="auto"/>
        <w:rPr>
          <w:rFonts w:ascii="Times New Roman" w:hAnsi="Times New Roman" w:cs="Times New Roman"/>
          <w:sz w:val="24"/>
          <w:szCs w:val="24"/>
        </w:rPr>
      </w:pPr>
    </w:p>
    <w:p w14:paraId="7DC62E8A" w14:textId="77777777" w:rsidR="00051DC1" w:rsidRPr="004979D2" w:rsidRDefault="00051DC1" w:rsidP="002B1BC6">
      <w:pPr>
        <w:spacing w:line="360" w:lineRule="auto"/>
        <w:rPr>
          <w:rFonts w:ascii="Times New Roman" w:hAnsi="Times New Roman" w:cs="Times New Roman"/>
          <w:sz w:val="24"/>
          <w:szCs w:val="24"/>
        </w:rPr>
        <w:sectPr w:rsidR="00051DC1" w:rsidRPr="004979D2" w:rsidSect="005B67F5">
          <w:headerReference w:type="default" r:id="rId36"/>
          <w:footerReference w:type="default" r:id="rId37"/>
          <w:pgSz w:w="12240" w:h="15840"/>
          <w:pgMar w:top="1440" w:right="1620" w:bottom="1440" w:left="1440" w:header="720" w:footer="720" w:gutter="0"/>
          <w:cols w:space="720"/>
          <w:docGrid w:linePitch="360"/>
        </w:sectPr>
      </w:pPr>
    </w:p>
    <w:p w14:paraId="36F46409" w14:textId="77777777" w:rsidR="008D7069" w:rsidRPr="004979D2" w:rsidRDefault="00180BB0" w:rsidP="002B1BC6">
      <w:pPr>
        <w:pStyle w:val="Heading1"/>
        <w:spacing w:line="360" w:lineRule="auto"/>
        <w:rPr>
          <w:rFonts w:ascii="Times New Roman" w:hAnsi="Times New Roman" w:cs="Times New Roman"/>
          <w:sz w:val="24"/>
          <w:szCs w:val="24"/>
        </w:rPr>
      </w:pPr>
      <w:bookmarkStart w:id="53" w:name="_Toc1114337"/>
      <w:r w:rsidRPr="004979D2">
        <w:rPr>
          <w:rFonts w:ascii="Times New Roman" w:hAnsi="Times New Roman" w:cs="Times New Roman"/>
          <w:sz w:val="24"/>
          <w:szCs w:val="24"/>
        </w:rPr>
        <w:lastRenderedPageBreak/>
        <w:t>Shtojca</w:t>
      </w:r>
      <w:r w:rsidR="00942D7C" w:rsidRPr="004979D2">
        <w:rPr>
          <w:rFonts w:ascii="Times New Roman" w:hAnsi="Times New Roman" w:cs="Times New Roman"/>
          <w:sz w:val="24"/>
          <w:szCs w:val="24"/>
        </w:rPr>
        <w:t xml:space="preserve"> 1: </w:t>
      </w:r>
      <w:r w:rsidR="00162D8C" w:rsidRPr="004979D2">
        <w:rPr>
          <w:rFonts w:ascii="Times New Roman" w:hAnsi="Times New Roman" w:cs="Times New Roman"/>
          <w:sz w:val="24"/>
          <w:szCs w:val="24"/>
        </w:rPr>
        <w:t>Forma e vlerësimit për ndikim</w:t>
      </w:r>
      <w:r w:rsidR="002D17EC" w:rsidRPr="004979D2">
        <w:rPr>
          <w:rFonts w:ascii="Times New Roman" w:hAnsi="Times New Roman" w:cs="Times New Roman"/>
          <w:sz w:val="24"/>
          <w:szCs w:val="24"/>
        </w:rPr>
        <w:t>in</w:t>
      </w:r>
      <w:r w:rsidR="00162D8C" w:rsidRPr="004979D2">
        <w:rPr>
          <w:rFonts w:ascii="Times New Roman" w:hAnsi="Times New Roman" w:cs="Times New Roman"/>
          <w:sz w:val="24"/>
          <w:szCs w:val="24"/>
        </w:rPr>
        <w:t xml:space="preserve"> ekonomik</w:t>
      </w:r>
      <w:bookmarkEnd w:id="53"/>
    </w:p>
    <w:tbl>
      <w:tblPr>
        <w:tblStyle w:val="TableGrid"/>
        <w:tblW w:w="13926" w:type="dxa"/>
        <w:tblInd w:w="-635" w:type="dxa"/>
        <w:tblLayout w:type="fixed"/>
        <w:tblLook w:val="04A0" w:firstRow="1" w:lastRow="0" w:firstColumn="1" w:lastColumn="0" w:noHBand="0" w:noVBand="1"/>
      </w:tblPr>
      <w:tblGrid>
        <w:gridCol w:w="1710"/>
        <w:gridCol w:w="4050"/>
        <w:gridCol w:w="810"/>
        <w:gridCol w:w="810"/>
        <w:gridCol w:w="2430"/>
        <w:gridCol w:w="1620"/>
        <w:gridCol w:w="2496"/>
      </w:tblGrid>
      <w:tr w:rsidR="00494035" w:rsidRPr="004979D2" w14:paraId="06C90A6E" w14:textId="77777777" w:rsidTr="00416C8B">
        <w:tc>
          <w:tcPr>
            <w:tcW w:w="1710" w:type="dxa"/>
            <w:vMerge w:val="restart"/>
          </w:tcPr>
          <w:p w14:paraId="58AE8981" w14:textId="77777777" w:rsidR="00494035" w:rsidRPr="004979D2" w:rsidRDefault="00494035"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Kategoria e ndikimeve ekonomike</w:t>
            </w:r>
          </w:p>
        </w:tc>
        <w:tc>
          <w:tcPr>
            <w:tcW w:w="4050" w:type="dxa"/>
            <w:vMerge w:val="restart"/>
          </w:tcPr>
          <w:p w14:paraId="3ADE0AB5" w14:textId="77777777" w:rsidR="00494035" w:rsidRPr="004979D2" w:rsidRDefault="00494035"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Ndikimi kryesor</w:t>
            </w:r>
          </w:p>
        </w:tc>
        <w:tc>
          <w:tcPr>
            <w:tcW w:w="1620" w:type="dxa"/>
            <w:gridSpan w:val="2"/>
          </w:tcPr>
          <w:p w14:paraId="734D8A5B" w14:textId="77777777" w:rsidR="00494035" w:rsidRPr="004979D2" w:rsidRDefault="00494035"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A pritet të ndodhë ky ndikim?</w:t>
            </w:r>
          </w:p>
        </w:tc>
        <w:tc>
          <w:tcPr>
            <w:tcW w:w="2430" w:type="dxa"/>
          </w:tcPr>
          <w:p w14:paraId="00C1C5A4" w14:textId="77777777" w:rsidR="00494035" w:rsidRPr="004979D2" w:rsidRDefault="00494035"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Numri i organizatave, kompanive dhe/ose individëve të prekur</w:t>
            </w:r>
          </w:p>
        </w:tc>
        <w:tc>
          <w:tcPr>
            <w:tcW w:w="1620" w:type="dxa"/>
          </w:tcPr>
          <w:p w14:paraId="24C7CC5E" w14:textId="77777777" w:rsidR="00494035" w:rsidRPr="004979D2" w:rsidRDefault="00494035"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Përfitimi i pritshëm ose kostoja e ndikimit</w:t>
            </w:r>
          </w:p>
        </w:tc>
        <w:tc>
          <w:tcPr>
            <w:tcW w:w="2496" w:type="dxa"/>
          </w:tcPr>
          <w:p w14:paraId="1FF7F6F0" w14:textId="77777777" w:rsidR="00494035" w:rsidRPr="004979D2" w:rsidRDefault="00494035"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Niveli i preferuar i analizës</w:t>
            </w:r>
          </w:p>
        </w:tc>
      </w:tr>
      <w:tr w:rsidR="00494035" w:rsidRPr="004979D2" w14:paraId="5C510813" w14:textId="77777777" w:rsidTr="00416C8B">
        <w:tc>
          <w:tcPr>
            <w:tcW w:w="1710" w:type="dxa"/>
            <w:vMerge/>
          </w:tcPr>
          <w:p w14:paraId="69A1C063" w14:textId="77777777" w:rsidR="00494035" w:rsidRPr="004979D2" w:rsidRDefault="00494035" w:rsidP="002B1BC6">
            <w:pPr>
              <w:spacing w:line="360" w:lineRule="auto"/>
              <w:rPr>
                <w:rFonts w:ascii="Times New Roman" w:hAnsi="Times New Roman" w:cs="Times New Roman"/>
                <w:b/>
                <w:sz w:val="24"/>
                <w:szCs w:val="24"/>
              </w:rPr>
            </w:pPr>
          </w:p>
        </w:tc>
        <w:tc>
          <w:tcPr>
            <w:tcW w:w="4050" w:type="dxa"/>
            <w:vMerge/>
          </w:tcPr>
          <w:p w14:paraId="7D5E94C7" w14:textId="77777777" w:rsidR="00494035" w:rsidRPr="004979D2" w:rsidRDefault="00494035" w:rsidP="002B1BC6">
            <w:pPr>
              <w:spacing w:line="360" w:lineRule="auto"/>
              <w:rPr>
                <w:rFonts w:ascii="Times New Roman" w:hAnsi="Times New Roman" w:cs="Times New Roman"/>
                <w:b/>
                <w:sz w:val="24"/>
                <w:szCs w:val="24"/>
              </w:rPr>
            </w:pPr>
          </w:p>
        </w:tc>
        <w:tc>
          <w:tcPr>
            <w:tcW w:w="810" w:type="dxa"/>
          </w:tcPr>
          <w:p w14:paraId="307E93B9" w14:textId="77777777" w:rsidR="00494035" w:rsidRPr="004979D2" w:rsidRDefault="00494035"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Po</w:t>
            </w:r>
          </w:p>
        </w:tc>
        <w:tc>
          <w:tcPr>
            <w:tcW w:w="810" w:type="dxa"/>
          </w:tcPr>
          <w:p w14:paraId="02F5FCBF" w14:textId="77777777" w:rsidR="00494035" w:rsidRPr="004979D2" w:rsidRDefault="00494035"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Jo</w:t>
            </w:r>
          </w:p>
        </w:tc>
        <w:tc>
          <w:tcPr>
            <w:tcW w:w="2430" w:type="dxa"/>
          </w:tcPr>
          <w:p w14:paraId="31EDEB60" w14:textId="77777777" w:rsidR="00494035" w:rsidRPr="004979D2" w:rsidRDefault="00494035"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I lartë/i ulët</w:t>
            </w:r>
          </w:p>
        </w:tc>
        <w:tc>
          <w:tcPr>
            <w:tcW w:w="1620" w:type="dxa"/>
          </w:tcPr>
          <w:p w14:paraId="0F6BA05D" w14:textId="77777777" w:rsidR="00494035" w:rsidRPr="004979D2" w:rsidRDefault="00494035"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I lartë/i ulët</w:t>
            </w:r>
          </w:p>
        </w:tc>
        <w:tc>
          <w:tcPr>
            <w:tcW w:w="2496" w:type="dxa"/>
          </w:tcPr>
          <w:p w14:paraId="2EF3DC23" w14:textId="77777777" w:rsidR="00494035" w:rsidRPr="004979D2" w:rsidRDefault="00494035" w:rsidP="002B1BC6">
            <w:pPr>
              <w:spacing w:line="360" w:lineRule="auto"/>
              <w:rPr>
                <w:rFonts w:ascii="Times New Roman" w:hAnsi="Times New Roman" w:cs="Times New Roman"/>
                <w:b/>
                <w:sz w:val="24"/>
                <w:szCs w:val="24"/>
              </w:rPr>
            </w:pPr>
          </w:p>
        </w:tc>
      </w:tr>
      <w:tr w:rsidR="00494035" w:rsidRPr="004979D2" w14:paraId="0E21AC87" w14:textId="77777777" w:rsidTr="00416C8B">
        <w:tc>
          <w:tcPr>
            <w:tcW w:w="1710" w:type="dxa"/>
            <w:vMerge w:val="restart"/>
          </w:tcPr>
          <w:p w14:paraId="2BAFA72E" w14:textId="77777777" w:rsidR="00494035" w:rsidRPr="004979D2" w:rsidRDefault="00494035"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Vendet e punës</w:t>
            </w:r>
            <w:r w:rsidRPr="004979D2">
              <w:rPr>
                <w:rStyle w:val="FootnoteReference"/>
                <w:rFonts w:ascii="Times New Roman" w:hAnsi="Times New Roman" w:cs="Times New Roman"/>
                <w:sz w:val="24"/>
                <w:szCs w:val="24"/>
              </w:rPr>
              <w:footnoteReference w:id="34"/>
            </w:r>
          </w:p>
        </w:tc>
        <w:tc>
          <w:tcPr>
            <w:tcW w:w="4050" w:type="dxa"/>
          </w:tcPr>
          <w:p w14:paraId="0CAD673B" w14:textId="77777777" w:rsidR="00494035" w:rsidRPr="004979D2" w:rsidRDefault="00494035"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A do të rritet numri aktual i vendeve të punës në treg?</w:t>
            </w:r>
          </w:p>
        </w:tc>
        <w:tc>
          <w:tcPr>
            <w:tcW w:w="810" w:type="dxa"/>
          </w:tcPr>
          <w:p w14:paraId="735DFBE7" w14:textId="77777777" w:rsidR="00494035"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810" w:type="dxa"/>
          </w:tcPr>
          <w:p w14:paraId="7795B2F8" w14:textId="77777777" w:rsidR="00494035" w:rsidRPr="004979D2" w:rsidRDefault="00494035" w:rsidP="002B1BC6">
            <w:pPr>
              <w:spacing w:line="360" w:lineRule="auto"/>
              <w:rPr>
                <w:rFonts w:ascii="Times New Roman" w:hAnsi="Times New Roman" w:cs="Times New Roman"/>
                <w:sz w:val="24"/>
                <w:szCs w:val="24"/>
              </w:rPr>
            </w:pPr>
          </w:p>
        </w:tc>
        <w:tc>
          <w:tcPr>
            <w:tcW w:w="2430" w:type="dxa"/>
          </w:tcPr>
          <w:p w14:paraId="44FFBD38" w14:textId="77777777" w:rsidR="00494035" w:rsidRPr="004979D2" w:rsidRDefault="00B1269D"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I ulet</w:t>
            </w:r>
          </w:p>
        </w:tc>
        <w:tc>
          <w:tcPr>
            <w:tcW w:w="1620" w:type="dxa"/>
          </w:tcPr>
          <w:p w14:paraId="220AE131" w14:textId="77777777" w:rsidR="00494035" w:rsidRPr="004979D2" w:rsidRDefault="00F4350C"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I ulët</w:t>
            </w:r>
          </w:p>
        </w:tc>
        <w:tc>
          <w:tcPr>
            <w:tcW w:w="2496" w:type="dxa"/>
          </w:tcPr>
          <w:p w14:paraId="166DD218" w14:textId="77777777" w:rsidR="00494035" w:rsidRPr="004979D2" w:rsidRDefault="00494035"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Propozim politika ndikon në të gjitha ndërmarrjet që operojnë në Kosovë. Mirëpo niveli i ndikimit është i ulët. </w:t>
            </w:r>
          </w:p>
        </w:tc>
      </w:tr>
      <w:tr w:rsidR="00494035" w:rsidRPr="004979D2" w14:paraId="4969E9C6" w14:textId="77777777" w:rsidTr="00416C8B">
        <w:tc>
          <w:tcPr>
            <w:tcW w:w="1710" w:type="dxa"/>
            <w:vMerge/>
          </w:tcPr>
          <w:p w14:paraId="3CE4674C" w14:textId="77777777" w:rsidR="00494035" w:rsidRPr="004979D2" w:rsidRDefault="00494035" w:rsidP="002B1BC6">
            <w:pPr>
              <w:spacing w:line="360" w:lineRule="auto"/>
              <w:rPr>
                <w:rFonts w:ascii="Times New Roman" w:hAnsi="Times New Roman" w:cs="Times New Roman"/>
                <w:sz w:val="24"/>
                <w:szCs w:val="24"/>
              </w:rPr>
            </w:pPr>
          </w:p>
        </w:tc>
        <w:tc>
          <w:tcPr>
            <w:tcW w:w="4050" w:type="dxa"/>
          </w:tcPr>
          <w:p w14:paraId="215BA78D" w14:textId="77777777" w:rsidR="00494035" w:rsidRPr="004979D2" w:rsidRDefault="00494035"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A do të zvogëlohet numri aktual i vendeve të punës?</w:t>
            </w:r>
          </w:p>
        </w:tc>
        <w:tc>
          <w:tcPr>
            <w:tcW w:w="810" w:type="dxa"/>
          </w:tcPr>
          <w:p w14:paraId="54379700" w14:textId="77777777" w:rsidR="00494035" w:rsidRPr="004979D2" w:rsidRDefault="00494035" w:rsidP="002B1BC6">
            <w:pPr>
              <w:spacing w:line="360" w:lineRule="auto"/>
              <w:rPr>
                <w:rFonts w:ascii="Times New Roman" w:hAnsi="Times New Roman" w:cs="Times New Roman"/>
                <w:sz w:val="24"/>
                <w:szCs w:val="24"/>
              </w:rPr>
            </w:pPr>
          </w:p>
        </w:tc>
        <w:tc>
          <w:tcPr>
            <w:tcW w:w="810" w:type="dxa"/>
          </w:tcPr>
          <w:p w14:paraId="73A8BF7A" w14:textId="77777777" w:rsidR="00494035"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2BC69B6A" w14:textId="77777777" w:rsidR="00494035" w:rsidRPr="004979D2" w:rsidRDefault="00494035" w:rsidP="002B1BC6">
            <w:pPr>
              <w:spacing w:line="360" w:lineRule="auto"/>
              <w:rPr>
                <w:rFonts w:ascii="Times New Roman" w:hAnsi="Times New Roman" w:cs="Times New Roman"/>
                <w:sz w:val="24"/>
                <w:szCs w:val="24"/>
              </w:rPr>
            </w:pPr>
          </w:p>
        </w:tc>
        <w:tc>
          <w:tcPr>
            <w:tcW w:w="1620" w:type="dxa"/>
          </w:tcPr>
          <w:p w14:paraId="7D450127" w14:textId="77777777" w:rsidR="00494035" w:rsidRPr="004979D2" w:rsidRDefault="00494035" w:rsidP="002B1BC6">
            <w:pPr>
              <w:spacing w:line="360" w:lineRule="auto"/>
              <w:rPr>
                <w:rFonts w:ascii="Times New Roman" w:hAnsi="Times New Roman" w:cs="Times New Roman"/>
                <w:sz w:val="24"/>
                <w:szCs w:val="24"/>
              </w:rPr>
            </w:pPr>
          </w:p>
        </w:tc>
        <w:tc>
          <w:tcPr>
            <w:tcW w:w="2496" w:type="dxa"/>
          </w:tcPr>
          <w:p w14:paraId="5B4A3897" w14:textId="77777777" w:rsidR="00494035" w:rsidRPr="004979D2" w:rsidRDefault="00494035" w:rsidP="002B1BC6">
            <w:pPr>
              <w:spacing w:line="360" w:lineRule="auto"/>
              <w:rPr>
                <w:rFonts w:ascii="Times New Roman" w:hAnsi="Times New Roman" w:cs="Times New Roman"/>
                <w:sz w:val="24"/>
                <w:szCs w:val="24"/>
              </w:rPr>
            </w:pPr>
          </w:p>
        </w:tc>
      </w:tr>
      <w:tr w:rsidR="00494035" w:rsidRPr="004979D2" w14:paraId="500EEA3F" w14:textId="77777777" w:rsidTr="00416C8B">
        <w:tc>
          <w:tcPr>
            <w:tcW w:w="1710" w:type="dxa"/>
            <w:vMerge/>
          </w:tcPr>
          <w:p w14:paraId="7F3A2080" w14:textId="77777777" w:rsidR="00494035" w:rsidRPr="004979D2" w:rsidRDefault="00494035" w:rsidP="002B1BC6">
            <w:pPr>
              <w:spacing w:line="360" w:lineRule="auto"/>
              <w:rPr>
                <w:rFonts w:ascii="Times New Roman" w:hAnsi="Times New Roman" w:cs="Times New Roman"/>
                <w:sz w:val="24"/>
                <w:szCs w:val="24"/>
              </w:rPr>
            </w:pPr>
          </w:p>
        </w:tc>
        <w:tc>
          <w:tcPr>
            <w:tcW w:w="4050" w:type="dxa"/>
          </w:tcPr>
          <w:p w14:paraId="73FDCAF4" w14:textId="77777777" w:rsidR="00494035" w:rsidRPr="004979D2" w:rsidRDefault="00494035"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A do të ndikojë në nivelin e pagesës?</w:t>
            </w:r>
          </w:p>
        </w:tc>
        <w:tc>
          <w:tcPr>
            <w:tcW w:w="810" w:type="dxa"/>
          </w:tcPr>
          <w:p w14:paraId="6A5FE79A" w14:textId="77777777" w:rsidR="00494035" w:rsidRPr="004979D2" w:rsidRDefault="00494035" w:rsidP="002B1BC6">
            <w:pPr>
              <w:spacing w:line="360" w:lineRule="auto"/>
              <w:rPr>
                <w:rFonts w:ascii="Times New Roman" w:hAnsi="Times New Roman" w:cs="Times New Roman"/>
                <w:sz w:val="24"/>
                <w:szCs w:val="24"/>
              </w:rPr>
            </w:pPr>
          </w:p>
        </w:tc>
        <w:tc>
          <w:tcPr>
            <w:tcW w:w="810" w:type="dxa"/>
          </w:tcPr>
          <w:p w14:paraId="7C44ED9C" w14:textId="77777777" w:rsidR="00494035"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7B5C84BC" w14:textId="77777777" w:rsidR="00494035" w:rsidRPr="004979D2" w:rsidRDefault="00494035" w:rsidP="002B1BC6">
            <w:pPr>
              <w:spacing w:line="360" w:lineRule="auto"/>
              <w:rPr>
                <w:rFonts w:ascii="Times New Roman" w:hAnsi="Times New Roman" w:cs="Times New Roman"/>
                <w:sz w:val="24"/>
                <w:szCs w:val="24"/>
              </w:rPr>
            </w:pPr>
          </w:p>
        </w:tc>
        <w:tc>
          <w:tcPr>
            <w:tcW w:w="1620" w:type="dxa"/>
          </w:tcPr>
          <w:p w14:paraId="275D254C" w14:textId="77777777" w:rsidR="00494035" w:rsidRPr="004979D2" w:rsidRDefault="00494035" w:rsidP="002B1BC6">
            <w:pPr>
              <w:spacing w:line="360" w:lineRule="auto"/>
              <w:rPr>
                <w:rFonts w:ascii="Times New Roman" w:hAnsi="Times New Roman" w:cs="Times New Roman"/>
                <w:sz w:val="24"/>
                <w:szCs w:val="24"/>
              </w:rPr>
            </w:pPr>
          </w:p>
        </w:tc>
        <w:tc>
          <w:tcPr>
            <w:tcW w:w="2496" w:type="dxa"/>
          </w:tcPr>
          <w:p w14:paraId="3B6C97F8" w14:textId="77777777" w:rsidR="00494035" w:rsidRPr="004979D2" w:rsidRDefault="00494035" w:rsidP="002B1BC6">
            <w:pPr>
              <w:spacing w:line="360" w:lineRule="auto"/>
              <w:rPr>
                <w:rFonts w:ascii="Times New Roman" w:hAnsi="Times New Roman" w:cs="Times New Roman"/>
                <w:sz w:val="24"/>
                <w:szCs w:val="24"/>
              </w:rPr>
            </w:pPr>
          </w:p>
        </w:tc>
      </w:tr>
      <w:tr w:rsidR="00494035" w:rsidRPr="004979D2" w14:paraId="24612C48" w14:textId="77777777" w:rsidTr="00416C8B">
        <w:tc>
          <w:tcPr>
            <w:tcW w:w="1710" w:type="dxa"/>
            <w:vMerge/>
          </w:tcPr>
          <w:p w14:paraId="673D54F7" w14:textId="77777777" w:rsidR="00494035" w:rsidRPr="004979D2" w:rsidRDefault="00494035" w:rsidP="002B1BC6">
            <w:pPr>
              <w:spacing w:line="360" w:lineRule="auto"/>
              <w:rPr>
                <w:rFonts w:ascii="Times New Roman" w:hAnsi="Times New Roman" w:cs="Times New Roman"/>
                <w:sz w:val="24"/>
                <w:szCs w:val="24"/>
              </w:rPr>
            </w:pPr>
          </w:p>
        </w:tc>
        <w:tc>
          <w:tcPr>
            <w:tcW w:w="4050" w:type="dxa"/>
          </w:tcPr>
          <w:p w14:paraId="36F17F04" w14:textId="77777777" w:rsidR="00494035" w:rsidRPr="004979D2" w:rsidRDefault="00494035"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A do të ndikojë në lehtësimin e gjetjes së një vendi të punës?</w:t>
            </w:r>
          </w:p>
        </w:tc>
        <w:tc>
          <w:tcPr>
            <w:tcW w:w="810" w:type="dxa"/>
          </w:tcPr>
          <w:p w14:paraId="69A29CE2" w14:textId="77777777" w:rsidR="00494035"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810" w:type="dxa"/>
          </w:tcPr>
          <w:p w14:paraId="1E69818A" w14:textId="77777777" w:rsidR="00494035" w:rsidRPr="004979D2" w:rsidRDefault="00494035" w:rsidP="002B1BC6">
            <w:pPr>
              <w:spacing w:line="360" w:lineRule="auto"/>
              <w:rPr>
                <w:rFonts w:ascii="Times New Roman" w:hAnsi="Times New Roman" w:cs="Times New Roman"/>
                <w:sz w:val="24"/>
                <w:szCs w:val="24"/>
              </w:rPr>
            </w:pPr>
          </w:p>
        </w:tc>
        <w:tc>
          <w:tcPr>
            <w:tcW w:w="2430" w:type="dxa"/>
          </w:tcPr>
          <w:p w14:paraId="509B5323" w14:textId="77777777" w:rsidR="00494035" w:rsidRPr="004979D2" w:rsidRDefault="00494035"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I ulët</w:t>
            </w:r>
          </w:p>
        </w:tc>
        <w:tc>
          <w:tcPr>
            <w:tcW w:w="1620" w:type="dxa"/>
          </w:tcPr>
          <w:p w14:paraId="71D154E8" w14:textId="77777777" w:rsidR="00494035" w:rsidRPr="004979D2" w:rsidRDefault="005B54DA"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I ulët</w:t>
            </w:r>
          </w:p>
        </w:tc>
        <w:tc>
          <w:tcPr>
            <w:tcW w:w="2496" w:type="dxa"/>
          </w:tcPr>
          <w:p w14:paraId="06B33767" w14:textId="77777777" w:rsidR="00494035" w:rsidRPr="004979D2" w:rsidRDefault="00494035"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Ndikimi në ndërmarrjet e “</w:t>
            </w:r>
            <w:r w:rsidR="00EF7AF9" w:rsidRPr="004979D2">
              <w:rPr>
                <w:rFonts w:ascii="Times New Roman" w:hAnsi="Times New Roman" w:cs="Times New Roman"/>
                <w:sz w:val="24"/>
                <w:szCs w:val="24"/>
              </w:rPr>
              <w:t>prekura “është</w:t>
            </w:r>
            <w:r w:rsidRPr="004979D2">
              <w:rPr>
                <w:rFonts w:ascii="Times New Roman" w:hAnsi="Times New Roman" w:cs="Times New Roman"/>
                <w:sz w:val="24"/>
                <w:szCs w:val="24"/>
              </w:rPr>
              <w:t xml:space="preserve"> neutral në krahasim me gjendjen aktuale.  Çdo ndikim mund të jetë i tërthortë. </w:t>
            </w:r>
          </w:p>
        </w:tc>
      </w:tr>
      <w:tr w:rsidR="00494035" w:rsidRPr="004979D2" w14:paraId="25A122A1" w14:textId="77777777" w:rsidTr="00416C8B">
        <w:tc>
          <w:tcPr>
            <w:tcW w:w="1710" w:type="dxa"/>
            <w:vMerge w:val="restart"/>
          </w:tcPr>
          <w:p w14:paraId="3EEC9308" w14:textId="77777777" w:rsidR="00494035" w:rsidRPr="004979D2" w:rsidRDefault="00494035"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lastRenderedPageBreak/>
              <w:t>Bërja e biznesit</w:t>
            </w:r>
          </w:p>
        </w:tc>
        <w:tc>
          <w:tcPr>
            <w:tcW w:w="4050" w:type="dxa"/>
          </w:tcPr>
          <w:p w14:paraId="14D181AF" w14:textId="77777777" w:rsidR="00494035" w:rsidRPr="004979D2" w:rsidRDefault="00494035"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A do të ndikojë në qasjen në financa për biznes? </w:t>
            </w:r>
          </w:p>
        </w:tc>
        <w:tc>
          <w:tcPr>
            <w:tcW w:w="810" w:type="dxa"/>
          </w:tcPr>
          <w:p w14:paraId="4468E001" w14:textId="77777777" w:rsidR="00494035" w:rsidRPr="004979D2" w:rsidRDefault="00494035" w:rsidP="002B1BC6">
            <w:pPr>
              <w:spacing w:line="360" w:lineRule="auto"/>
              <w:rPr>
                <w:rFonts w:ascii="Times New Roman" w:hAnsi="Times New Roman" w:cs="Times New Roman"/>
                <w:sz w:val="24"/>
                <w:szCs w:val="24"/>
              </w:rPr>
            </w:pPr>
          </w:p>
        </w:tc>
        <w:tc>
          <w:tcPr>
            <w:tcW w:w="810" w:type="dxa"/>
          </w:tcPr>
          <w:p w14:paraId="06666081" w14:textId="77777777" w:rsidR="00494035"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2090FC0C" w14:textId="77777777" w:rsidR="00494035" w:rsidRPr="004979D2" w:rsidRDefault="00494035" w:rsidP="002B1BC6">
            <w:pPr>
              <w:spacing w:line="360" w:lineRule="auto"/>
              <w:rPr>
                <w:rFonts w:ascii="Times New Roman" w:hAnsi="Times New Roman" w:cs="Times New Roman"/>
                <w:sz w:val="24"/>
                <w:szCs w:val="24"/>
              </w:rPr>
            </w:pPr>
          </w:p>
        </w:tc>
        <w:tc>
          <w:tcPr>
            <w:tcW w:w="1620" w:type="dxa"/>
          </w:tcPr>
          <w:p w14:paraId="75222143" w14:textId="77777777" w:rsidR="00494035" w:rsidRPr="004979D2" w:rsidRDefault="00494035" w:rsidP="002B1BC6">
            <w:pPr>
              <w:spacing w:line="360" w:lineRule="auto"/>
              <w:rPr>
                <w:rFonts w:ascii="Times New Roman" w:hAnsi="Times New Roman" w:cs="Times New Roman"/>
                <w:sz w:val="24"/>
                <w:szCs w:val="24"/>
              </w:rPr>
            </w:pPr>
          </w:p>
        </w:tc>
        <w:tc>
          <w:tcPr>
            <w:tcW w:w="2496" w:type="dxa"/>
          </w:tcPr>
          <w:p w14:paraId="3962FD6D" w14:textId="77777777" w:rsidR="00494035" w:rsidRPr="004979D2" w:rsidRDefault="00494035" w:rsidP="002B1BC6">
            <w:pPr>
              <w:spacing w:line="360" w:lineRule="auto"/>
              <w:rPr>
                <w:rFonts w:ascii="Times New Roman" w:hAnsi="Times New Roman" w:cs="Times New Roman"/>
                <w:sz w:val="24"/>
                <w:szCs w:val="24"/>
              </w:rPr>
            </w:pPr>
          </w:p>
        </w:tc>
      </w:tr>
      <w:tr w:rsidR="00494035" w:rsidRPr="004979D2" w14:paraId="61D08B25" w14:textId="77777777" w:rsidTr="00416C8B">
        <w:tc>
          <w:tcPr>
            <w:tcW w:w="1710" w:type="dxa"/>
            <w:vMerge/>
          </w:tcPr>
          <w:p w14:paraId="31BA40C6" w14:textId="77777777" w:rsidR="00494035" w:rsidRPr="004979D2" w:rsidRDefault="00494035" w:rsidP="002B1BC6">
            <w:pPr>
              <w:spacing w:line="360" w:lineRule="auto"/>
              <w:rPr>
                <w:rFonts w:ascii="Times New Roman" w:hAnsi="Times New Roman" w:cs="Times New Roman"/>
                <w:sz w:val="24"/>
                <w:szCs w:val="24"/>
              </w:rPr>
            </w:pPr>
          </w:p>
        </w:tc>
        <w:tc>
          <w:tcPr>
            <w:tcW w:w="4050" w:type="dxa"/>
          </w:tcPr>
          <w:p w14:paraId="5153ADF1" w14:textId="77777777" w:rsidR="00494035" w:rsidRPr="004979D2" w:rsidRDefault="00494035"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A do të largohen nga tregu produkte të caktuara?</w:t>
            </w:r>
          </w:p>
        </w:tc>
        <w:tc>
          <w:tcPr>
            <w:tcW w:w="810" w:type="dxa"/>
          </w:tcPr>
          <w:p w14:paraId="1244D15E" w14:textId="77777777" w:rsidR="00494035" w:rsidRPr="004979D2" w:rsidRDefault="00494035" w:rsidP="002B1BC6">
            <w:pPr>
              <w:spacing w:line="360" w:lineRule="auto"/>
              <w:rPr>
                <w:rFonts w:ascii="Times New Roman" w:hAnsi="Times New Roman" w:cs="Times New Roman"/>
                <w:sz w:val="24"/>
                <w:szCs w:val="24"/>
              </w:rPr>
            </w:pPr>
          </w:p>
        </w:tc>
        <w:tc>
          <w:tcPr>
            <w:tcW w:w="810" w:type="dxa"/>
          </w:tcPr>
          <w:p w14:paraId="7520BC51" w14:textId="77777777" w:rsidR="00494035"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03E55FF9" w14:textId="77777777" w:rsidR="00494035" w:rsidRPr="004979D2" w:rsidRDefault="00494035" w:rsidP="002B1BC6">
            <w:pPr>
              <w:spacing w:line="360" w:lineRule="auto"/>
              <w:rPr>
                <w:rFonts w:ascii="Times New Roman" w:hAnsi="Times New Roman" w:cs="Times New Roman"/>
                <w:sz w:val="24"/>
                <w:szCs w:val="24"/>
              </w:rPr>
            </w:pPr>
          </w:p>
        </w:tc>
        <w:tc>
          <w:tcPr>
            <w:tcW w:w="1620" w:type="dxa"/>
          </w:tcPr>
          <w:p w14:paraId="119F8058" w14:textId="77777777" w:rsidR="00494035" w:rsidRPr="004979D2" w:rsidRDefault="00494035" w:rsidP="002B1BC6">
            <w:pPr>
              <w:spacing w:line="360" w:lineRule="auto"/>
              <w:rPr>
                <w:rFonts w:ascii="Times New Roman" w:hAnsi="Times New Roman" w:cs="Times New Roman"/>
                <w:sz w:val="24"/>
                <w:szCs w:val="24"/>
              </w:rPr>
            </w:pPr>
          </w:p>
        </w:tc>
        <w:tc>
          <w:tcPr>
            <w:tcW w:w="2496" w:type="dxa"/>
          </w:tcPr>
          <w:p w14:paraId="2F0B5BE1" w14:textId="77777777" w:rsidR="00494035" w:rsidRPr="004979D2" w:rsidRDefault="00494035" w:rsidP="002B1BC6">
            <w:pPr>
              <w:spacing w:line="360" w:lineRule="auto"/>
              <w:rPr>
                <w:rFonts w:ascii="Times New Roman" w:hAnsi="Times New Roman" w:cs="Times New Roman"/>
                <w:sz w:val="24"/>
                <w:szCs w:val="24"/>
              </w:rPr>
            </w:pPr>
          </w:p>
        </w:tc>
      </w:tr>
      <w:tr w:rsidR="00494035" w:rsidRPr="004979D2" w14:paraId="016AC733" w14:textId="77777777" w:rsidTr="00416C8B">
        <w:tc>
          <w:tcPr>
            <w:tcW w:w="1710" w:type="dxa"/>
            <w:vMerge/>
          </w:tcPr>
          <w:p w14:paraId="1877046D" w14:textId="77777777" w:rsidR="00494035" w:rsidRPr="004979D2" w:rsidRDefault="00494035" w:rsidP="002B1BC6">
            <w:pPr>
              <w:spacing w:line="360" w:lineRule="auto"/>
              <w:rPr>
                <w:rFonts w:ascii="Times New Roman" w:hAnsi="Times New Roman" w:cs="Times New Roman"/>
                <w:sz w:val="24"/>
                <w:szCs w:val="24"/>
              </w:rPr>
            </w:pPr>
          </w:p>
        </w:tc>
        <w:tc>
          <w:tcPr>
            <w:tcW w:w="4050" w:type="dxa"/>
          </w:tcPr>
          <w:p w14:paraId="28F19859" w14:textId="77777777" w:rsidR="00494035" w:rsidRPr="004979D2" w:rsidRDefault="00494035"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A do të lejohen në treg produkte të caktuara?</w:t>
            </w:r>
          </w:p>
        </w:tc>
        <w:tc>
          <w:tcPr>
            <w:tcW w:w="810" w:type="dxa"/>
          </w:tcPr>
          <w:p w14:paraId="576E6480" w14:textId="77777777" w:rsidR="00494035" w:rsidRPr="004979D2" w:rsidRDefault="00494035" w:rsidP="002B1BC6">
            <w:pPr>
              <w:spacing w:line="360" w:lineRule="auto"/>
              <w:rPr>
                <w:rFonts w:ascii="Times New Roman" w:hAnsi="Times New Roman" w:cs="Times New Roman"/>
                <w:sz w:val="24"/>
                <w:szCs w:val="24"/>
              </w:rPr>
            </w:pPr>
          </w:p>
        </w:tc>
        <w:tc>
          <w:tcPr>
            <w:tcW w:w="810" w:type="dxa"/>
          </w:tcPr>
          <w:p w14:paraId="411257FE" w14:textId="77777777" w:rsidR="00494035" w:rsidRPr="004979D2" w:rsidRDefault="00494035" w:rsidP="002B1BC6">
            <w:pPr>
              <w:spacing w:line="360" w:lineRule="auto"/>
              <w:rPr>
                <w:rFonts w:ascii="Times New Roman" w:hAnsi="Times New Roman" w:cs="Times New Roman"/>
                <w:sz w:val="24"/>
                <w:szCs w:val="24"/>
              </w:rPr>
            </w:pPr>
          </w:p>
        </w:tc>
        <w:tc>
          <w:tcPr>
            <w:tcW w:w="2430" w:type="dxa"/>
          </w:tcPr>
          <w:p w14:paraId="77C68EC6" w14:textId="77777777" w:rsidR="00494035" w:rsidRPr="004979D2" w:rsidRDefault="00494035" w:rsidP="002B1BC6">
            <w:pPr>
              <w:spacing w:line="360" w:lineRule="auto"/>
              <w:rPr>
                <w:rFonts w:ascii="Times New Roman" w:hAnsi="Times New Roman" w:cs="Times New Roman"/>
                <w:sz w:val="24"/>
                <w:szCs w:val="24"/>
              </w:rPr>
            </w:pPr>
          </w:p>
        </w:tc>
        <w:tc>
          <w:tcPr>
            <w:tcW w:w="1620" w:type="dxa"/>
          </w:tcPr>
          <w:p w14:paraId="17604A87" w14:textId="77777777" w:rsidR="00494035" w:rsidRPr="004979D2" w:rsidRDefault="00494035" w:rsidP="002B1BC6">
            <w:pPr>
              <w:spacing w:line="360" w:lineRule="auto"/>
              <w:rPr>
                <w:rFonts w:ascii="Times New Roman" w:hAnsi="Times New Roman" w:cs="Times New Roman"/>
                <w:sz w:val="24"/>
                <w:szCs w:val="24"/>
              </w:rPr>
            </w:pPr>
          </w:p>
        </w:tc>
        <w:tc>
          <w:tcPr>
            <w:tcW w:w="2496" w:type="dxa"/>
          </w:tcPr>
          <w:p w14:paraId="6417D59D" w14:textId="77777777" w:rsidR="00494035" w:rsidRPr="004979D2" w:rsidRDefault="00494035" w:rsidP="002B1BC6">
            <w:pPr>
              <w:spacing w:line="360" w:lineRule="auto"/>
              <w:rPr>
                <w:rFonts w:ascii="Times New Roman" w:hAnsi="Times New Roman" w:cs="Times New Roman"/>
                <w:sz w:val="24"/>
                <w:szCs w:val="24"/>
              </w:rPr>
            </w:pPr>
          </w:p>
        </w:tc>
      </w:tr>
      <w:tr w:rsidR="00494035" w:rsidRPr="004979D2" w14:paraId="3BEBAD8A" w14:textId="77777777" w:rsidTr="00416C8B">
        <w:tc>
          <w:tcPr>
            <w:tcW w:w="1710" w:type="dxa"/>
            <w:vMerge/>
          </w:tcPr>
          <w:p w14:paraId="786896DD" w14:textId="77777777" w:rsidR="00494035" w:rsidRPr="004979D2" w:rsidRDefault="00494035" w:rsidP="002B1BC6">
            <w:pPr>
              <w:spacing w:line="360" w:lineRule="auto"/>
              <w:rPr>
                <w:rFonts w:ascii="Times New Roman" w:hAnsi="Times New Roman" w:cs="Times New Roman"/>
                <w:sz w:val="24"/>
                <w:szCs w:val="24"/>
              </w:rPr>
            </w:pPr>
          </w:p>
        </w:tc>
        <w:tc>
          <w:tcPr>
            <w:tcW w:w="4050" w:type="dxa"/>
          </w:tcPr>
          <w:p w14:paraId="5F7083FC" w14:textId="77777777" w:rsidR="00494035" w:rsidRPr="004979D2" w:rsidRDefault="00494035"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A do të detyrohen bizneset të mbyllen?</w:t>
            </w:r>
          </w:p>
        </w:tc>
        <w:tc>
          <w:tcPr>
            <w:tcW w:w="810" w:type="dxa"/>
          </w:tcPr>
          <w:p w14:paraId="7A844EE8" w14:textId="77777777" w:rsidR="00494035" w:rsidRPr="004979D2" w:rsidRDefault="00494035" w:rsidP="002B1BC6">
            <w:pPr>
              <w:spacing w:line="360" w:lineRule="auto"/>
              <w:rPr>
                <w:rFonts w:ascii="Times New Roman" w:hAnsi="Times New Roman" w:cs="Times New Roman"/>
                <w:sz w:val="24"/>
                <w:szCs w:val="24"/>
              </w:rPr>
            </w:pPr>
          </w:p>
        </w:tc>
        <w:tc>
          <w:tcPr>
            <w:tcW w:w="810" w:type="dxa"/>
          </w:tcPr>
          <w:p w14:paraId="40D41DDB" w14:textId="77777777" w:rsidR="00494035"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248A32E7" w14:textId="77777777" w:rsidR="00494035" w:rsidRPr="004979D2" w:rsidRDefault="00494035" w:rsidP="002B1BC6">
            <w:pPr>
              <w:spacing w:line="360" w:lineRule="auto"/>
              <w:rPr>
                <w:rFonts w:ascii="Times New Roman" w:hAnsi="Times New Roman" w:cs="Times New Roman"/>
                <w:sz w:val="24"/>
                <w:szCs w:val="24"/>
              </w:rPr>
            </w:pPr>
          </w:p>
        </w:tc>
        <w:tc>
          <w:tcPr>
            <w:tcW w:w="1620" w:type="dxa"/>
          </w:tcPr>
          <w:p w14:paraId="64CF8150" w14:textId="77777777" w:rsidR="00494035" w:rsidRPr="004979D2" w:rsidRDefault="00494035" w:rsidP="002B1BC6">
            <w:pPr>
              <w:spacing w:line="360" w:lineRule="auto"/>
              <w:rPr>
                <w:rFonts w:ascii="Times New Roman" w:hAnsi="Times New Roman" w:cs="Times New Roman"/>
                <w:sz w:val="24"/>
                <w:szCs w:val="24"/>
              </w:rPr>
            </w:pPr>
          </w:p>
        </w:tc>
        <w:tc>
          <w:tcPr>
            <w:tcW w:w="2496" w:type="dxa"/>
          </w:tcPr>
          <w:p w14:paraId="07A0B926" w14:textId="77777777" w:rsidR="00494035" w:rsidRPr="004979D2" w:rsidRDefault="00494035" w:rsidP="002B1BC6">
            <w:pPr>
              <w:spacing w:line="360" w:lineRule="auto"/>
              <w:rPr>
                <w:rFonts w:ascii="Times New Roman" w:hAnsi="Times New Roman" w:cs="Times New Roman"/>
                <w:sz w:val="24"/>
                <w:szCs w:val="24"/>
              </w:rPr>
            </w:pPr>
          </w:p>
        </w:tc>
      </w:tr>
      <w:tr w:rsidR="00494035" w:rsidRPr="004979D2" w14:paraId="37AE3DC0" w14:textId="77777777" w:rsidTr="00416C8B">
        <w:trPr>
          <w:trHeight w:val="325"/>
        </w:trPr>
        <w:tc>
          <w:tcPr>
            <w:tcW w:w="1710" w:type="dxa"/>
            <w:vMerge/>
          </w:tcPr>
          <w:p w14:paraId="5B6D4C97" w14:textId="77777777" w:rsidR="00494035" w:rsidRPr="004979D2" w:rsidRDefault="00494035" w:rsidP="002B1BC6">
            <w:pPr>
              <w:spacing w:line="360" w:lineRule="auto"/>
              <w:rPr>
                <w:rFonts w:ascii="Times New Roman" w:hAnsi="Times New Roman" w:cs="Times New Roman"/>
                <w:sz w:val="24"/>
                <w:szCs w:val="24"/>
              </w:rPr>
            </w:pPr>
          </w:p>
        </w:tc>
        <w:tc>
          <w:tcPr>
            <w:tcW w:w="4050" w:type="dxa"/>
          </w:tcPr>
          <w:p w14:paraId="0B20254F" w14:textId="77777777" w:rsidR="00494035" w:rsidRPr="004979D2" w:rsidRDefault="00494035"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A do të krijohen biznese të reja?</w:t>
            </w:r>
          </w:p>
        </w:tc>
        <w:tc>
          <w:tcPr>
            <w:tcW w:w="810" w:type="dxa"/>
          </w:tcPr>
          <w:p w14:paraId="6B44031D" w14:textId="77777777" w:rsidR="00494035"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810" w:type="dxa"/>
          </w:tcPr>
          <w:p w14:paraId="2B387150" w14:textId="77777777" w:rsidR="00494035" w:rsidRPr="004979D2" w:rsidRDefault="00494035" w:rsidP="002B1BC6">
            <w:pPr>
              <w:spacing w:line="360" w:lineRule="auto"/>
              <w:rPr>
                <w:rFonts w:ascii="Times New Roman" w:hAnsi="Times New Roman" w:cs="Times New Roman"/>
                <w:sz w:val="24"/>
                <w:szCs w:val="24"/>
              </w:rPr>
            </w:pPr>
          </w:p>
        </w:tc>
        <w:tc>
          <w:tcPr>
            <w:tcW w:w="2430" w:type="dxa"/>
          </w:tcPr>
          <w:p w14:paraId="2F5FD49E" w14:textId="77777777" w:rsidR="00494035" w:rsidRPr="004979D2" w:rsidRDefault="00F4350C"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I ulët</w:t>
            </w:r>
          </w:p>
        </w:tc>
        <w:tc>
          <w:tcPr>
            <w:tcW w:w="1620" w:type="dxa"/>
          </w:tcPr>
          <w:p w14:paraId="0A6C80FA" w14:textId="77777777" w:rsidR="00494035" w:rsidRPr="004979D2" w:rsidRDefault="005B54DA"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I ulët</w:t>
            </w:r>
          </w:p>
        </w:tc>
        <w:tc>
          <w:tcPr>
            <w:tcW w:w="2496" w:type="dxa"/>
          </w:tcPr>
          <w:p w14:paraId="7F9CA68C" w14:textId="77777777" w:rsidR="00494035" w:rsidRPr="004979D2" w:rsidRDefault="00494035"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Rritja e pozitës dominuese në mënyrë të drejtpërdrejtë mund të ndikojë në mënyrë të tërthortë në krijimin bizneseve “pengesë” për krijimin e bizneseve të reja. </w:t>
            </w:r>
          </w:p>
        </w:tc>
      </w:tr>
      <w:tr w:rsidR="00494035" w:rsidRPr="004979D2" w14:paraId="57BF41D8" w14:textId="77777777" w:rsidTr="00416C8B">
        <w:tc>
          <w:tcPr>
            <w:tcW w:w="1710" w:type="dxa"/>
            <w:vMerge w:val="restart"/>
          </w:tcPr>
          <w:p w14:paraId="3283B004" w14:textId="77777777" w:rsidR="00494035" w:rsidRPr="004979D2" w:rsidRDefault="00494035"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Ngarkesa administrative</w:t>
            </w:r>
          </w:p>
        </w:tc>
        <w:tc>
          <w:tcPr>
            <w:tcW w:w="4050" w:type="dxa"/>
          </w:tcPr>
          <w:p w14:paraId="010444F3" w14:textId="77777777" w:rsidR="00494035" w:rsidRPr="004979D2" w:rsidRDefault="00494035"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 xml:space="preserve">A do të detyrohen bizneset t’i përmbushin detyrimet e dhënies së informatave të reja? </w:t>
            </w:r>
          </w:p>
        </w:tc>
        <w:tc>
          <w:tcPr>
            <w:tcW w:w="810" w:type="dxa"/>
          </w:tcPr>
          <w:p w14:paraId="1BD5DA4C" w14:textId="77777777" w:rsidR="00494035" w:rsidRPr="004979D2" w:rsidRDefault="00494035" w:rsidP="002B1BC6">
            <w:pPr>
              <w:spacing w:line="360" w:lineRule="auto"/>
              <w:rPr>
                <w:rFonts w:ascii="Times New Roman" w:hAnsi="Times New Roman" w:cs="Times New Roman"/>
                <w:sz w:val="24"/>
                <w:szCs w:val="24"/>
              </w:rPr>
            </w:pPr>
          </w:p>
        </w:tc>
        <w:tc>
          <w:tcPr>
            <w:tcW w:w="810" w:type="dxa"/>
          </w:tcPr>
          <w:p w14:paraId="76245C0A" w14:textId="77777777" w:rsidR="00494035"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6BEBED72" w14:textId="77777777" w:rsidR="00494035" w:rsidRPr="004979D2" w:rsidRDefault="00494035" w:rsidP="002B1BC6">
            <w:pPr>
              <w:spacing w:line="360" w:lineRule="auto"/>
              <w:rPr>
                <w:rFonts w:ascii="Times New Roman" w:hAnsi="Times New Roman" w:cs="Times New Roman"/>
                <w:sz w:val="24"/>
                <w:szCs w:val="24"/>
              </w:rPr>
            </w:pPr>
          </w:p>
        </w:tc>
        <w:tc>
          <w:tcPr>
            <w:tcW w:w="1620" w:type="dxa"/>
          </w:tcPr>
          <w:p w14:paraId="55010FBF" w14:textId="77777777" w:rsidR="00494035" w:rsidRPr="004979D2" w:rsidRDefault="00494035" w:rsidP="002B1BC6">
            <w:pPr>
              <w:spacing w:line="360" w:lineRule="auto"/>
              <w:rPr>
                <w:rFonts w:ascii="Times New Roman" w:hAnsi="Times New Roman" w:cs="Times New Roman"/>
                <w:sz w:val="24"/>
                <w:szCs w:val="24"/>
              </w:rPr>
            </w:pPr>
          </w:p>
        </w:tc>
        <w:tc>
          <w:tcPr>
            <w:tcW w:w="2496" w:type="dxa"/>
          </w:tcPr>
          <w:p w14:paraId="24C5EA6E" w14:textId="77777777" w:rsidR="00494035" w:rsidRPr="004979D2" w:rsidRDefault="00494035" w:rsidP="002B1BC6">
            <w:pPr>
              <w:spacing w:line="360" w:lineRule="auto"/>
              <w:rPr>
                <w:rFonts w:ascii="Times New Roman" w:hAnsi="Times New Roman" w:cs="Times New Roman"/>
                <w:sz w:val="24"/>
                <w:szCs w:val="24"/>
              </w:rPr>
            </w:pPr>
          </w:p>
        </w:tc>
      </w:tr>
      <w:tr w:rsidR="007E1B0B" w:rsidRPr="004979D2" w14:paraId="0667F197" w14:textId="77777777" w:rsidTr="00416C8B">
        <w:tc>
          <w:tcPr>
            <w:tcW w:w="1710" w:type="dxa"/>
            <w:vMerge/>
          </w:tcPr>
          <w:p w14:paraId="5F4DEB09"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4B3EA3DE" w14:textId="77777777" w:rsidR="007E1B0B" w:rsidRPr="004979D2" w:rsidRDefault="007E1B0B"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A janë thjeshtuar detyrimet e dhënies së informatave për bizneset?</w:t>
            </w:r>
          </w:p>
        </w:tc>
        <w:tc>
          <w:tcPr>
            <w:tcW w:w="810" w:type="dxa"/>
          </w:tcPr>
          <w:p w14:paraId="3D214F32" w14:textId="77777777" w:rsidR="007E1B0B" w:rsidRPr="004979D2" w:rsidRDefault="007E1B0B" w:rsidP="002B1BC6">
            <w:pPr>
              <w:spacing w:line="360" w:lineRule="auto"/>
              <w:rPr>
                <w:rFonts w:ascii="Times New Roman" w:hAnsi="Times New Roman" w:cs="Times New Roman"/>
                <w:sz w:val="24"/>
                <w:szCs w:val="24"/>
              </w:rPr>
            </w:pPr>
          </w:p>
        </w:tc>
        <w:tc>
          <w:tcPr>
            <w:tcW w:w="810" w:type="dxa"/>
          </w:tcPr>
          <w:p w14:paraId="41E7F8F2"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7B463633"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4F9A3E02" w14:textId="77777777" w:rsidR="007E1B0B" w:rsidRPr="004979D2" w:rsidRDefault="007E1B0B" w:rsidP="002B1BC6">
            <w:pPr>
              <w:spacing w:line="360" w:lineRule="auto"/>
              <w:rPr>
                <w:rFonts w:ascii="Times New Roman" w:hAnsi="Times New Roman" w:cs="Times New Roman"/>
                <w:sz w:val="24"/>
                <w:szCs w:val="24"/>
              </w:rPr>
            </w:pPr>
          </w:p>
        </w:tc>
        <w:tc>
          <w:tcPr>
            <w:tcW w:w="2496" w:type="dxa"/>
          </w:tcPr>
          <w:p w14:paraId="6B49B9C0"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2CC49CFF" w14:textId="77777777" w:rsidTr="00416C8B">
        <w:tc>
          <w:tcPr>
            <w:tcW w:w="1710" w:type="dxa"/>
            <w:vMerge w:val="restart"/>
          </w:tcPr>
          <w:p w14:paraId="5CABE4A0"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Tregtia</w:t>
            </w:r>
          </w:p>
        </w:tc>
        <w:tc>
          <w:tcPr>
            <w:tcW w:w="4050" w:type="dxa"/>
          </w:tcPr>
          <w:p w14:paraId="496EC5DC"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A pritet të ndryshojnë flukset aktuale të importit? </w:t>
            </w:r>
          </w:p>
        </w:tc>
        <w:tc>
          <w:tcPr>
            <w:tcW w:w="810" w:type="dxa"/>
          </w:tcPr>
          <w:p w14:paraId="39A96CCD" w14:textId="77777777" w:rsidR="007E1B0B" w:rsidRPr="004979D2" w:rsidRDefault="007E1B0B" w:rsidP="002B1BC6">
            <w:pPr>
              <w:spacing w:line="360" w:lineRule="auto"/>
              <w:rPr>
                <w:rFonts w:ascii="Times New Roman" w:hAnsi="Times New Roman" w:cs="Times New Roman"/>
                <w:sz w:val="24"/>
                <w:szCs w:val="24"/>
              </w:rPr>
            </w:pPr>
          </w:p>
        </w:tc>
        <w:tc>
          <w:tcPr>
            <w:tcW w:w="810" w:type="dxa"/>
          </w:tcPr>
          <w:p w14:paraId="33BFD32F"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61157C54"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104F7C95" w14:textId="77777777" w:rsidR="007E1B0B" w:rsidRPr="004979D2" w:rsidRDefault="007E1B0B" w:rsidP="002B1BC6">
            <w:pPr>
              <w:spacing w:line="360" w:lineRule="auto"/>
              <w:rPr>
                <w:rFonts w:ascii="Times New Roman" w:hAnsi="Times New Roman" w:cs="Times New Roman"/>
                <w:sz w:val="24"/>
                <w:szCs w:val="24"/>
              </w:rPr>
            </w:pPr>
          </w:p>
        </w:tc>
        <w:tc>
          <w:tcPr>
            <w:tcW w:w="2496" w:type="dxa"/>
          </w:tcPr>
          <w:p w14:paraId="546B2057"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58E9B82E" w14:textId="77777777" w:rsidTr="00416C8B">
        <w:tc>
          <w:tcPr>
            <w:tcW w:w="1710" w:type="dxa"/>
            <w:vMerge/>
          </w:tcPr>
          <w:p w14:paraId="0DC7B1FD"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4103F819"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pritet të ndryshojnë flukset aktuale të eksportit?</w:t>
            </w:r>
          </w:p>
        </w:tc>
        <w:tc>
          <w:tcPr>
            <w:tcW w:w="810" w:type="dxa"/>
          </w:tcPr>
          <w:p w14:paraId="5051B1F8" w14:textId="77777777" w:rsidR="007E1B0B" w:rsidRPr="004979D2" w:rsidRDefault="00675293"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810" w:type="dxa"/>
          </w:tcPr>
          <w:p w14:paraId="69255D98" w14:textId="77777777" w:rsidR="007E1B0B" w:rsidRPr="004979D2" w:rsidRDefault="007E1B0B" w:rsidP="002B1BC6">
            <w:pPr>
              <w:spacing w:line="360" w:lineRule="auto"/>
              <w:rPr>
                <w:rFonts w:ascii="Times New Roman" w:hAnsi="Times New Roman" w:cs="Times New Roman"/>
                <w:sz w:val="24"/>
                <w:szCs w:val="24"/>
              </w:rPr>
            </w:pPr>
          </w:p>
        </w:tc>
        <w:tc>
          <w:tcPr>
            <w:tcW w:w="2430" w:type="dxa"/>
          </w:tcPr>
          <w:p w14:paraId="59847CA4"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I ulët</w:t>
            </w:r>
          </w:p>
        </w:tc>
        <w:tc>
          <w:tcPr>
            <w:tcW w:w="1620" w:type="dxa"/>
          </w:tcPr>
          <w:p w14:paraId="4AAE730C"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I ulët</w:t>
            </w:r>
          </w:p>
        </w:tc>
        <w:tc>
          <w:tcPr>
            <w:tcW w:w="2496" w:type="dxa"/>
          </w:tcPr>
          <w:p w14:paraId="21807A8A"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Rrija e pozitës dominuese në nivel të shtetit mund të ndikoj në rritje të </w:t>
            </w:r>
            <w:proofErr w:type="spellStart"/>
            <w:r w:rsidRPr="004979D2">
              <w:rPr>
                <w:rFonts w:ascii="Times New Roman" w:hAnsi="Times New Roman" w:cs="Times New Roman"/>
                <w:sz w:val="24"/>
                <w:szCs w:val="24"/>
              </w:rPr>
              <w:t>konkurrueshmërisë</w:t>
            </w:r>
            <w:proofErr w:type="spellEnd"/>
            <w:r w:rsidRPr="004979D2">
              <w:rPr>
                <w:rFonts w:ascii="Times New Roman" w:hAnsi="Times New Roman" w:cs="Times New Roman"/>
                <w:sz w:val="24"/>
                <w:szCs w:val="24"/>
              </w:rPr>
              <w:t xml:space="preserve"> në nivel rajonal dhe si rrjedhim qasje në tregje të jashtë që ndikon në rritjen e eksporteve. </w:t>
            </w:r>
          </w:p>
        </w:tc>
      </w:tr>
      <w:tr w:rsidR="007E1B0B" w:rsidRPr="004979D2" w14:paraId="20734974" w14:textId="77777777" w:rsidTr="00416C8B">
        <w:tc>
          <w:tcPr>
            <w:tcW w:w="1710" w:type="dxa"/>
            <w:vMerge w:val="restart"/>
          </w:tcPr>
          <w:p w14:paraId="194B9175"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Transporti</w:t>
            </w:r>
          </w:p>
        </w:tc>
        <w:tc>
          <w:tcPr>
            <w:tcW w:w="4050" w:type="dxa"/>
          </w:tcPr>
          <w:p w14:paraId="0317F9B1"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A do të ketë efekt në mënyrën e transportit të pasagjerëve dhe/ose mallrave? </w:t>
            </w:r>
          </w:p>
        </w:tc>
        <w:tc>
          <w:tcPr>
            <w:tcW w:w="810" w:type="dxa"/>
          </w:tcPr>
          <w:p w14:paraId="49D2BA04" w14:textId="77777777" w:rsidR="007E1B0B" w:rsidRPr="004979D2" w:rsidRDefault="007E1B0B" w:rsidP="002B1BC6">
            <w:pPr>
              <w:spacing w:line="360" w:lineRule="auto"/>
              <w:rPr>
                <w:rFonts w:ascii="Times New Roman" w:hAnsi="Times New Roman" w:cs="Times New Roman"/>
                <w:sz w:val="24"/>
                <w:szCs w:val="24"/>
              </w:rPr>
            </w:pPr>
          </w:p>
        </w:tc>
        <w:tc>
          <w:tcPr>
            <w:tcW w:w="810" w:type="dxa"/>
          </w:tcPr>
          <w:p w14:paraId="34370692"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3E03D4B9"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34049433" w14:textId="77777777" w:rsidR="007E1B0B" w:rsidRPr="004979D2" w:rsidRDefault="007E1B0B" w:rsidP="002B1BC6">
            <w:pPr>
              <w:spacing w:line="360" w:lineRule="auto"/>
              <w:rPr>
                <w:rFonts w:ascii="Times New Roman" w:hAnsi="Times New Roman" w:cs="Times New Roman"/>
                <w:sz w:val="24"/>
                <w:szCs w:val="24"/>
              </w:rPr>
            </w:pPr>
          </w:p>
        </w:tc>
        <w:tc>
          <w:tcPr>
            <w:tcW w:w="2496" w:type="dxa"/>
          </w:tcPr>
          <w:p w14:paraId="2EB63DF2"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78E98A2C" w14:textId="77777777" w:rsidTr="00416C8B">
        <w:tc>
          <w:tcPr>
            <w:tcW w:w="1710" w:type="dxa"/>
            <w:vMerge/>
          </w:tcPr>
          <w:p w14:paraId="01D5A722"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7C797B78"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ketë ndonjë ndryshim në kohën e nevojshme për të transportuar pasagjerë dhe/ose mallra?</w:t>
            </w:r>
          </w:p>
        </w:tc>
        <w:tc>
          <w:tcPr>
            <w:tcW w:w="810" w:type="dxa"/>
          </w:tcPr>
          <w:p w14:paraId="5B82ACAC" w14:textId="77777777" w:rsidR="007E1B0B" w:rsidRPr="004979D2" w:rsidRDefault="007E1B0B" w:rsidP="002B1BC6">
            <w:pPr>
              <w:spacing w:line="360" w:lineRule="auto"/>
              <w:rPr>
                <w:rFonts w:ascii="Times New Roman" w:hAnsi="Times New Roman" w:cs="Times New Roman"/>
                <w:sz w:val="24"/>
                <w:szCs w:val="24"/>
              </w:rPr>
            </w:pPr>
          </w:p>
        </w:tc>
        <w:tc>
          <w:tcPr>
            <w:tcW w:w="810" w:type="dxa"/>
          </w:tcPr>
          <w:p w14:paraId="3F2719A0"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5A0EF27B"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0A792CFB" w14:textId="77777777" w:rsidR="007E1B0B" w:rsidRPr="004979D2" w:rsidRDefault="007E1B0B" w:rsidP="002B1BC6">
            <w:pPr>
              <w:spacing w:line="360" w:lineRule="auto"/>
              <w:rPr>
                <w:rFonts w:ascii="Times New Roman" w:hAnsi="Times New Roman" w:cs="Times New Roman"/>
                <w:sz w:val="24"/>
                <w:szCs w:val="24"/>
              </w:rPr>
            </w:pPr>
          </w:p>
        </w:tc>
        <w:tc>
          <w:tcPr>
            <w:tcW w:w="2496" w:type="dxa"/>
          </w:tcPr>
          <w:p w14:paraId="65BF59EB"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52FF66A9" w14:textId="77777777" w:rsidTr="00416C8B">
        <w:tc>
          <w:tcPr>
            <w:tcW w:w="1710" w:type="dxa"/>
            <w:vMerge w:val="restart"/>
          </w:tcPr>
          <w:p w14:paraId="3266B937"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Investimet</w:t>
            </w:r>
          </w:p>
        </w:tc>
        <w:tc>
          <w:tcPr>
            <w:tcW w:w="4050" w:type="dxa"/>
          </w:tcPr>
          <w:p w14:paraId="29DC36F1"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pritet që kompanitë të investojnë në veprimtari të reja?</w:t>
            </w:r>
          </w:p>
        </w:tc>
        <w:tc>
          <w:tcPr>
            <w:tcW w:w="810" w:type="dxa"/>
          </w:tcPr>
          <w:p w14:paraId="00348BBA" w14:textId="77777777" w:rsidR="007E1B0B" w:rsidRPr="004979D2" w:rsidRDefault="007E1B0B" w:rsidP="002B1BC6">
            <w:pPr>
              <w:spacing w:line="360" w:lineRule="auto"/>
              <w:rPr>
                <w:rFonts w:ascii="Times New Roman" w:hAnsi="Times New Roman" w:cs="Times New Roman"/>
                <w:sz w:val="24"/>
                <w:szCs w:val="24"/>
              </w:rPr>
            </w:pPr>
          </w:p>
        </w:tc>
        <w:tc>
          <w:tcPr>
            <w:tcW w:w="810" w:type="dxa"/>
          </w:tcPr>
          <w:p w14:paraId="7AE11FAE"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2989507F"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13E1EAC9" w14:textId="77777777" w:rsidR="007E1B0B" w:rsidRPr="004979D2" w:rsidRDefault="007E1B0B" w:rsidP="002B1BC6">
            <w:pPr>
              <w:spacing w:line="360" w:lineRule="auto"/>
              <w:rPr>
                <w:rFonts w:ascii="Times New Roman" w:hAnsi="Times New Roman" w:cs="Times New Roman"/>
                <w:sz w:val="24"/>
                <w:szCs w:val="24"/>
              </w:rPr>
            </w:pPr>
          </w:p>
        </w:tc>
        <w:tc>
          <w:tcPr>
            <w:tcW w:w="2496" w:type="dxa"/>
          </w:tcPr>
          <w:p w14:paraId="5CF8E1E8" w14:textId="77777777" w:rsidR="007E1B0B" w:rsidRPr="004979D2" w:rsidRDefault="007E1B0B" w:rsidP="002B1BC6">
            <w:pPr>
              <w:spacing w:line="360" w:lineRule="auto"/>
              <w:rPr>
                <w:rFonts w:ascii="Times New Roman" w:hAnsi="Times New Roman" w:cs="Times New Roman"/>
                <w:sz w:val="24"/>
                <w:szCs w:val="24"/>
              </w:rPr>
            </w:pPr>
          </w:p>
        </w:tc>
      </w:tr>
      <w:tr w:rsidR="00494035" w:rsidRPr="004979D2" w14:paraId="2B02E09E" w14:textId="77777777" w:rsidTr="00416C8B">
        <w:tc>
          <w:tcPr>
            <w:tcW w:w="1710" w:type="dxa"/>
            <w:vMerge/>
          </w:tcPr>
          <w:p w14:paraId="2B123205" w14:textId="77777777" w:rsidR="00494035" w:rsidRPr="004979D2" w:rsidRDefault="00494035" w:rsidP="002B1BC6">
            <w:pPr>
              <w:spacing w:line="360" w:lineRule="auto"/>
              <w:rPr>
                <w:rFonts w:ascii="Times New Roman" w:hAnsi="Times New Roman" w:cs="Times New Roman"/>
                <w:sz w:val="24"/>
                <w:szCs w:val="24"/>
              </w:rPr>
            </w:pPr>
          </w:p>
        </w:tc>
        <w:tc>
          <w:tcPr>
            <w:tcW w:w="4050" w:type="dxa"/>
          </w:tcPr>
          <w:p w14:paraId="7415AE5F" w14:textId="77777777" w:rsidR="00494035" w:rsidRPr="004979D2" w:rsidRDefault="00494035"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pritet që kompanitë t'i anulojnë ose shtyjnë për më vonë investimet?</w:t>
            </w:r>
          </w:p>
        </w:tc>
        <w:tc>
          <w:tcPr>
            <w:tcW w:w="810" w:type="dxa"/>
          </w:tcPr>
          <w:p w14:paraId="7ECF7A6E" w14:textId="77777777" w:rsidR="00494035" w:rsidRPr="004979D2" w:rsidRDefault="00494035" w:rsidP="002B1BC6">
            <w:pPr>
              <w:spacing w:line="360" w:lineRule="auto"/>
              <w:rPr>
                <w:rFonts w:ascii="Times New Roman" w:hAnsi="Times New Roman" w:cs="Times New Roman"/>
                <w:sz w:val="24"/>
                <w:szCs w:val="24"/>
              </w:rPr>
            </w:pPr>
          </w:p>
        </w:tc>
        <w:tc>
          <w:tcPr>
            <w:tcW w:w="810" w:type="dxa"/>
          </w:tcPr>
          <w:p w14:paraId="7898BAFA" w14:textId="77777777" w:rsidR="00494035" w:rsidRPr="004979D2" w:rsidRDefault="00B251CF"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164A141D" w14:textId="77777777" w:rsidR="00494035" w:rsidRPr="004979D2" w:rsidRDefault="00494035" w:rsidP="002B1BC6">
            <w:pPr>
              <w:spacing w:line="360" w:lineRule="auto"/>
              <w:rPr>
                <w:rFonts w:ascii="Times New Roman" w:hAnsi="Times New Roman" w:cs="Times New Roman"/>
                <w:sz w:val="24"/>
                <w:szCs w:val="24"/>
              </w:rPr>
            </w:pPr>
          </w:p>
        </w:tc>
        <w:tc>
          <w:tcPr>
            <w:tcW w:w="1620" w:type="dxa"/>
          </w:tcPr>
          <w:p w14:paraId="32F269CA" w14:textId="77777777" w:rsidR="00494035" w:rsidRPr="004979D2" w:rsidRDefault="00494035" w:rsidP="002B1BC6">
            <w:pPr>
              <w:spacing w:line="360" w:lineRule="auto"/>
              <w:rPr>
                <w:rFonts w:ascii="Times New Roman" w:hAnsi="Times New Roman" w:cs="Times New Roman"/>
                <w:sz w:val="24"/>
                <w:szCs w:val="24"/>
              </w:rPr>
            </w:pPr>
          </w:p>
        </w:tc>
        <w:tc>
          <w:tcPr>
            <w:tcW w:w="2496" w:type="dxa"/>
          </w:tcPr>
          <w:p w14:paraId="18D12847" w14:textId="77777777" w:rsidR="00494035" w:rsidRPr="004979D2" w:rsidRDefault="00494035" w:rsidP="002B1BC6">
            <w:pPr>
              <w:spacing w:line="360" w:lineRule="auto"/>
              <w:rPr>
                <w:rFonts w:ascii="Times New Roman" w:hAnsi="Times New Roman" w:cs="Times New Roman"/>
                <w:sz w:val="24"/>
                <w:szCs w:val="24"/>
              </w:rPr>
            </w:pPr>
          </w:p>
        </w:tc>
      </w:tr>
      <w:tr w:rsidR="00494035" w:rsidRPr="004979D2" w14:paraId="17C08F2F" w14:textId="77777777" w:rsidTr="00416C8B">
        <w:tc>
          <w:tcPr>
            <w:tcW w:w="1710" w:type="dxa"/>
            <w:vMerge/>
          </w:tcPr>
          <w:p w14:paraId="286FE96A" w14:textId="77777777" w:rsidR="00494035" w:rsidRPr="004979D2" w:rsidRDefault="00494035" w:rsidP="002B1BC6">
            <w:pPr>
              <w:spacing w:line="360" w:lineRule="auto"/>
              <w:rPr>
                <w:rFonts w:ascii="Times New Roman" w:hAnsi="Times New Roman" w:cs="Times New Roman"/>
                <w:sz w:val="24"/>
                <w:szCs w:val="24"/>
              </w:rPr>
            </w:pPr>
          </w:p>
        </w:tc>
        <w:tc>
          <w:tcPr>
            <w:tcW w:w="4050" w:type="dxa"/>
          </w:tcPr>
          <w:p w14:paraId="685A3D14" w14:textId="77777777" w:rsidR="00494035" w:rsidRPr="004979D2" w:rsidRDefault="00494035"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A do të rriten investimet nga diaspora? </w:t>
            </w:r>
          </w:p>
        </w:tc>
        <w:tc>
          <w:tcPr>
            <w:tcW w:w="810" w:type="dxa"/>
          </w:tcPr>
          <w:p w14:paraId="68E62398" w14:textId="77777777" w:rsidR="00494035" w:rsidRPr="004979D2" w:rsidRDefault="00494035" w:rsidP="002B1BC6">
            <w:pPr>
              <w:spacing w:line="360" w:lineRule="auto"/>
              <w:rPr>
                <w:rFonts w:ascii="Times New Roman" w:hAnsi="Times New Roman" w:cs="Times New Roman"/>
                <w:sz w:val="24"/>
                <w:szCs w:val="24"/>
              </w:rPr>
            </w:pPr>
          </w:p>
        </w:tc>
        <w:tc>
          <w:tcPr>
            <w:tcW w:w="810" w:type="dxa"/>
          </w:tcPr>
          <w:p w14:paraId="5FF07DAC" w14:textId="77777777" w:rsidR="00494035" w:rsidRPr="004979D2" w:rsidRDefault="00B251CF"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28120834" w14:textId="77777777" w:rsidR="00494035" w:rsidRPr="004979D2" w:rsidRDefault="00494035" w:rsidP="002B1BC6">
            <w:pPr>
              <w:spacing w:line="360" w:lineRule="auto"/>
              <w:rPr>
                <w:rFonts w:ascii="Times New Roman" w:hAnsi="Times New Roman" w:cs="Times New Roman"/>
                <w:sz w:val="24"/>
                <w:szCs w:val="24"/>
              </w:rPr>
            </w:pPr>
          </w:p>
        </w:tc>
        <w:tc>
          <w:tcPr>
            <w:tcW w:w="1620" w:type="dxa"/>
          </w:tcPr>
          <w:p w14:paraId="56D168C3" w14:textId="77777777" w:rsidR="00494035" w:rsidRPr="004979D2" w:rsidRDefault="00494035" w:rsidP="002B1BC6">
            <w:pPr>
              <w:spacing w:line="360" w:lineRule="auto"/>
              <w:rPr>
                <w:rFonts w:ascii="Times New Roman" w:hAnsi="Times New Roman" w:cs="Times New Roman"/>
                <w:sz w:val="24"/>
                <w:szCs w:val="24"/>
              </w:rPr>
            </w:pPr>
          </w:p>
        </w:tc>
        <w:tc>
          <w:tcPr>
            <w:tcW w:w="2496" w:type="dxa"/>
          </w:tcPr>
          <w:p w14:paraId="3AACF1AF" w14:textId="77777777" w:rsidR="00494035" w:rsidRPr="004979D2" w:rsidRDefault="00494035" w:rsidP="002B1BC6">
            <w:pPr>
              <w:spacing w:line="360" w:lineRule="auto"/>
              <w:rPr>
                <w:rFonts w:ascii="Times New Roman" w:hAnsi="Times New Roman" w:cs="Times New Roman"/>
                <w:sz w:val="24"/>
                <w:szCs w:val="24"/>
              </w:rPr>
            </w:pPr>
          </w:p>
        </w:tc>
      </w:tr>
      <w:tr w:rsidR="00494035" w:rsidRPr="004979D2" w14:paraId="5B5D9E05" w14:textId="77777777" w:rsidTr="00416C8B">
        <w:tc>
          <w:tcPr>
            <w:tcW w:w="1710" w:type="dxa"/>
            <w:vMerge/>
          </w:tcPr>
          <w:p w14:paraId="5141B1ED" w14:textId="77777777" w:rsidR="00494035" w:rsidRPr="004979D2" w:rsidRDefault="00494035" w:rsidP="002B1BC6">
            <w:pPr>
              <w:spacing w:line="360" w:lineRule="auto"/>
              <w:rPr>
                <w:rFonts w:ascii="Times New Roman" w:hAnsi="Times New Roman" w:cs="Times New Roman"/>
                <w:sz w:val="24"/>
                <w:szCs w:val="24"/>
              </w:rPr>
            </w:pPr>
          </w:p>
        </w:tc>
        <w:tc>
          <w:tcPr>
            <w:tcW w:w="4050" w:type="dxa"/>
          </w:tcPr>
          <w:p w14:paraId="60539F3F" w14:textId="77777777" w:rsidR="00494035" w:rsidRPr="004979D2" w:rsidRDefault="00494035"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zvogëlohen investimet nga diaspora?</w:t>
            </w:r>
          </w:p>
        </w:tc>
        <w:tc>
          <w:tcPr>
            <w:tcW w:w="810" w:type="dxa"/>
          </w:tcPr>
          <w:p w14:paraId="03111F0A" w14:textId="77777777" w:rsidR="00494035" w:rsidRPr="004979D2" w:rsidRDefault="00494035" w:rsidP="002B1BC6">
            <w:pPr>
              <w:spacing w:line="360" w:lineRule="auto"/>
              <w:rPr>
                <w:rFonts w:ascii="Times New Roman" w:hAnsi="Times New Roman" w:cs="Times New Roman"/>
                <w:sz w:val="24"/>
                <w:szCs w:val="24"/>
              </w:rPr>
            </w:pPr>
          </w:p>
        </w:tc>
        <w:tc>
          <w:tcPr>
            <w:tcW w:w="810" w:type="dxa"/>
          </w:tcPr>
          <w:p w14:paraId="42E06C5E" w14:textId="77777777" w:rsidR="00494035" w:rsidRPr="004979D2" w:rsidRDefault="00B251CF"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36AA32A9" w14:textId="77777777" w:rsidR="00494035" w:rsidRPr="004979D2" w:rsidRDefault="00494035" w:rsidP="002B1BC6">
            <w:pPr>
              <w:spacing w:line="360" w:lineRule="auto"/>
              <w:rPr>
                <w:rFonts w:ascii="Times New Roman" w:hAnsi="Times New Roman" w:cs="Times New Roman"/>
                <w:sz w:val="24"/>
                <w:szCs w:val="24"/>
              </w:rPr>
            </w:pPr>
          </w:p>
        </w:tc>
        <w:tc>
          <w:tcPr>
            <w:tcW w:w="1620" w:type="dxa"/>
          </w:tcPr>
          <w:p w14:paraId="3A664613" w14:textId="77777777" w:rsidR="00494035" w:rsidRPr="004979D2" w:rsidRDefault="00494035" w:rsidP="002B1BC6">
            <w:pPr>
              <w:spacing w:line="360" w:lineRule="auto"/>
              <w:rPr>
                <w:rFonts w:ascii="Times New Roman" w:hAnsi="Times New Roman" w:cs="Times New Roman"/>
                <w:sz w:val="24"/>
                <w:szCs w:val="24"/>
              </w:rPr>
            </w:pPr>
          </w:p>
        </w:tc>
        <w:tc>
          <w:tcPr>
            <w:tcW w:w="2496" w:type="dxa"/>
          </w:tcPr>
          <w:p w14:paraId="009B2817" w14:textId="77777777" w:rsidR="00494035" w:rsidRPr="004979D2" w:rsidRDefault="00494035" w:rsidP="002B1BC6">
            <w:pPr>
              <w:spacing w:line="360" w:lineRule="auto"/>
              <w:rPr>
                <w:rFonts w:ascii="Times New Roman" w:hAnsi="Times New Roman" w:cs="Times New Roman"/>
                <w:sz w:val="24"/>
                <w:szCs w:val="24"/>
              </w:rPr>
            </w:pPr>
          </w:p>
        </w:tc>
      </w:tr>
      <w:tr w:rsidR="00494035" w:rsidRPr="004979D2" w14:paraId="23833FAC" w14:textId="77777777" w:rsidTr="00416C8B">
        <w:tc>
          <w:tcPr>
            <w:tcW w:w="1710" w:type="dxa"/>
            <w:vMerge/>
          </w:tcPr>
          <w:p w14:paraId="31841157" w14:textId="77777777" w:rsidR="00494035" w:rsidRPr="004979D2" w:rsidRDefault="00494035" w:rsidP="002B1BC6">
            <w:pPr>
              <w:spacing w:line="360" w:lineRule="auto"/>
              <w:rPr>
                <w:rFonts w:ascii="Times New Roman" w:hAnsi="Times New Roman" w:cs="Times New Roman"/>
                <w:sz w:val="24"/>
                <w:szCs w:val="24"/>
              </w:rPr>
            </w:pPr>
          </w:p>
        </w:tc>
        <w:tc>
          <w:tcPr>
            <w:tcW w:w="4050" w:type="dxa"/>
          </w:tcPr>
          <w:p w14:paraId="329A0EA6" w14:textId="77777777" w:rsidR="00494035" w:rsidRPr="004979D2" w:rsidRDefault="00494035"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A do të rriten investimet e huaja </w:t>
            </w:r>
            <w:proofErr w:type="spellStart"/>
            <w:r w:rsidRPr="004979D2">
              <w:rPr>
                <w:rFonts w:ascii="Times New Roman" w:hAnsi="Times New Roman" w:cs="Times New Roman"/>
                <w:sz w:val="24"/>
                <w:szCs w:val="24"/>
              </w:rPr>
              <w:t>direkte</w:t>
            </w:r>
            <w:proofErr w:type="spellEnd"/>
            <w:r w:rsidRPr="004979D2">
              <w:rPr>
                <w:rFonts w:ascii="Times New Roman" w:hAnsi="Times New Roman" w:cs="Times New Roman"/>
                <w:sz w:val="24"/>
                <w:szCs w:val="24"/>
              </w:rPr>
              <w:t>?</w:t>
            </w:r>
          </w:p>
        </w:tc>
        <w:tc>
          <w:tcPr>
            <w:tcW w:w="810" w:type="dxa"/>
          </w:tcPr>
          <w:p w14:paraId="5B30BA30" w14:textId="77777777" w:rsidR="00494035"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810" w:type="dxa"/>
          </w:tcPr>
          <w:p w14:paraId="7763B301" w14:textId="77777777" w:rsidR="00494035" w:rsidRPr="004979D2" w:rsidRDefault="00494035" w:rsidP="002B1BC6">
            <w:pPr>
              <w:spacing w:line="360" w:lineRule="auto"/>
              <w:rPr>
                <w:rFonts w:ascii="Times New Roman" w:hAnsi="Times New Roman" w:cs="Times New Roman"/>
                <w:sz w:val="24"/>
                <w:szCs w:val="24"/>
              </w:rPr>
            </w:pPr>
          </w:p>
        </w:tc>
        <w:tc>
          <w:tcPr>
            <w:tcW w:w="2430" w:type="dxa"/>
          </w:tcPr>
          <w:p w14:paraId="46D718F6" w14:textId="77777777" w:rsidR="00494035" w:rsidRPr="004979D2" w:rsidRDefault="00494035"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I ulët</w:t>
            </w:r>
          </w:p>
        </w:tc>
        <w:tc>
          <w:tcPr>
            <w:tcW w:w="1620" w:type="dxa"/>
          </w:tcPr>
          <w:p w14:paraId="44E568EA" w14:textId="77777777" w:rsidR="00494035" w:rsidRPr="004979D2" w:rsidRDefault="00494035"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I ulët</w:t>
            </w:r>
          </w:p>
        </w:tc>
        <w:tc>
          <w:tcPr>
            <w:tcW w:w="2496" w:type="dxa"/>
          </w:tcPr>
          <w:p w14:paraId="2FF6A0CA" w14:textId="77777777" w:rsidR="00494035" w:rsidRPr="004979D2" w:rsidRDefault="00494035"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Ndikimi është i tërthortë, prandaj edhe nuk nevojitet analizë të hollësishme. </w:t>
            </w:r>
          </w:p>
        </w:tc>
      </w:tr>
      <w:tr w:rsidR="007E1B0B" w:rsidRPr="004979D2" w14:paraId="3585D66E" w14:textId="77777777" w:rsidTr="00416C8B">
        <w:tc>
          <w:tcPr>
            <w:tcW w:w="1710" w:type="dxa"/>
            <w:vMerge/>
          </w:tcPr>
          <w:p w14:paraId="7D2E7E99"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7BBBC0F8"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A do të zvogëlohen investimet e huaja </w:t>
            </w:r>
            <w:proofErr w:type="spellStart"/>
            <w:r w:rsidRPr="004979D2">
              <w:rPr>
                <w:rFonts w:ascii="Times New Roman" w:hAnsi="Times New Roman" w:cs="Times New Roman"/>
                <w:sz w:val="24"/>
                <w:szCs w:val="24"/>
              </w:rPr>
              <w:t>direkte</w:t>
            </w:r>
            <w:proofErr w:type="spellEnd"/>
            <w:r w:rsidRPr="004979D2">
              <w:rPr>
                <w:rFonts w:ascii="Times New Roman" w:hAnsi="Times New Roman" w:cs="Times New Roman"/>
                <w:sz w:val="24"/>
                <w:szCs w:val="24"/>
              </w:rPr>
              <w:t>?</w:t>
            </w:r>
          </w:p>
        </w:tc>
        <w:tc>
          <w:tcPr>
            <w:tcW w:w="810" w:type="dxa"/>
          </w:tcPr>
          <w:p w14:paraId="6CE6E101" w14:textId="77777777" w:rsidR="007E1B0B" w:rsidRPr="004979D2" w:rsidRDefault="007E1B0B" w:rsidP="002B1BC6">
            <w:pPr>
              <w:spacing w:line="360" w:lineRule="auto"/>
              <w:rPr>
                <w:rFonts w:ascii="Times New Roman" w:hAnsi="Times New Roman" w:cs="Times New Roman"/>
                <w:sz w:val="24"/>
                <w:szCs w:val="24"/>
              </w:rPr>
            </w:pPr>
          </w:p>
        </w:tc>
        <w:tc>
          <w:tcPr>
            <w:tcW w:w="810" w:type="dxa"/>
          </w:tcPr>
          <w:p w14:paraId="7052C764"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32B8340D"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5FB19FC7" w14:textId="77777777" w:rsidR="007E1B0B" w:rsidRPr="004979D2" w:rsidRDefault="007E1B0B" w:rsidP="002B1BC6">
            <w:pPr>
              <w:spacing w:line="360" w:lineRule="auto"/>
              <w:rPr>
                <w:rFonts w:ascii="Times New Roman" w:hAnsi="Times New Roman" w:cs="Times New Roman"/>
                <w:sz w:val="24"/>
                <w:szCs w:val="24"/>
              </w:rPr>
            </w:pPr>
          </w:p>
        </w:tc>
        <w:tc>
          <w:tcPr>
            <w:tcW w:w="2496" w:type="dxa"/>
          </w:tcPr>
          <w:p w14:paraId="3C4B72F4"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3FAF8486" w14:textId="77777777" w:rsidTr="00416C8B">
        <w:tc>
          <w:tcPr>
            <w:tcW w:w="1710" w:type="dxa"/>
            <w:vMerge w:val="restart"/>
          </w:tcPr>
          <w:p w14:paraId="6A8000FE" w14:textId="77777777" w:rsidR="007E1B0B" w:rsidRPr="004979D2" w:rsidRDefault="007E1B0B" w:rsidP="002B1BC6">
            <w:pPr>
              <w:spacing w:line="360" w:lineRule="auto"/>
              <w:rPr>
                <w:rFonts w:ascii="Times New Roman" w:hAnsi="Times New Roman" w:cs="Times New Roman"/>
                <w:sz w:val="24"/>
                <w:szCs w:val="24"/>
              </w:rPr>
            </w:pPr>
            <w:proofErr w:type="spellStart"/>
            <w:r w:rsidRPr="004979D2">
              <w:rPr>
                <w:rFonts w:ascii="Times New Roman" w:hAnsi="Times New Roman" w:cs="Times New Roman"/>
                <w:sz w:val="24"/>
                <w:szCs w:val="24"/>
              </w:rPr>
              <w:t>Konkurrueshmëria</w:t>
            </w:r>
            <w:proofErr w:type="spellEnd"/>
          </w:p>
        </w:tc>
        <w:tc>
          <w:tcPr>
            <w:tcW w:w="4050" w:type="dxa"/>
          </w:tcPr>
          <w:p w14:paraId="4BB2F19B"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A do të rritet çmimi i biznesit të produkteve, siç është energjia elektrike? </w:t>
            </w:r>
          </w:p>
        </w:tc>
        <w:tc>
          <w:tcPr>
            <w:tcW w:w="810" w:type="dxa"/>
          </w:tcPr>
          <w:p w14:paraId="2AEB9F47" w14:textId="77777777" w:rsidR="007E1B0B" w:rsidRPr="004979D2" w:rsidRDefault="007E1B0B" w:rsidP="002B1BC6">
            <w:pPr>
              <w:spacing w:line="360" w:lineRule="auto"/>
              <w:rPr>
                <w:rFonts w:ascii="Times New Roman" w:hAnsi="Times New Roman" w:cs="Times New Roman"/>
                <w:sz w:val="24"/>
                <w:szCs w:val="24"/>
              </w:rPr>
            </w:pPr>
          </w:p>
        </w:tc>
        <w:tc>
          <w:tcPr>
            <w:tcW w:w="810" w:type="dxa"/>
          </w:tcPr>
          <w:p w14:paraId="2C4A23B6"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3348CA72"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0A8B3C47" w14:textId="77777777" w:rsidR="007E1B0B" w:rsidRPr="004979D2" w:rsidRDefault="007E1B0B" w:rsidP="002B1BC6">
            <w:pPr>
              <w:spacing w:line="360" w:lineRule="auto"/>
              <w:rPr>
                <w:rFonts w:ascii="Times New Roman" w:hAnsi="Times New Roman" w:cs="Times New Roman"/>
                <w:sz w:val="24"/>
                <w:szCs w:val="24"/>
              </w:rPr>
            </w:pPr>
          </w:p>
        </w:tc>
        <w:tc>
          <w:tcPr>
            <w:tcW w:w="2496" w:type="dxa"/>
          </w:tcPr>
          <w:p w14:paraId="1A942080"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46A347FB" w14:textId="77777777" w:rsidTr="00416C8B">
        <w:tc>
          <w:tcPr>
            <w:tcW w:w="1710" w:type="dxa"/>
            <w:vMerge/>
          </w:tcPr>
          <w:p w14:paraId="4B7BE118"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6A773C71"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A do të ulet çmimi i </w:t>
            </w:r>
            <w:proofErr w:type="spellStart"/>
            <w:r w:rsidRPr="004979D2">
              <w:rPr>
                <w:rFonts w:ascii="Times New Roman" w:hAnsi="Times New Roman" w:cs="Times New Roman"/>
                <w:sz w:val="24"/>
                <w:szCs w:val="24"/>
              </w:rPr>
              <w:t>inputeve</w:t>
            </w:r>
            <w:proofErr w:type="spellEnd"/>
            <w:r w:rsidRPr="004979D2">
              <w:rPr>
                <w:rFonts w:ascii="Times New Roman" w:hAnsi="Times New Roman" w:cs="Times New Roman"/>
                <w:sz w:val="24"/>
                <w:szCs w:val="24"/>
              </w:rPr>
              <w:t xml:space="preserve"> të bizneseve, siç është energjia elektrike?</w:t>
            </w:r>
          </w:p>
        </w:tc>
        <w:tc>
          <w:tcPr>
            <w:tcW w:w="810" w:type="dxa"/>
          </w:tcPr>
          <w:p w14:paraId="7B56BC60" w14:textId="77777777" w:rsidR="007E1B0B" w:rsidRPr="004979D2" w:rsidRDefault="007E1B0B" w:rsidP="002B1BC6">
            <w:pPr>
              <w:spacing w:line="360" w:lineRule="auto"/>
              <w:rPr>
                <w:rFonts w:ascii="Times New Roman" w:hAnsi="Times New Roman" w:cs="Times New Roman"/>
                <w:sz w:val="24"/>
                <w:szCs w:val="24"/>
              </w:rPr>
            </w:pPr>
          </w:p>
        </w:tc>
        <w:tc>
          <w:tcPr>
            <w:tcW w:w="810" w:type="dxa"/>
          </w:tcPr>
          <w:p w14:paraId="49859C58"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25CBC459"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15383EC9" w14:textId="77777777" w:rsidR="007E1B0B" w:rsidRPr="004979D2" w:rsidRDefault="007E1B0B" w:rsidP="002B1BC6">
            <w:pPr>
              <w:spacing w:line="360" w:lineRule="auto"/>
              <w:rPr>
                <w:rFonts w:ascii="Times New Roman" w:hAnsi="Times New Roman" w:cs="Times New Roman"/>
                <w:sz w:val="24"/>
                <w:szCs w:val="24"/>
              </w:rPr>
            </w:pPr>
          </w:p>
        </w:tc>
        <w:tc>
          <w:tcPr>
            <w:tcW w:w="2496" w:type="dxa"/>
          </w:tcPr>
          <w:p w14:paraId="29CD5E31"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20460D04" w14:textId="77777777" w:rsidTr="00416C8B">
        <w:tc>
          <w:tcPr>
            <w:tcW w:w="1710" w:type="dxa"/>
            <w:vMerge/>
          </w:tcPr>
          <w:p w14:paraId="010D3B49"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73A7FD7D"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ka gjasa që të promovohen inovacioni dhe hulumtimi?</w:t>
            </w:r>
          </w:p>
        </w:tc>
        <w:tc>
          <w:tcPr>
            <w:tcW w:w="810" w:type="dxa"/>
          </w:tcPr>
          <w:p w14:paraId="0EB4976E" w14:textId="77777777" w:rsidR="007E1B0B" w:rsidRPr="004979D2" w:rsidRDefault="007E1B0B" w:rsidP="002B1BC6">
            <w:pPr>
              <w:spacing w:line="360" w:lineRule="auto"/>
              <w:rPr>
                <w:rFonts w:ascii="Times New Roman" w:hAnsi="Times New Roman" w:cs="Times New Roman"/>
                <w:sz w:val="24"/>
                <w:szCs w:val="24"/>
              </w:rPr>
            </w:pPr>
          </w:p>
        </w:tc>
        <w:tc>
          <w:tcPr>
            <w:tcW w:w="810" w:type="dxa"/>
          </w:tcPr>
          <w:p w14:paraId="41220F15"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52A97457"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49E11408" w14:textId="77777777" w:rsidR="007E1B0B" w:rsidRPr="004979D2" w:rsidRDefault="007E1B0B" w:rsidP="002B1BC6">
            <w:pPr>
              <w:spacing w:line="360" w:lineRule="auto"/>
              <w:rPr>
                <w:rFonts w:ascii="Times New Roman" w:hAnsi="Times New Roman" w:cs="Times New Roman"/>
                <w:sz w:val="24"/>
                <w:szCs w:val="24"/>
              </w:rPr>
            </w:pPr>
          </w:p>
        </w:tc>
        <w:tc>
          <w:tcPr>
            <w:tcW w:w="2496" w:type="dxa"/>
          </w:tcPr>
          <w:p w14:paraId="5ACA5C5C"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6762F7A0" w14:textId="77777777" w:rsidTr="00416C8B">
        <w:tc>
          <w:tcPr>
            <w:tcW w:w="1710" w:type="dxa"/>
            <w:vMerge/>
          </w:tcPr>
          <w:p w14:paraId="3A6E12E4"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2BD796C3"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ka gjasa që inovacioni dhe hulumtimi të pengohen?</w:t>
            </w:r>
          </w:p>
        </w:tc>
        <w:tc>
          <w:tcPr>
            <w:tcW w:w="810" w:type="dxa"/>
          </w:tcPr>
          <w:p w14:paraId="08BF79D4" w14:textId="77777777" w:rsidR="007E1B0B" w:rsidRPr="004979D2" w:rsidRDefault="007E1B0B" w:rsidP="002B1BC6">
            <w:pPr>
              <w:spacing w:line="360" w:lineRule="auto"/>
              <w:rPr>
                <w:rFonts w:ascii="Times New Roman" w:hAnsi="Times New Roman" w:cs="Times New Roman"/>
                <w:sz w:val="24"/>
                <w:szCs w:val="24"/>
              </w:rPr>
            </w:pPr>
          </w:p>
        </w:tc>
        <w:tc>
          <w:tcPr>
            <w:tcW w:w="810" w:type="dxa"/>
          </w:tcPr>
          <w:p w14:paraId="34B17C54"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17FB72D7"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24717128" w14:textId="77777777" w:rsidR="007E1B0B" w:rsidRPr="004979D2" w:rsidRDefault="007E1B0B" w:rsidP="002B1BC6">
            <w:pPr>
              <w:spacing w:line="360" w:lineRule="auto"/>
              <w:rPr>
                <w:rFonts w:ascii="Times New Roman" w:hAnsi="Times New Roman" w:cs="Times New Roman"/>
                <w:sz w:val="24"/>
                <w:szCs w:val="24"/>
              </w:rPr>
            </w:pPr>
          </w:p>
        </w:tc>
        <w:tc>
          <w:tcPr>
            <w:tcW w:w="2496" w:type="dxa"/>
          </w:tcPr>
          <w:p w14:paraId="2F0ED736" w14:textId="77777777" w:rsidR="007E1B0B" w:rsidRPr="004979D2" w:rsidRDefault="007E1B0B" w:rsidP="002B1BC6">
            <w:pPr>
              <w:spacing w:line="360" w:lineRule="auto"/>
              <w:rPr>
                <w:rFonts w:ascii="Times New Roman" w:hAnsi="Times New Roman" w:cs="Times New Roman"/>
                <w:sz w:val="24"/>
                <w:szCs w:val="24"/>
              </w:rPr>
            </w:pPr>
          </w:p>
        </w:tc>
      </w:tr>
      <w:tr w:rsidR="00494035" w:rsidRPr="004979D2" w14:paraId="7A7248BA" w14:textId="77777777" w:rsidTr="00416C8B">
        <w:tc>
          <w:tcPr>
            <w:tcW w:w="1710" w:type="dxa"/>
          </w:tcPr>
          <w:p w14:paraId="5AC29A21" w14:textId="77777777" w:rsidR="00494035" w:rsidRPr="004979D2" w:rsidRDefault="00494035"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Ndikimi në NVM</w:t>
            </w:r>
          </w:p>
        </w:tc>
        <w:tc>
          <w:tcPr>
            <w:tcW w:w="4050" w:type="dxa"/>
          </w:tcPr>
          <w:p w14:paraId="769FB821" w14:textId="77777777" w:rsidR="00494035" w:rsidRPr="004979D2" w:rsidRDefault="00494035"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janë kompanitë e prekura kryesisht NVM?</w:t>
            </w:r>
          </w:p>
        </w:tc>
        <w:tc>
          <w:tcPr>
            <w:tcW w:w="810" w:type="dxa"/>
          </w:tcPr>
          <w:p w14:paraId="6867C984" w14:textId="77777777" w:rsidR="00494035"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810" w:type="dxa"/>
          </w:tcPr>
          <w:p w14:paraId="70AAACC9" w14:textId="77777777" w:rsidR="00494035" w:rsidRPr="004979D2" w:rsidRDefault="00494035" w:rsidP="002B1BC6">
            <w:pPr>
              <w:spacing w:line="360" w:lineRule="auto"/>
              <w:rPr>
                <w:rFonts w:ascii="Times New Roman" w:hAnsi="Times New Roman" w:cs="Times New Roman"/>
                <w:sz w:val="24"/>
                <w:szCs w:val="24"/>
              </w:rPr>
            </w:pPr>
          </w:p>
        </w:tc>
        <w:tc>
          <w:tcPr>
            <w:tcW w:w="2430" w:type="dxa"/>
          </w:tcPr>
          <w:p w14:paraId="5EB38112" w14:textId="77777777" w:rsidR="00494035" w:rsidRPr="004979D2" w:rsidRDefault="00B251CF"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I </w:t>
            </w:r>
            <w:r w:rsidR="0035120C" w:rsidRPr="004979D2">
              <w:rPr>
                <w:rFonts w:ascii="Times New Roman" w:hAnsi="Times New Roman" w:cs="Times New Roman"/>
                <w:sz w:val="24"/>
                <w:szCs w:val="24"/>
              </w:rPr>
              <w:t>larte</w:t>
            </w:r>
          </w:p>
        </w:tc>
        <w:tc>
          <w:tcPr>
            <w:tcW w:w="1620" w:type="dxa"/>
          </w:tcPr>
          <w:p w14:paraId="276B78AA" w14:textId="77777777" w:rsidR="00494035" w:rsidRPr="004979D2" w:rsidRDefault="00494035"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I ulët</w:t>
            </w:r>
          </w:p>
        </w:tc>
        <w:tc>
          <w:tcPr>
            <w:tcW w:w="2496" w:type="dxa"/>
          </w:tcPr>
          <w:p w14:paraId="6100E587" w14:textId="77777777" w:rsidR="00494035" w:rsidRPr="004979D2" w:rsidRDefault="00494035"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Mbi 90% të ndërmarrjeve në Kosovë janë NVM </w:t>
            </w:r>
          </w:p>
        </w:tc>
      </w:tr>
      <w:tr w:rsidR="007E1B0B" w:rsidRPr="004979D2" w14:paraId="223B83E0" w14:textId="77777777" w:rsidTr="00416C8B">
        <w:tc>
          <w:tcPr>
            <w:tcW w:w="1710" w:type="dxa"/>
            <w:vMerge w:val="restart"/>
          </w:tcPr>
          <w:p w14:paraId="0D5CFBDD"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Çmimet dhe konkurrenca</w:t>
            </w:r>
          </w:p>
        </w:tc>
        <w:tc>
          <w:tcPr>
            <w:tcW w:w="4050" w:type="dxa"/>
          </w:tcPr>
          <w:p w14:paraId="4336FD2A"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A do të rritet numri i mallrave dhe shërbimeve në dispozicion për biznesin apo konsumatorët? </w:t>
            </w:r>
          </w:p>
        </w:tc>
        <w:tc>
          <w:tcPr>
            <w:tcW w:w="810" w:type="dxa"/>
          </w:tcPr>
          <w:p w14:paraId="2F9B10B8" w14:textId="77777777" w:rsidR="007E1B0B" w:rsidRPr="004979D2" w:rsidRDefault="007E1B0B" w:rsidP="002B1BC6">
            <w:pPr>
              <w:spacing w:line="360" w:lineRule="auto"/>
              <w:rPr>
                <w:rFonts w:ascii="Times New Roman" w:hAnsi="Times New Roman" w:cs="Times New Roman"/>
                <w:sz w:val="24"/>
                <w:szCs w:val="24"/>
              </w:rPr>
            </w:pPr>
          </w:p>
        </w:tc>
        <w:tc>
          <w:tcPr>
            <w:tcW w:w="810" w:type="dxa"/>
          </w:tcPr>
          <w:p w14:paraId="6ADD423A"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45428DAD"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25420130" w14:textId="77777777" w:rsidR="007E1B0B" w:rsidRPr="004979D2" w:rsidRDefault="007E1B0B" w:rsidP="002B1BC6">
            <w:pPr>
              <w:spacing w:line="360" w:lineRule="auto"/>
              <w:rPr>
                <w:rFonts w:ascii="Times New Roman" w:hAnsi="Times New Roman" w:cs="Times New Roman"/>
                <w:sz w:val="24"/>
                <w:szCs w:val="24"/>
              </w:rPr>
            </w:pPr>
          </w:p>
        </w:tc>
        <w:tc>
          <w:tcPr>
            <w:tcW w:w="2496" w:type="dxa"/>
          </w:tcPr>
          <w:p w14:paraId="70345205"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4C9CB270" w14:textId="77777777" w:rsidTr="00416C8B">
        <w:tc>
          <w:tcPr>
            <w:tcW w:w="1710" w:type="dxa"/>
            <w:vMerge/>
          </w:tcPr>
          <w:p w14:paraId="603EFE2B"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6BA990A2"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A do të zvogëlohet numri i mallrave </w:t>
            </w:r>
            <w:r w:rsidRPr="004979D2">
              <w:rPr>
                <w:rFonts w:ascii="Times New Roman" w:hAnsi="Times New Roman" w:cs="Times New Roman"/>
                <w:sz w:val="24"/>
                <w:szCs w:val="24"/>
              </w:rPr>
              <w:lastRenderedPageBreak/>
              <w:t>dhe shërbimeve në dispozicion për biznesin apo konsumatorët?</w:t>
            </w:r>
          </w:p>
        </w:tc>
        <w:tc>
          <w:tcPr>
            <w:tcW w:w="810" w:type="dxa"/>
          </w:tcPr>
          <w:p w14:paraId="631E8EF6" w14:textId="77777777" w:rsidR="007E1B0B" w:rsidRPr="004979D2" w:rsidRDefault="007E1B0B" w:rsidP="002B1BC6">
            <w:pPr>
              <w:spacing w:line="360" w:lineRule="auto"/>
              <w:rPr>
                <w:rFonts w:ascii="Times New Roman" w:hAnsi="Times New Roman" w:cs="Times New Roman"/>
                <w:sz w:val="24"/>
                <w:szCs w:val="24"/>
              </w:rPr>
            </w:pPr>
          </w:p>
        </w:tc>
        <w:tc>
          <w:tcPr>
            <w:tcW w:w="810" w:type="dxa"/>
          </w:tcPr>
          <w:p w14:paraId="265F53CD"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321EB08C"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5E67B2DD" w14:textId="77777777" w:rsidR="007E1B0B" w:rsidRPr="004979D2" w:rsidRDefault="007E1B0B" w:rsidP="002B1BC6">
            <w:pPr>
              <w:spacing w:line="360" w:lineRule="auto"/>
              <w:rPr>
                <w:rFonts w:ascii="Times New Roman" w:hAnsi="Times New Roman" w:cs="Times New Roman"/>
                <w:sz w:val="24"/>
                <w:szCs w:val="24"/>
              </w:rPr>
            </w:pPr>
          </w:p>
        </w:tc>
        <w:tc>
          <w:tcPr>
            <w:tcW w:w="2496" w:type="dxa"/>
          </w:tcPr>
          <w:p w14:paraId="4B45B77A"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5B1010D1" w14:textId="77777777" w:rsidTr="00416C8B">
        <w:tc>
          <w:tcPr>
            <w:tcW w:w="1710" w:type="dxa"/>
            <w:vMerge/>
          </w:tcPr>
          <w:p w14:paraId="32765AD7"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0187B005"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rriten çmimet e mallrave dhe shërbimeve ekzistuese?</w:t>
            </w:r>
          </w:p>
        </w:tc>
        <w:tc>
          <w:tcPr>
            <w:tcW w:w="810" w:type="dxa"/>
          </w:tcPr>
          <w:p w14:paraId="4D784EFC" w14:textId="77777777" w:rsidR="007E1B0B" w:rsidRPr="004979D2" w:rsidRDefault="007E1B0B" w:rsidP="002B1BC6">
            <w:pPr>
              <w:spacing w:line="360" w:lineRule="auto"/>
              <w:rPr>
                <w:rFonts w:ascii="Times New Roman" w:hAnsi="Times New Roman" w:cs="Times New Roman"/>
                <w:sz w:val="24"/>
                <w:szCs w:val="24"/>
              </w:rPr>
            </w:pPr>
          </w:p>
        </w:tc>
        <w:tc>
          <w:tcPr>
            <w:tcW w:w="810" w:type="dxa"/>
          </w:tcPr>
          <w:p w14:paraId="1B7B08F8"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5A13D4DB"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45D9A954" w14:textId="77777777" w:rsidR="007E1B0B" w:rsidRPr="004979D2" w:rsidRDefault="007E1B0B" w:rsidP="002B1BC6">
            <w:pPr>
              <w:spacing w:line="360" w:lineRule="auto"/>
              <w:rPr>
                <w:rFonts w:ascii="Times New Roman" w:hAnsi="Times New Roman" w:cs="Times New Roman"/>
                <w:sz w:val="24"/>
                <w:szCs w:val="24"/>
              </w:rPr>
            </w:pPr>
          </w:p>
        </w:tc>
        <w:tc>
          <w:tcPr>
            <w:tcW w:w="2496" w:type="dxa"/>
          </w:tcPr>
          <w:p w14:paraId="4A41D834"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4BBAE42D" w14:textId="77777777" w:rsidTr="00416C8B">
        <w:tc>
          <w:tcPr>
            <w:tcW w:w="1710" w:type="dxa"/>
            <w:vMerge/>
          </w:tcPr>
          <w:p w14:paraId="1261F82C"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537A6615"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ulen çmimet e mallrave dhe shërbimeve ekzistuese?</w:t>
            </w:r>
          </w:p>
        </w:tc>
        <w:tc>
          <w:tcPr>
            <w:tcW w:w="810" w:type="dxa"/>
          </w:tcPr>
          <w:p w14:paraId="19AB1304" w14:textId="77777777" w:rsidR="007E1B0B" w:rsidRPr="004979D2" w:rsidRDefault="007E1B0B" w:rsidP="002B1BC6">
            <w:pPr>
              <w:spacing w:line="360" w:lineRule="auto"/>
              <w:rPr>
                <w:rFonts w:ascii="Times New Roman" w:hAnsi="Times New Roman" w:cs="Times New Roman"/>
                <w:sz w:val="24"/>
                <w:szCs w:val="24"/>
              </w:rPr>
            </w:pPr>
          </w:p>
        </w:tc>
        <w:tc>
          <w:tcPr>
            <w:tcW w:w="810" w:type="dxa"/>
          </w:tcPr>
          <w:p w14:paraId="53053CB2"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0AF65401"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27016DF3" w14:textId="77777777" w:rsidR="007E1B0B" w:rsidRPr="004979D2" w:rsidRDefault="007E1B0B" w:rsidP="002B1BC6">
            <w:pPr>
              <w:spacing w:line="360" w:lineRule="auto"/>
              <w:rPr>
                <w:rFonts w:ascii="Times New Roman" w:hAnsi="Times New Roman" w:cs="Times New Roman"/>
                <w:sz w:val="24"/>
                <w:szCs w:val="24"/>
              </w:rPr>
            </w:pPr>
          </w:p>
        </w:tc>
        <w:tc>
          <w:tcPr>
            <w:tcW w:w="2496" w:type="dxa"/>
          </w:tcPr>
          <w:p w14:paraId="7CE3D6F8"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7D0D9D56" w14:textId="77777777" w:rsidTr="00416C8B">
        <w:tc>
          <w:tcPr>
            <w:tcW w:w="1710" w:type="dxa"/>
            <w:vMerge w:val="restart"/>
          </w:tcPr>
          <w:p w14:paraId="5BD06465"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Ndikimet ekonomike rajonale</w:t>
            </w:r>
          </w:p>
        </w:tc>
        <w:tc>
          <w:tcPr>
            <w:tcW w:w="4050" w:type="dxa"/>
          </w:tcPr>
          <w:p w14:paraId="64A84C8F"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ndikohet ndonjë sektor i veçantë i biznesit?</w:t>
            </w:r>
          </w:p>
        </w:tc>
        <w:tc>
          <w:tcPr>
            <w:tcW w:w="810" w:type="dxa"/>
          </w:tcPr>
          <w:p w14:paraId="278DE9EF" w14:textId="77777777" w:rsidR="007E1B0B" w:rsidRPr="004979D2" w:rsidRDefault="007E1B0B" w:rsidP="002B1BC6">
            <w:pPr>
              <w:spacing w:line="360" w:lineRule="auto"/>
              <w:rPr>
                <w:rFonts w:ascii="Times New Roman" w:hAnsi="Times New Roman" w:cs="Times New Roman"/>
                <w:sz w:val="24"/>
                <w:szCs w:val="24"/>
              </w:rPr>
            </w:pPr>
          </w:p>
        </w:tc>
        <w:tc>
          <w:tcPr>
            <w:tcW w:w="810" w:type="dxa"/>
          </w:tcPr>
          <w:p w14:paraId="0A544374"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5DAC7382"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3BD82F2C" w14:textId="77777777" w:rsidR="007E1B0B" w:rsidRPr="004979D2" w:rsidRDefault="007E1B0B" w:rsidP="002B1BC6">
            <w:pPr>
              <w:spacing w:line="360" w:lineRule="auto"/>
              <w:rPr>
                <w:rFonts w:ascii="Times New Roman" w:hAnsi="Times New Roman" w:cs="Times New Roman"/>
                <w:sz w:val="24"/>
                <w:szCs w:val="24"/>
              </w:rPr>
            </w:pPr>
          </w:p>
        </w:tc>
        <w:tc>
          <w:tcPr>
            <w:tcW w:w="2496" w:type="dxa"/>
          </w:tcPr>
          <w:p w14:paraId="6F9688DE"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6689A9BB" w14:textId="77777777" w:rsidTr="00416C8B">
        <w:tc>
          <w:tcPr>
            <w:tcW w:w="1710" w:type="dxa"/>
            <w:vMerge/>
          </w:tcPr>
          <w:p w14:paraId="0E59F3A4"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2BE496BF"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është ky sektor i koncentruar në një rajon të caktuar?</w:t>
            </w:r>
          </w:p>
        </w:tc>
        <w:tc>
          <w:tcPr>
            <w:tcW w:w="810" w:type="dxa"/>
          </w:tcPr>
          <w:p w14:paraId="7B77F1C1" w14:textId="77777777" w:rsidR="007E1B0B" w:rsidRPr="004979D2" w:rsidRDefault="007E1B0B" w:rsidP="002B1BC6">
            <w:pPr>
              <w:spacing w:line="360" w:lineRule="auto"/>
              <w:rPr>
                <w:rFonts w:ascii="Times New Roman" w:hAnsi="Times New Roman" w:cs="Times New Roman"/>
                <w:sz w:val="24"/>
                <w:szCs w:val="24"/>
              </w:rPr>
            </w:pPr>
          </w:p>
        </w:tc>
        <w:tc>
          <w:tcPr>
            <w:tcW w:w="810" w:type="dxa"/>
          </w:tcPr>
          <w:p w14:paraId="4382672F"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7CBD4977"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04B860CE" w14:textId="77777777" w:rsidR="007E1B0B" w:rsidRPr="004979D2" w:rsidRDefault="007E1B0B" w:rsidP="002B1BC6">
            <w:pPr>
              <w:spacing w:line="360" w:lineRule="auto"/>
              <w:rPr>
                <w:rFonts w:ascii="Times New Roman" w:hAnsi="Times New Roman" w:cs="Times New Roman"/>
                <w:sz w:val="24"/>
                <w:szCs w:val="24"/>
              </w:rPr>
            </w:pPr>
          </w:p>
        </w:tc>
        <w:tc>
          <w:tcPr>
            <w:tcW w:w="2496" w:type="dxa"/>
          </w:tcPr>
          <w:p w14:paraId="30667B01"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590C4CE2" w14:textId="77777777" w:rsidTr="00416C8B">
        <w:tc>
          <w:tcPr>
            <w:tcW w:w="1710" w:type="dxa"/>
            <w:vMerge w:val="restart"/>
          </w:tcPr>
          <w:p w14:paraId="4A415901"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Zhvillimi i përgjithshëm ekonomik</w:t>
            </w:r>
          </w:p>
        </w:tc>
        <w:tc>
          <w:tcPr>
            <w:tcW w:w="4050" w:type="dxa"/>
          </w:tcPr>
          <w:p w14:paraId="48004EAF"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A do të ndikohet rritja e ardhshme ekonomike? </w:t>
            </w:r>
          </w:p>
        </w:tc>
        <w:tc>
          <w:tcPr>
            <w:tcW w:w="810" w:type="dxa"/>
          </w:tcPr>
          <w:p w14:paraId="4ED768D0" w14:textId="77777777" w:rsidR="007E1B0B" w:rsidRPr="004979D2" w:rsidRDefault="0035120C"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810" w:type="dxa"/>
          </w:tcPr>
          <w:p w14:paraId="38DCDA37" w14:textId="77777777" w:rsidR="007E1B0B" w:rsidRPr="004979D2" w:rsidRDefault="007E1B0B" w:rsidP="002B1BC6">
            <w:pPr>
              <w:spacing w:line="360" w:lineRule="auto"/>
              <w:rPr>
                <w:rFonts w:ascii="Times New Roman" w:hAnsi="Times New Roman" w:cs="Times New Roman"/>
                <w:sz w:val="24"/>
                <w:szCs w:val="24"/>
              </w:rPr>
            </w:pPr>
          </w:p>
        </w:tc>
        <w:tc>
          <w:tcPr>
            <w:tcW w:w="2430" w:type="dxa"/>
          </w:tcPr>
          <w:p w14:paraId="0BAC43FB" w14:textId="77777777" w:rsidR="007E1B0B" w:rsidRPr="004979D2" w:rsidRDefault="0035120C"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I ulet</w:t>
            </w:r>
          </w:p>
        </w:tc>
        <w:tc>
          <w:tcPr>
            <w:tcW w:w="1620" w:type="dxa"/>
          </w:tcPr>
          <w:p w14:paraId="6AB8990C" w14:textId="77777777" w:rsidR="007E1B0B" w:rsidRPr="004979D2" w:rsidRDefault="0035120C"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I ulet</w:t>
            </w:r>
          </w:p>
        </w:tc>
        <w:tc>
          <w:tcPr>
            <w:tcW w:w="2496" w:type="dxa"/>
          </w:tcPr>
          <w:p w14:paraId="46D44949"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Aktualisht, rritja ekonomike për periudhën e ardhshme është diku rreth 5%.  </w:t>
            </w:r>
            <w:r w:rsidR="00D508E3" w:rsidRPr="004979D2">
              <w:rPr>
                <w:rFonts w:ascii="Times New Roman" w:hAnsi="Times New Roman" w:cs="Times New Roman"/>
                <w:sz w:val="24"/>
                <w:szCs w:val="24"/>
              </w:rPr>
              <w:t>Ndikimi është indirekt.</w:t>
            </w:r>
          </w:p>
        </w:tc>
      </w:tr>
      <w:tr w:rsidR="007E1B0B" w:rsidRPr="004979D2" w14:paraId="6F594E5C" w14:textId="77777777" w:rsidTr="00416C8B">
        <w:tc>
          <w:tcPr>
            <w:tcW w:w="1710" w:type="dxa"/>
            <w:vMerge/>
          </w:tcPr>
          <w:p w14:paraId="47EE725C"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21A621B8"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mund të ketë ndonjë efekt në normën e inflacionit?</w:t>
            </w:r>
          </w:p>
        </w:tc>
        <w:tc>
          <w:tcPr>
            <w:tcW w:w="810" w:type="dxa"/>
          </w:tcPr>
          <w:p w14:paraId="7D6851B4" w14:textId="77777777" w:rsidR="007E1B0B" w:rsidRPr="004979D2" w:rsidRDefault="007E1B0B" w:rsidP="002B1BC6">
            <w:pPr>
              <w:spacing w:line="360" w:lineRule="auto"/>
              <w:rPr>
                <w:rFonts w:ascii="Times New Roman" w:hAnsi="Times New Roman" w:cs="Times New Roman"/>
                <w:sz w:val="24"/>
                <w:szCs w:val="24"/>
              </w:rPr>
            </w:pPr>
          </w:p>
        </w:tc>
        <w:tc>
          <w:tcPr>
            <w:tcW w:w="810" w:type="dxa"/>
          </w:tcPr>
          <w:p w14:paraId="261359A2"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4F625D6A"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0BA682E1" w14:textId="77777777" w:rsidR="007E1B0B" w:rsidRPr="004979D2" w:rsidRDefault="007E1B0B" w:rsidP="002B1BC6">
            <w:pPr>
              <w:spacing w:line="360" w:lineRule="auto"/>
              <w:rPr>
                <w:rFonts w:ascii="Times New Roman" w:hAnsi="Times New Roman" w:cs="Times New Roman"/>
                <w:sz w:val="24"/>
                <w:szCs w:val="24"/>
              </w:rPr>
            </w:pPr>
          </w:p>
        </w:tc>
        <w:tc>
          <w:tcPr>
            <w:tcW w:w="2496" w:type="dxa"/>
          </w:tcPr>
          <w:p w14:paraId="0DF79D46" w14:textId="77777777" w:rsidR="007E1B0B" w:rsidRPr="004979D2" w:rsidRDefault="007E1B0B" w:rsidP="002B1BC6">
            <w:pPr>
              <w:spacing w:line="360" w:lineRule="auto"/>
              <w:rPr>
                <w:rFonts w:ascii="Times New Roman" w:hAnsi="Times New Roman" w:cs="Times New Roman"/>
                <w:sz w:val="24"/>
                <w:szCs w:val="24"/>
              </w:rPr>
            </w:pPr>
          </w:p>
        </w:tc>
      </w:tr>
    </w:tbl>
    <w:p w14:paraId="502007A5" w14:textId="77777777" w:rsidR="00942D7C" w:rsidRPr="004979D2" w:rsidRDefault="00180BB0" w:rsidP="002B1BC6">
      <w:pPr>
        <w:pStyle w:val="Heading1"/>
        <w:spacing w:line="360" w:lineRule="auto"/>
        <w:rPr>
          <w:rFonts w:ascii="Times New Roman" w:hAnsi="Times New Roman" w:cs="Times New Roman"/>
          <w:sz w:val="24"/>
          <w:szCs w:val="24"/>
        </w:rPr>
      </w:pPr>
      <w:bookmarkStart w:id="54" w:name="_Toc1114338"/>
      <w:r w:rsidRPr="004979D2">
        <w:rPr>
          <w:rFonts w:ascii="Times New Roman" w:hAnsi="Times New Roman" w:cs="Times New Roman"/>
          <w:sz w:val="24"/>
          <w:szCs w:val="24"/>
        </w:rPr>
        <w:t xml:space="preserve">Shtojca </w:t>
      </w:r>
      <w:r w:rsidR="00DF2517" w:rsidRPr="004979D2">
        <w:rPr>
          <w:rFonts w:ascii="Times New Roman" w:hAnsi="Times New Roman" w:cs="Times New Roman"/>
          <w:sz w:val="24"/>
          <w:szCs w:val="24"/>
        </w:rPr>
        <w:t xml:space="preserve">2: </w:t>
      </w:r>
      <w:r w:rsidR="00162D8C" w:rsidRPr="004979D2">
        <w:rPr>
          <w:rFonts w:ascii="Times New Roman" w:hAnsi="Times New Roman" w:cs="Times New Roman"/>
          <w:sz w:val="24"/>
          <w:szCs w:val="24"/>
        </w:rPr>
        <w:t xml:space="preserve">Forma e vlerësimit për </w:t>
      </w:r>
      <w:r w:rsidR="00541488" w:rsidRPr="004979D2">
        <w:rPr>
          <w:rFonts w:ascii="Times New Roman" w:hAnsi="Times New Roman" w:cs="Times New Roman"/>
          <w:sz w:val="24"/>
          <w:szCs w:val="24"/>
        </w:rPr>
        <w:t>n</w:t>
      </w:r>
      <w:r w:rsidR="00162D8C" w:rsidRPr="004979D2">
        <w:rPr>
          <w:rFonts w:ascii="Times New Roman" w:hAnsi="Times New Roman" w:cs="Times New Roman"/>
          <w:sz w:val="24"/>
          <w:szCs w:val="24"/>
        </w:rPr>
        <w:t>dikim</w:t>
      </w:r>
      <w:r w:rsidR="00674773" w:rsidRPr="004979D2">
        <w:rPr>
          <w:rFonts w:ascii="Times New Roman" w:hAnsi="Times New Roman" w:cs="Times New Roman"/>
          <w:sz w:val="24"/>
          <w:szCs w:val="24"/>
        </w:rPr>
        <w:t>et</w:t>
      </w:r>
      <w:r w:rsidR="00DF2517" w:rsidRPr="004979D2">
        <w:rPr>
          <w:rFonts w:ascii="Times New Roman" w:hAnsi="Times New Roman" w:cs="Times New Roman"/>
          <w:sz w:val="24"/>
          <w:szCs w:val="24"/>
        </w:rPr>
        <w:t xml:space="preserve"> </w:t>
      </w:r>
      <w:r w:rsidR="00541488" w:rsidRPr="004979D2">
        <w:rPr>
          <w:rFonts w:ascii="Times New Roman" w:hAnsi="Times New Roman" w:cs="Times New Roman"/>
          <w:sz w:val="24"/>
          <w:szCs w:val="24"/>
        </w:rPr>
        <w:t>s</w:t>
      </w:r>
      <w:r w:rsidR="00162D8C" w:rsidRPr="004979D2">
        <w:rPr>
          <w:rFonts w:ascii="Times New Roman" w:hAnsi="Times New Roman" w:cs="Times New Roman"/>
          <w:sz w:val="24"/>
          <w:szCs w:val="24"/>
        </w:rPr>
        <w:t>hoqëror</w:t>
      </w:r>
      <w:r w:rsidR="00541488" w:rsidRPr="004979D2">
        <w:rPr>
          <w:rFonts w:ascii="Times New Roman" w:hAnsi="Times New Roman" w:cs="Times New Roman"/>
          <w:sz w:val="24"/>
          <w:szCs w:val="24"/>
        </w:rPr>
        <w:t>e</w:t>
      </w:r>
      <w:bookmarkEnd w:id="54"/>
    </w:p>
    <w:tbl>
      <w:tblPr>
        <w:tblStyle w:val="TableGrid"/>
        <w:tblW w:w="14040" w:type="dxa"/>
        <w:tblInd w:w="-635" w:type="dxa"/>
        <w:tblLayout w:type="fixed"/>
        <w:tblLook w:val="04A0" w:firstRow="1" w:lastRow="0" w:firstColumn="1" w:lastColumn="0" w:noHBand="0" w:noVBand="1"/>
      </w:tblPr>
      <w:tblGrid>
        <w:gridCol w:w="1710"/>
        <w:gridCol w:w="4163"/>
        <w:gridCol w:w="810"/>
        <w:gridCol w:w="787"/>
        <w:gridCol w:w="2340"/>
        <w:gridCol w:w="1620"/>
        <w:gridCol w:w="2610"/>
      </w:tblGrid>
      <w:tr w:rsidR="00C11655" w:rsidRPr="004979D2" w14:paraId="7B164CE6" w14:textId="77777777" w:rsidTr="00595960">
        <w:tc>
          <w:tcPr>
            <w:tcW w:w="1710" w:type="dxa"/>
            <w:vMerge w:val="restart"/>
          </w:tcPr>
          <w:p w14:paraId="77D23841" w14:textId="77777777" w:rsidR="00C11655" w:rsidRPr="004979D2" w:rsidRDefault="00F51BA0"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Kategoria e ndikimeve shoqërore</w:t>
            </w:r>
          </w:p>
        </w:tc>
        <w:tc>
          <w:tcPr>
            <w:tcW w:w="4163" w:type="dxa"/>
            <w:vMerge w:val="restart"/>
          </w:tcPr>
          <w:p w14:paraId="56C5045B" w14:textId="77777777" w:rsidR="00C11655" w:rsidRPr="004979D2" w:rsidRDefault="00F51BA0"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Ndikimi kryesor</w:t>
            </w:r>
          </w:p>
        </w:tc>
        <w:tc>
          <w:tcPr>
            <w:tcW w:w="1597" w:type="dxa"/>
            <w:gridSpan w:val="2"/>
          </w:tcPr>
          <w:p w14:paraId="5F4502E1" w14:textId="77777777" w:rsidR="00C11655" w:rsidRPr="004979D2" w:rsidRDefault="00F51BA0"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A pritet të ndodhë ky ndikim</w:t>
            </w:r>
            <w:r w:rsidR="00C11655" w:rsidRPr="004979D2">
              <w:rPr>
                <w:rFonts w:ascii="Times New Roman" w:hAnsi="Times New Roman" w:cs="Times New Roman"/>
                <w:b/>
                <w:sz w:val="24"/>
                <w:szCs w:val="24"/>
              </w:rPr>
              <w:t>?</w:t>
            </w:r>
          </w:p>
        </w:tc>
        <w:tc>
          <w:tcPr>
            <w:tcW w:w="2340" w:type="dxa"/>
          </w:tcPr>
          <w:p w14:paraId="758C5A2F" w14:textId="77777777" w:rsidR="00C11655" w:rsidRPr="004979D2" w:rsidRDefault="00C13D3C"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 xml:space="preserve">Numri i organizatave, kompanive dhe/ose </w:t>
            </w:r>
            <w:r w:rsidRPr="004979D2">
              <w:rPr>
                <w:rFonts w:ascii="Times New Roman" w:hAnsi="Times New Roman" w:cs="Times New Roman"/>
                <w:b/>
                <w:sz w:val="24"/>
                <w:szCs w:val="24"/>
              </w:rPr>
              <w:lastRenderedPageBreak/>
              <w:t>individëve të prekur</w:t>
            </w:r>
          </w:p>
        </w:tc>
        <w:tc>
          <w:tcPr>
            <w:tcW w:w="1620" w:type="dxa"/>
          </w:tcPr>
          <w:p w14:paraId="246CC539" w14:textId="77777777" w:rsidR="00C11655" w:rsidRPr="004979D2" w:rsidRDefault="00C13D3C"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lastRenderedPageBreak/>
              <w:t xml:space="preserve">Përfitimi i pritshëm ose kostoja e </w:t>
            </w:r>
            <w:r w:rsidRPr="004979D2">
              <w:rPr>
                <w:rFonts w:ascii="Times New Roman" w:hAnsi="Times New Roman" w:cs="Times New Roman"/>
                <w:b/>
                <w:sz w:val="24"/>
                <w:szCs w:val="24"/>
              </w:rPr>
              <w:lastRenderedPageBreak/>
              <w:t>ndikimit</w:t>
            </w:r>
          </w:p>
        </w:tc>
        <w:tc>
          <w:tcPr>
            <w:tcW w:w="2610" w:type="dxa"/>
          </w:tcPr>
          <w:p w14:paraId="7BD6D0D4" w14:textId="77777777" w:rsidR="00C11655" w:rsidRPr="004979D2" w:rsidRDefault="00C13D3C"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lastRenderedPageBreak/>
              <w:t>Niveli i preferuar i analizës</w:t>
            </w:r>
          </w:p>
        </w:tc>
      </w:tr>
      <w:tr w:rsidR="00F51BA0" w:rsidRPr="004979D2" w14:paraId="0245991D" w14:textId="77777777" w:rsidTr="00595960">
        <w:tc>
          <w:tcPr>
            <w:tcW w:w="1710" w:type="dxa"/>
            <w:vMerge/>
          </w:tcPr>
          <w:p w14:paraId="2191055F" w14:textId="77777777" w:rsidR="00F51BA0" w:rsidRPr="004979D2" w:rsidRDefault="00F51BA0" w:rsidP="002B1BC6">
            <w:pPr>
              <w:spacing w:line="360" w:lineRule="auto"/>
              <w:rPr>
                <w:rFonts w:ascii="Times New Roman" w:hAnsi="Times New Roman" w:cs="Times New Roman"/>
                <w:b/>
                <w:sz w:val="24"/>
                <w:szCs w:val="24"/>
              </w:rPr>
            </w:pPr>
          </w:p>
        </w:tc>
        <w:tc>
          <w:tcPr>
            <w:tcW w:w="4163" w:type="dxa"/>
            <w:vMerge/>
          </w:tcPr>
          <w:p w14:paraId="5387E40E" w14:textId="77777777" w:rsidR="00F51BA0" w:rsidRPr="004979D2" w:rsidRDefault="00F51BA0" w:rsidP="002B1BC6">
            <w:pPr>
              <w:spacing w:line="360" w:lineRule="auto"/>
              <w:rPr>
                <w:rFonts w:ascii="Times New Roman" w:hAnsi="Times New Roman" w:cs="Times New Roman"/>
                <w:b/>
                <w:sz w:val="24"/>
                <w:szCs w:val="24"/>
              </w:rPr>
            </w:pPr>
          </w:p>
        </w:tc>
        <w:tc>
          <w:tcPr>
            <w:tcW w:w="810" w:type="dxa"/>
          </w:tcPr>
          <w:p w14:paraId="1F44BF0F" w14:textId="77777777" w:rsidR="00F51BA0" w:rsidRPr="004979D2" w:rsidRDefault="00F51BA0"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Po</w:t>
            </w:r>
          </w:p>
        </w:tc>
        <w:tc>
          <w:tcPr>
            <w:tcW w:w="787" w:type="dxa"/>
          </w:tcPr>
          <w:p w14:paraId="2B62715A" w14:textId="77777777" w:rsidR="00F51BA0" w:rsidRPr="004979D2" w:rsidRDefault="00F51BA0"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Jo</w:t>
            </w:r>
          </w:p>
        </w:tc>
        <w:tc>
          <w:tcPr>
            <w:tcW w:w="2340" w:type="dxa"/>
          </w:tcPr>
          <w:p w14:paraId="7AA3476F" w14:textId="77777777" w:rsidR="00F51BA0" w:rsidRPr="004979D2" w:rsidRDefault="00C13D3C"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I lartë/i ulët</w:t>
            </w:r>
          </w:p>
        </w:tc>
        <w:tc>
          <w:tcPr>
            <w:tcW w:w="1620" w:type="dxa"/>
          </w:tcPr>
          <w:p w14:paraId="64F860F0" w14:textId="77777777" w:rsidR="00F51BA0" w:rsidRPr="004979D2" w:rsidRDefault="00C13D3C"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I lartë/i ulët</w:t>
            </w:r>
          </w:p>
        </w:tc>
        <w:tc>
          <w:tcPr>
            <w:tcW w:w="2610" w:type="dxa"/>
          </w:tcPr>
          <w:p w14:paraId="27ABBB85" w14:textId="77777777" w:rsidR="00F51BA0" w:rsidRPr="004979D2" w:rsidRDefault="00F51BA0" w:rsidP="002B1BC6">
            <w:pPr>
              <w:spacing w:line="360" w:lineRule="auto"/>
              <w:rPr>
                <w:rFonts w:ascii="Times New Roman" w:hAnsi="Times New Roman" w:cs="Times New Roman"/>
                <w:b/>
                <w:sz w:val="24"/>
                <w:szCs w:val="24"/>
              </w:rPr>
            </w:pPr>
          </w:p>
        </w:tc>
      </w:tr>
      <w:tr w:rsidR="00595960" w:rsidRPr="004979D2" w14:paraId="5C72FBED" w14:textId="77777777" w:rsidTr="00595960">
        <w:tc>
          <w:tcPr>
            <w:tcW w:w="1710" w:type="dxa"/>
            <w:vMerge w:val="restart"/>
          </w:tcPr>
          <w:p w14:paraId="430F9F10" w14:textId="77777777" w:rsidR="00595960" w:rsidRPr="004979D2" w:rsidRDefault="00595960"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Vendet e punës</w:t>
            </w:r>
            <w:r w:rsidRPr="004979D2">
              <w:rPr>
                <w:rStyle w:val="FootnoteReference"/>
                <w:rFonts w:ascii="Times New Roman" w:hAnsi="Times New Roman" w:cs="Times New Roman"/>
                <w:sz w:val="24"/>
                <w:szCs w:val="24"/>
                <w:vertAlign w:val="baseline"/>
              </w:rPr>
              <w:t xml:space="preserve"> </w:t>
            </w:r>
            <w:r w:rsidRPr="004979D2">
              <w:rPr>
                <w:rStyle w:val="FootnoteReference"/>
                <w:rFonts w:ascii="Times New Roman" w:hAnsi="Times New Roman" w:cs="Times New Roman"/>
                <w:sz w:val="24"/>
                <w:szCs w:val="24"/>
              </w:rPr>
              <w:footnoteReference w:id="35"/>
            </w:r>
          </w:p>
        </w:tc>
        <w:tc>
          <w:tcPr>
            <w:tcW w:w="4163" w:type="dxa"/>
          </w:tcPr>
          <w:p w14:paraId="49560520" w14:textId="77777777" w:rsidR="00595960" w:rsidRPr="004979D2" w:rsidRDefault="00595960"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A do të rritet numri aktual i vendeve të punës?</w:t>
            </w:r>
          </w:p>
        </w:tc>
        <w:tc>
          <w:tcPr>
            <w:tcW w:w="810" w:type="dxa"/>
          </w:tcPr>
          <w:p w14:paraId="040F8514" w14:textId="77777777" w:rsidR="00595960" w:rsidRPr="004979D2" w:rsidRDefault="00595960" w:rsidP="002B1BC6">
            <w:pPr>
              <w:spacing w:line="360" w:lineRule="auto"/>
              <w:rPr>
                <w:rFonts w:ascii="Times New Roman" w:hAnsi="Times New Roman" w:cs="Times New Roman"/>
                <w:sz w:val="24"/>
                <w:szCs w:val="24"/>
              </w:rPr>
            </w:pPr>
          </w:p>
        </w:tc>
        <w:tc>
          <w:tcPr>
            <w:tcW w:w="787" w:type="dxa"/>
          </w:tcPr>
          <w:p w14:paraId="62710BAF" w14:textId="77777777" w:rsidR="00595960" w:rsidRPr="004979D2" w:rsidRDefault="00AA0C5A"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25DA13FD" w14:textId="77777777" w:rsidR="00595960" w:rsidRPr="004979D2" w:rsidRDefault="00595960" w:rsidP="002B1BC6">
            <w:pPr>
              <w:spacing w:line="360" w:lineRule="auto"/>
              <w:rPr>
                <w:rFonts w:ascii="Times New Roman" w:hAnsi="Times New Roman" w:cs="Times New Roman"/>
                <w:sz w:val="24"/>
                <w:szCs w:val="24"/>
              </w:rPr>
            </w:pPr>
          </w:p>
        </w:tc>
        <w:tc>
          <w:tcPr>
            <w:tcW w:w="1620" w:type="dxa"/>
          </w:tcPr>
          <w:p w14:paraId="3A3D9B77" w14:textId="77777777" w:rsidR="00595960" w:rsidRPr="004979D2" w:rsidRDefault="00595960" w:rsidP="002B1BC6">
            <w:pPr>
              <w:spacing w:line="360" w:lineRule="auto"/>
              <w:rPr>
                <w:rFonts w:ascii="Times New Roman" w:hAnsi="Times New Roman" w:cs="Times New Roman"/>
                <w:sz w:val="24"/>
                <w:szCs w:val="24"/>
              </w:rPr>
            </w:pPr>
          </w:p>
        </w:tc>
        <w:tc>
          <w:tcPr>
            <w:tcW w:w="2610" w:type="dxa"/>
          </w:tcPr>
          <w:p w14:paraId="6881F3CD" w14:textId="77777777" w:rsidR="00595960" w:rsidRPr="004979D2" w:rsidRDefault="00595960" w:rsidP="002B1BC6">
            <w:pPr>
              <w:spacing w:line="360" w:lineRule="auto"/>
              <w:rPr>
                <w:rFonts w:ascii="Times New Roman" w:hAnsi="Times New Roman" w:cs="Times New Roman"/>
                <w:sz w:val="24"/>
                <w:szCs w:val="24"/>
              </w:rPr>
            </w:pPr>
          </w:p>
        </w:tc>
      </w:tr>
      <w:tr w:rsidR="007E1B0B" w:rsidRPr="004979D2" w14:paraId="3B5C34F1" w14:textId="77777777" w:rsidTr="00595960">
        <w:tc>
          <w:tcPr>
            <w:tcW w:w="1710" w:type="dxa"/>
            <w:vMerge/>
          </w:tcPr>
          <w:p w14:paraId="4237A7FC" w14:textId="77777777" w:rsidR="007E1B0B" w:rsidRPr="004979D2" w:rsidRDefault="007E1B0B" w:rsidP="002B1BC6">
            <w:pPr>
              <w:spacing w:line="360" w:lineRule="auto"/>
              <w:rPr>
                <w:rFonts w:ascii="Times New Roman" w:hAnsi="Times New Roman" w:cs="Times New Roman"/>
                <w:sz w:val="24"/>
                <w:szCs w:val="24"/>
              </w:rPr>
            </w:pPr>
          </w:p>
        </w:tc>
        <w:tc>
          <w:tcPr>
            <w:tcW w:w="4163" w:type="dxa"/>
          </w:tcPr>
          <w:p w14:paraId="6C34562C" w14:textId="77777777" w:rsidR="007E1B0B" w:rsidRPr="004979D2" w:rsidRDefault="007E1B0B"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A do të zvogëlohet numri aktual i vendeve të punës?</w:t>
            </w:r>
          </w:p>
        </w:tc>
        <w:tc>
          <w:tcPr>
            <w:tcW w:w="810" w:type="dxa"/>
          </w:tcPr>
          <w:p w14:paraId="2EDAB7D8"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17CB95A4"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78386295"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262ADC33"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554E63EC"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1F4363B1" w14:textId="77777777" w:rsidTr="00595960">
        <w:tc>
          <w:tcPr>
            <w:tcW w:w="1710" w:type="dxa"/>
            <w:vMerge/>
          </w:tcPr>
          <w:p w14:paraId="5B67E415" w14:textId="77777777" w:rsidR="007E1B0B" w:rsidRPr="004979D2" w:rsidRDefault="007E1B0B" w:rsidP="002B1BC6">
            <w:pPr>
              <w:spacing w:line="360" w:lineRule="auto"/>
              <w:rPr>
                <w:rFonts w:ascii="Times New Roman" w:hAnsi="Times New Roman" w:cs="Times New Roman"/>
                <w:sz w:val="24"/>
                <w:szCs w:val="24"/>
              </w:rPr>
            </w:pPr>
          </w:p>
        </w:tc>
        <w:tc>
          <w:tcPr>
            <w:tcW w:w="4163" w:type="dxa"/>
          </w:tcPr>
          <w:p w14:paraId="3BA5CE00" w14:textId="77777777" w:rsidR="007E1B0B" w:rsidRPr="004979D2" w:rsidRDefault="007E1B0B"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A ndikohen vendet e punës në një sektor të caktuar të biznesit?</w:t>
            </w:r>
          </w:p>
        </w:tc>
        <w:tc>
          <w:tcPr>
            <w:tcW w:w="810" w:type="dxa"/>
          </w:tcPr>
          <w:p w14:paraId="62DC9DB4"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449AFC13"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08C53E25"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11EDD1BC"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6B93C6ED"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1BA241BC" w14:textId="77777777" w:rsidTr="00595960">
        <w:tc>
          <w:tcPr>
            <w:tcW w:w="1710" w:type="dxa"/>
            <w:vMerge/>
          </w:tcPr>
          <w:p w14:paraId="77543EDC" w14:textId="77777777" w:rsidR="007E1B0B" w:rsidRPr="004979D2" w:rsidRDefault="007E1B0B" w:rsidP="002B1BC6">
            <w:pPr>
              <w:spacing w:line="360" w:lineRule="auto"/>
              <w:rPr>
                <w:rFonts w:ascii="Times New Roman" w:hAnsi="Times New Roman" w:cs="Times New Roman"/>
                <w:sz w:val="24"/>
                <w:szCs w:val="24"/>
              </w:rPr>
            </w:pPr>
          </w:p>
        </w:tc>
        <w:tc>
          <w:tcPr>
            <w:tcW w:w="4163" w:type="dxa"/>
          </w:tcPr>
          <w:p w14:paraId="75FC7BA6" w14:textId="77777777" w:rsidR="007E1B0B" w:rsidRPr="004979D2" w:rsidRDefault="007E1B0B"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A do të ketë ndonjë ndikim në nivelin e pagesës?</w:t>
            </w:r>
          </w:p>
        </w:tc>
        <w:tc>
          <w:tcPr>
            <w:tcW w:w="810" w:type="dxa"/>
          </w:tcPr>
          <w:p w14:paraId="722087B6"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65034D6C"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4ABE0F43"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785C4DCF"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0822018D"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7ADE26BB" w14:textId="77777777" w:rsidTr="00595960">
        <w:tc>
          <w:tcPr>
            <w:tcW w:w="1710" w:type="dxa"/>
            <w:vMerge/>
          </w:tcPr>
          <w:p w14:paraId="3AC09606" w14:textId="77777777" w:rsidR="007E1B0B" w:rsidRPr="004979D2" w:rsidRDefault="007E1B0B" w:rsidP="002B1BC6">
            <w:pPr>
              <w:spacing w:line="360" w:lineRule="auto"/>
              <w:rPr>
                <w:rFonts w:ascii="Times New Roman" w:hAnsi="Times New Roman" w:cs="Times New Roman"/>
                <w:sz w:val="24"/>
                <w:szCs w:val="24"/>
              </w:rPr>
            </w:pPr>
          </w:p>
        </w:tc>
        <w:tc>
          <w:tcPr>
            <w:tcW w:w="4163" w:type="dxa"/>
          </w:tcPr>
          <w:p w14:paraId="09483E06" w14:textId="77777777" w:rsidR="007E1B0B" w:rsidRPr="004979D2" w:rsidRDefault="007E1B0B" w:rsidP="002B1BC6">
            <w:pPr>
              <w:spacing w:line="360" w:lineRule="auto"/>
              <w:jc w:val="both"/>
              <w:rPr>
                <w:rFonts w:ascii="Times New Roman" w:hAnsi="Times New Roman" w:cs="Times New Roman"/>
                <w:sz w:val="24"/>
                <w:szCs w:val="24"/>
              </w:rPr>
            </w:pPr>
            <w:r w:rsidRPr="004979D2">
              <w:rPr>
                <w:rFonts w:ascii="Times New Roman" w:hAnsi="Times New Roman" w:cs="Times New Roman"/>
                <w:sz w:val="24"/>
                <w:szCs w:val="24"/>
              </w:rPr>
              <w:t>A do të ketë ndikim në lehtësimin e gjetjes së një vendi të punës?</w:t>
            </w:r>
          </w:p>
        </w:tc>
        <w:tc>
          <w:tcPr>
            <w:tcW w:w="810" w:type="dxa"/>
          </w:tcPr>
          <w:p w14:paraId="3380177D"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5411EFCC"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4F2959B2"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0062F3C9"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6F2F0BA2"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16058A0E" w14:textId="77777777" w:rsidTr="00595960">
        <w:tc>
          <w:tcPr>
            <w:tcW w:w="1710" w:type="dxa"/>
          </w:tcPr>
          <w:p w14:paraId="3780DD47"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Ndikimet shoqërore rajonale</w:t>
            </w:r>
          </w:p>
        </w:tc>
        <w:tc>
          <w:tcPr>
            <w:tcW w:w="4163" w:type="dxa"/>
          </w:tcPr>
          <w:p w14:paraId="65B5C4AF"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janë ndikimet shoqërore të përqendruara në një rajon apo qytete të veçanta?</w:t>
            </w:r>
          </w:p>
        </w:tc>
        <w:tc>
          <w:tcPr>
            <w:tcW w:w="810" w:type="dxa"/>
          </w:tcPr>
          <w:p w14:paraId="094749E4"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0EEA5AEA"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4FAE877E"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7590C75C"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4E3D056A"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00CF3C85" w14:textId="77777777" w:rsidTr="00595960">
        <w:tc>
          <w:tcPr>
            <w:tcW w:w="1710" w:type="dxa"/>
            <w:vMerge w:val="restart"/>
          </w:tcPr>
          <w:p w14:paraId="6D8DE6B1"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Kushtet e punës</w:t>
            </w:r>
          </w:p>
        </w:tc>
        <w:tc>
          <w:tcPr>
            <w:tcW w:w="4163" w:type="dxa"/>
          </w:tcPr>
          <w:p w14:paraId="77D8098F"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ndikohen të drejtat e punëtorëve?</w:t>
            </w:r>
          </w:p>
        </w:tc>
        <w:tc>
          <w:tcPr>
            <w:tcW w:w="810" w:type="dxa"/>
          </w:tcPr>
          <w:p w14:paraId="35F3BD7E"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62B95F11"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7C80F646"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7A74D93B"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6FBEABBC"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01C45B53" w14:textId="77777777" w:rsidTr="00595960">
        <w:tc>
          <w:tcPr>
            <w:tcW w:w="1710" w:type="dxa"/>
            <w:vMerge/>
          </w:tcPr>
          <w:p w14:paraId="2951591D" w14:textId="77777777" w:rsidR="007E1B0B" w:rsidRPr="004979D2" w:rsidRDefault="007E1B0B" w:rsidP="002B1BC6">
            <w:pPr>
              <w:spacing w:line="360" w:lineRule="auto"/>
              <w:rPr>
                <w:rFonts w:ascii="Times New Roman" w:hAnsi="Times New Roman" w:cs="Times New Roman"/>
                <w:sz w:val="24"/>
                <w:szCs w:val="24"/>
              </w:rPr>
            </w:pPr>
          </w:p>
        </w:tc>
        <w:tc>
          <w:tcPr>
            <w:tcW w:w="4163" w:type="dxa"/>
          </w:tcPr>
          <w:p w14:paraId="30D47A1D"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parashihen apo shfuqizohen standardet për punën në kushte të rrezikshme?</w:t>
            </w:r>
          </w:p>
        </w:tc>
        <w:tc>
          <w:tcPr>
            <w:tcW w:w="810" w:type="dxa"/>
          </w:tcPr>
          <w:p w14:paraId="625D81F0"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384EBCC0"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3FABEAC4"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415A32F3"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3C6174A3"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4A493682" w14:textId="77777777" w:rsidTr="00595960">
        <w:tc>
          <w:tcPr>
            <w:tcW w:w="1710" w:type="dxa"/>
            <w:vMerge/>
          </w:tcPr>
          <w:p w14:paraId="64F024EA" w14:textId="77777777" w:rsidR="007E1B0B" w:rsidRPr="004979D2" w:rsidRDefault="007E1B0B" w:rsidP="002B1BC6">
            <w:pPr>
              <w:spacing w:line="360" w:lineRule="auto"/>
              <w:rPr>
                <w:rFonts w:ascii="Times New Roman" w:hAnsi="Times New Roman" w:cs="Times New Roman"/>
                <w:sz w:val="24"/>
                <w:szCs w:val="24"/>
              </w:rPr>
            </w:pPr>
          </w:p>
        </w:tc>
        <w:tc>
          <w:tcPr>
            <w:tcW w:w="4163" w:type="dxa"/>
          </w:tcPr>
          <w:p w14:paraId="6BC513D4"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A do të ketë ndikim mbi mënyrën e  zhvillimit të dialogut social ndërmjet </w:t>
            </w:r>
            <w:r w:rsidRPr="004979D2">
              <w:rPr>
                <w:rFonts w:ascii="Times New Roman" w:hAnsi="Times New Roman" w:cs="Times New Roman"/>
                <w:sz w:val="24"/>
                <w:szCs w:val="24"/>
              </w:rPr>
              <w:lastRenderedPageBreak/>
              <w:t>punonjësve dhe punëdhënësve?</w:t>
            </w:r>
          </w:p>
        </w:tc>
        <w:tc>
          <w:tcPr>
            <w:tcW w:w="810" w:type="dxa"/>
          </w:tcPr>
          <w:p w14:paraId="02968F4D"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65042402"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6AE652EB"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2107EB52"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47DB7CA2"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53D7CF41" w14:textId="77777777" w:rsidTr="00595960">
        <w:tc>
          <w:tcPr>
            <w:tcW w:w="1710" w:type="dxa"/>
            <w:vMerge w:val="restart"/>
          </w:tcPr>
          <w:p w14:paraId="75BCE307"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lastRenderedPageBreak/>
              <w:t>Përfshirja sociale</w:t>
            </w:r>
          </w:p>
        </w:tc>
        <w:tc>
          <w:tcPr>
            <w:tcW w:w="4163" w:type="dxa"/>
          </w:tcPr>
          <w:p w14:paraId="6A5E8085"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ketë ndikim mbi varfërinë?</w:t>
            </w:r>
          </w:p>
        </w:tc>
        <w:tc>
          <w:tcPr>
            <w:tcW w:w="810" w:type="dxa"/>
          </w:tcPr>
          <w:p w14:paraId="46756D9F"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21FB378B"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3D8E8D9D"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20DB89C4"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2140F3DB"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5AA54764" w14:textId="77777777" w:rsidTr="00595960">
        <w:tc>
          <w:tcPr>
            <w:tcW w:w="1710" w:type="dxa"/>
            <w:vMerge/>
          </w:tcPr>
          <w:p w14:paraId="1936E162" w14:textId="77777777" w:rsidR="007E1B0B" w:rsidRPr="004979D2" w:rsidRDefault="007E1B0B" w:rsidP="002B1BC6">
            <w:pPr>
              <w:spacing w:line="360" w:lineRule="auto"/>
              <w:rPr>
                <w:rFonts w:ascii="Times New Roman" w:hAnsi="Times New Roman" w:cs="Times New Roman"/>
                <w:sz w:val="24"/>
                <w:szCs w:val="24"/>
              </w:rPr>
            </w:pPr>
          </w:p>
        </w:tc>
        <w:tc>
          <w:tcPr>
            <w:tcW w:w="4163" w:type="dxa"/>
          </w:tcPr>
          <w:p w14:paraId="69712E3D"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ndikohet qasja në skemat e mbrojtjes sociale?</w:t>
            </w:r>
          </w:p>
        </w:tc>
        <w:tc>
          <w:tcPr>
            <w:tcW w:w="810" w:type="dxa"/>
          </w:tcPr>
          <w:p w14:paraId="3607B87F"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613DADE9"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1645B251"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0AD68BC5"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63BCBCD6"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4936D879" w14:textId="77777777" w:rsidTr="00595960">
        <w:tc>
          <w:tcPr>
            <w:tcW w:w="1710" w:type="dxa"/>
            <w:vMerge/>
          </w:tcPr>
          <w:p w14:paraId="11B0A584" w14:textId="77777777" w:rsidR="007E1B0B" w:rsidRPr="004979D2" w:rsidRDefault="007E1B0B" w:rsidP="002B1BC6">
            <w:pPr>
              <w:spacing w:line="360" w:lineRule="auto"/>
              <w:rPr>
                <w:rFonts w:ascii="Times New Roman" w:hAnsi="Times New Roman" w:cs="Times New Roman"/>
                <w:sz w:val="24"/>
                <w:szCs w:val="24"/>
              </w:rPr>
            </w:pPr>
          </w:p>
        </w:tc>
        <w:tc>
          <w:tcPr>
            <w:tcW w:w="4163" w:type="dxa"/>
          </w:tcPr>
          <w:p w14:paraId="40CA78CB"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ndryshojë çmimi i mallrave dhe shërbimeve themelore?</w:t>
            </w:r>
          </w:p>
        </w:tc>
        <w:tc>
          <w:tcPr>
            <w:tcW w:w="810" w:type="dxa"/>
          </w:tcPr>
          <w:p w14:paraId="3288D44C"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46452533"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65B0FB34"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51A1E663"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4B103E67"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78F73610" w14:textId="77777777" w:rsidTr="00595960">
        <w:tc>
          <w:tcPr>
            <w:tcW w:w="1710" w:type="dxa"/>
            <w:vMerge/>
          </w:tcPr>
          <w:p w14:paraId="581B78BD" w14:textId="77777777" w:rsidR="007E1B0B" w:rsidRPr="004979D2" w:rsidRDefault="007E1B0B" w:rsidP="002B1BC6">
            <w:pPr>
              <w:spacing w:line="360" w:lineRule="auto"/>
              <w:rPr>
                <w:rFonts w:ascii="Times New Roman" w:hAnsi="Times New Roman" w:cs="Times New Roman"/>
                <w:sz w:val="24"/>
                <w:szCs w:val="24"/>
              </w:rPr>
            </w:pPr>
          </w:p>
        </w:tc>
        <w:tc>
          <w:tcPr>
            <w:tcW w:w="4163" w:type="dxa"/>
          </w:tcPr>
          <w:p w14:paraId="30F3E23F"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ketë ndikim në financimin apo organizimin e skemave të mbrojtjes sociale?</w:t>
            </w:r>
          </w:p>
        </w:tc>
        <w:tc>
          <w:tcPr>
            <w:tcW w:w="810" w:type="dxa"/>
          </w:tcPr>
          <w:p w14:paraId="173B60D5"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5BFE8BF7"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4F4C7299"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42D538B0"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08ECA15E"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05A78DE3" w14:textId="77777777" w:rsidTr="00595960">
        <w:tc>
          <w:tcPr>
            <w:tcW w:w="1710" w:type="dxa"/>
            <w:vMerge w:val="restart"/>
          </w:tcPr>
          <w:p w14:paraId="3EE1F661"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Arsimi</w:t>
            </w:r>
          </w:p>
        </w:tc>
        <w:tc>
          <w:tcPr>
            <w:tcW w:w="4163" w:type="dxa"/>
          </w:tcPr>
          <w:p w14:paraId="7DB5B6BC"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ketë ndikim në arsimin fillor?</w:t>
            </w:r>
          </w:p>
        </w:tc>
        <w:tc>
          <w:tcPr>
            <w:tcW w:w="810" w:type="dxa"/>
          </w:tcPr>
          <w:p w14:paraId="3F303FC9"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390BD4AB"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15EA6503"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5C31E31A"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00E25370"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721D690D" w14:textId="77777777" w:rsidTr="00595960">
        <w:tc>
          <w:tcPr>
            <w:tcW w:w="1710" w:type="dxa"/>
            <w:vMerge/>
          </w:tcPr>
          <w:p w14:paraId="07FAF8AA" w14:textId="77777777" w:rsidR="007E1B0B" w:rsidRPr="004979D2" w:rsidRDefault="007E1B0B" w:rsidP="002B1BC6">
            <w:pPr>
              <w:spacing w:line="360" w:lineRule="auto"/>
              <w:rPr>
                <w:rFonts w:ascii="Times New Roman" w:hAnsi="Times New Roman" w:cs="Times New Roman"/>
                <w:sz w:val="24"/>
                <w:szCs w:val="24"/>
              </w:rPr>
            </w:pPr>
          </w:p>
        </w:tc>
        <w:tc>
          <w:tcPr>
            <w:tcW w:w="4163" w:type="dxa"/>
          </w:tcPr>
          <w:p w14:paraId="42223D66"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ketë ndikim në arsimin e mesëm?</w:t>
            </w:r>
          </w:p>
        </w:tc>
        <w:tc>
          <w:tcPr>
            <w:tcW w:w="810" w:type="dxa"/>
          </w:tcPr>
          <w:p w14:paraId="369A4FFF"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58FBC2CD"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4D6D1228"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6C5E60A5"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7BAE8B28"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600507D9" w14:textId="77777777" w:rsidTr="00595960">
        <w:tc>
          <w:tcPr>
            <w:tcW w:w="1710" w:type="dxa"/>
            <w:vMerge/>
          </w:tcPr>
          <w:p w14:paraId="6D540ABC" w14:textId="77777777" w:rsidR="007E1B0B" w:rsidRPr="004979D2" w:rsidRDefault="007E1B0B" w:rsidP="002B1BC6">
            <w:pPr>
              <w:spacing w:line="360" w:lineRule="auto"/>
              <w:rPr>
                <w:rFonts w:ascii="Times New Roman" w:hAnsi="Times New Roman" w:cs="Times New Roman"/>
                <w:sz w:val="24"/>
                <w:szCs w:val="24"/>
              </w:rPr>
            </w:pPr>
          </w:p>
        </w:tc>
        <w:tc>
          <w:tcPr>
            <w:tcW w:w="4163" w:type="dxa"/>
          </w:tcPr>
          <w:p w14:paraId="4C2CC79B"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ketë ndikim në arsimin e lartë?</w:t>
            </w:r>
          </w:p>
        </w:tc>
        <w:tc>
          <w:tcPr>
            <w:tcW w:w="810" w:type="dxa"/>
          </w:tcPr>
          <w:p w14:paraId="6CF26224"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29AC014E"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46BADB7C"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09830F33"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03EAC144"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7D79365B" w14:textId="77777777" w:rsidTr="00595960">
        <w:tc>
          <w:tcPr>
            <w:tcW w:w="1710" w:type="dxa"/>
            <w:vMerge/>
          </w:tcPr>
          <w:p w14:paraId="3C0AE7E0" w14:textId="77777777" w:rsidR="007E1B0B" w:rsidRPr="004979D2" w:rsidRDefault="007E1B0B" w:rsidP="002B1BC6">
            <w:pPr>
              <w:spacing w:line="360" w:lineRule="auto"/>
              <w:rPr>
                <w:rFonts w:ascii="Times New Roman" w:hAnsi="Times New Roman" w:cs="Times New Roman"/>
                <w:sz w:val="24"/>
                <w:szCs w:val="24"/>
              </w:rPr>
            </w:pPr>
          </w:p>
        </w:tc>
        <w:tc>
          <w:tcPr>
            <w:tcW w:w="4163" w:type="dxa"/>
          </w:tcPr>
          <w:p w14:paraId="096E4044"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ketë ndikim në aftësimin profesional?</w:t>
            </w:r>
          </w:p>
        </w:tc>
        <w:tc>
          <w:tcPr>
            <w:tcW w:w="810" w:type="dxa"/>
          </w:tcPr>
          <w:p w14:paraId="65A4138B"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628EA717"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15AD1744"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2C62537C"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53299656"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32A7D786" w14:textId="77777777" w:rsidTr="00595960">
        <w:tc>
          <w:tcPr>
            <w:tcW w:w="1710" w:type="dxa"/>
            <w:vMerge/>
          </w:tcPr>
          <w:p w14:paraId="2E274E73" w14:textId="77777777" w:rsidR="007E1B0B" w:rsidRPr="004979D2" w:rsidRDefault="007E1B0B" w:rsidP="002B1BC6">
            <w:pPr>
              <w:spacing w:line="360" w:lineRule="auto"/>
              <w:rPr>
                <w:rFonts w:ascii="Times New Roman" w:hAnsi="Times New Roman" w:cs="Times New Roman"/>
                <w:sz w:val="24"/>
                <w:szCs w:val="24"/>
              </w:rPr>
            </w:pPr>
          </w:p>
        </w:tc>
        <w:tc>
          <w:tcPr>
            <w:tcW w:w="4163" w:type="dxa"/>
          </w:tcPr>
          <w:p w14:paraId="34F96254"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ketë ndikim në arsimimin e punëtorëve dhe të mësuarit gjatë gjithë jetës?</w:t>
            </w:r>
          </w:p>
        </w:tc>
        <w:tc>
          <w:tcPr>
            <w:tcW w:w="810" w:type="dxa"/>
          </w:tcPr>
          <w:p w14:paraId="5E3DEE1B"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08E4677D"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3D62EC8B"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17196AF0"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452835E1"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1BB16C70" w14:textId="77777777" w:rsidTr="00595960">
        <w:tc>
          <w:tcPr>
            <w:tcW w:w="1710" w:type="dxa"/>
            <w:vMerge/>
          </w:tcPr>
          <w:p w14:paraId="6C0400E6" w14:textId="77777777" w:rsidR="007E1B0B" w:rsidRPr="004979D2" w:rsidRDefault="007E1B0B" w:rsidP="002B1BC6">
            <w:pPr>
              <w:spacing w:line="360" w:lineRule="auto"/>
              <w:rPr>
                <w:rFonts w:ascii="Times New Roman" w:hAnsi="Times New Roman" w:cs="Times New Roman"/>
                <w:sz w:val="24"/>
                <w:szCs w:val="24"/>
              </w:rPr>
            </w:pPr>
          </w:p>
        </w:tc>
        <w:tc>
          <w:tcPr>
            <w:tcW w:w="4163" w:type="dxa"/>
          </w:tcPr>
          <w:p w14:paraId="70A373DC"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ketë ndikim në organizimin apo strukturën e sistemit arsimor?</w:t>
            </w:r>
          </w:p>
        </w:tc>
        <w:tc>
          <w:tcPr>
            <w:tcW w:w="810" w:type="dxa"/>
          </w:tcPr>
          <w:p w14:paraId="49A0A5F3"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330B2BD4"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4E9D219B"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7D1F1CFC"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2DA7DC0B"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4E92F5C0" w14:textId="77777777" w:rsidTr="00595960">
        <w:tc>
          <w:tcPr>
            <w:tcW w:w="1710" w:type="dxa"/>
            <w:vMerge/>
          </w:tcPr>
          <w:p w14:paraId="0099C162" w14:textId="77777777" w:rsidR="007E1B0B" w:rsidRPr="004979D2" w:rsidRDefault="007E1B0B" w:rsidP="002B1BC6">
            <w:pPr>
              <w:spacing w:line="360" w:lineRule="auto"/>
              <w:rPr>
                <w:rFonts w:ascii="Times New Roman" w:hAnsi="Times New Roman" w:cs="Times New Roman"/>
                <w:sz w:val="24"/>
                <w:szCs w:val="24"/>
              </w:rPr>
            </w:pPr>
          </w:p>
        </w:tc>
        <w:tc>
          <w:tcPr>
            <w:tcW w:w="4163" w:type="dxa"/>
          </w:tcPr>
          <w:p w14:paraId="259C8506"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ketë ndikim në lirinë akademike dhe vetëqeverisjen?</w:t>
            </w:r>
          </w:p>
        </w:tc>
        <w:tc>
          <w:tcPr>
            <w:tcW w:w="810" w:type="dxa"/>
          </w:tcPr>
          <w:p w14:paraId="00A80868"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495738DD"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322D4586"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0DD0FB1A"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253DCA9F"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2B09D407" w14:textId="77777777" w:rsidTr="00595960">
        <w:tc>
          <w:tcPr>
            <w:tcW w:w="1710" w:type="dxa"/>
            <w:vMerge w:val="restart"/>
          </w:tcPr>
          <w:p w14:paraId="76EAA53B"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lastRenderedPageBreak/>
              <w:t>Kultura</w:t>
            </w:r>
          </w:p>
        </w:tc>
        <w:tc>
          <w:tcPr>
            <w:tcW w:w="4163" w:type="dxa"/>
          </w:tcPr>
          <w:p w14:paraId="22D1CA83"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A ndikon opsioni në </w:t>
            </w:r>
            <w:proofErr w:type="spellStart"/>
            <w:r w:rsidRPr="004979D2">
              <w:rPr>
                <w:rFonts w:ascii="Times New Roman" w:hAnsi="Times New Roman" w:cs="Times New Roman"/>
                <w:sz w:val="24"/>
                <w:szCs w:val="24"/>
              </w:rPr>
              <w:t>diversitetin</w:t>
            </w:r>
            <w:proofErr w:type="spellEnd"/>
            <w:r w:rsidRPr="004979D2">
              <w:rPr>
                <w:rFonts w:ascii="Times New Roman" w:hAnsi="Times New Roman" w:cs="Times New Roman"/>
                <w:sz w:val="24"/>
                <w:szCs w:val="24"/>
              </w:rPr>
              <w:t xml:space="preserve"> kulturor?</w:t>
            </w:r>
          </w:p>
        </w:tc>
        <w:tc>
          <w:tcPr>
            <w:tcW w:w="810" w:type="dxa"/>
          </w:tcPr>
          <w:p w14:paraId="6552C3A7"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3328C31F"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3DD253DA"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48E7B8FF"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7CB0F091"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541FE570" w14:textId="77777777" w:rsidTr="00595960">
        <w:tc>
          <w:tcPr>
            <w:tcW w:w="1710" w:type="dxa"/>
            <w:vMerge/>
          </w:tcPr>
          <w:p w14:paraId="3317D301" w14:textId="77777777" w:rsidR="007E1B0B" w:rsidRPr="004979D2" w:rsidRDefault="007E1B0B" w:rsidP="002B1BC6">
            <w:pPr>
              <w:spacing w:line="360" w:lineRule="auto"/>
              <w:rPr>
                <w:rFonts w:ascii="Times New Roman" w:hAnsi="Times New Roman" w:cs="Times New Roman"/>
                <w:sz w:val="24"/>
                <w:szCs w:val="24"/>
              </w:rPr>
            </w:pPr>
          </w:p>
        </w:tc>
        <w:tc>
          <w:tcPr>
            <w:tcW w:w="4163" w:type="dxa"/>
          </w:tcPr>
          <w:p w14:paraId="3406ABA0"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A ndikon opsioni në financimin e organizatave kulturore? </w:t>
            </w:r>
          </w:p>
        </w:tc>
        <w:tc>
          <w:tcPr>
            <w:tcW w:w="810" w:type="dxa"/>
          </w:tcPr>
          <w:p w14:paraId="7EF2DFEE"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4685A040"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0F619B95"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2E9A5EEC"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73385B9F"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20BAD2DB" w14:textId="77777777" w:rsidTr="00595960">
        <w:tc>
          <w:tcPr>
            <w:tcW w:w="1710" w:type="dxa"/>
            <w:vMerge/>
          </w:tcPr>
          <w:p w14:paraId="66B1CB22" w14:textId="77777777" w:rsidR="007E1B0B" w:rsidRPr="004979D2" w:rsidRDefault="007E1B0B" w:rsidP="002B1BC6">
            <w:pPr>
              <w:spacing w:line="360" w:lineRule="auto"/>
              <w:rPr>
                <w:rFonts w:ascii="Times New Roman" w:hAnsi="Times New Roman" w:cs="Times New Roman"/>
                <w:sz w:val="24"/>
                <w:szCs w:val="24"/>
              </w:rPr>
            </w:pPr>
          </w:p>
        </w:tc>
        <w:tc>
          <w:tcPr>
            <w:tcW w:w="4163" w:type="dxa"/>
          </w:tcPr>
          <w:p w14:paraId="4DCAC233"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A ndikon opsioni në mundësitë për personat që të përfitojnë nga aktivitetet kulturore ose të marrin pjesë në to? </w:t>
            </w:r>
          </w:p>
        </w:tc>
        <w:tc>
          <w:tcPr>
            <w:tcW w:w="810" w:type="dxa"/>
          </w:tcPr>
          <w:p w14:paraId="7688F91D"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7FC9BE86"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799F1795"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6758A789"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4F202F13"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7131D14C" w14:textId="77777777" w:rsidTr="00595960">
        <w:tc>
          <w:tcPr>
            <w:tcW w:w="1710" w:type="dxa"/>
            <w:vMerge/>
          </w:tcPr>
          <w:p w14:paraId="3A37E510" w14:textId="77777777" w:rsidR="007E1B0B" w:rsidRPr="004979D2" w:rsidRDefault="007E1B0B" w:rsidP="002B1BC6">
            <w:pPr>
              <w:spacing w:line="360" w:lineRule="auto"/>
              <w:rPr>
                <w:rFonts w:ascii="Times New Roman" w:hAnsi="Times New Roman" w:cs="Times New Roman"/>
                <w:sz w:val="24"/>
                <w:szCs w:val="24"/>
              </w:rPr>
            </w:pPr>
          </w:p>
        </w:tc>
        <w:tc>
          <w:tcPr>
            <w:tcW w:w="4163" w:type="dxa"/>
          </w:tcPr>
          <w:p w14:paraId="0D5B77EC"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A ndikon opsioni në ruajtjen e trashëgimisë kulturore? </w:t>
            </w:r>
          </w:p>
        </w:tc>
        <w:tc>
          <w:tcPr>
            <w:tcW w:w="810" w:type="dxa"/>
          </w:tcPr>
          <w:p w14:paraId="09145BCD"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6D126A63"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76884A87"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65A012E7"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49021D7B"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6ABCA89B" w14:textId="77777777" w:rsidTr="00595960">
        <w:tc>
          <w:tcPr>
            <w:tcW w:w="1710" w:type="dxa"/>
            <w:vMerge w:val="restart"/>
          </w:tcPr>
          <w:p w14:paraId="1F3733BE"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Qeverisja</w:t>
            </w:r>
          </w:p>
        </w:tc>
        <w:tc>
          <w:tcPr>
            <w:tcW w:w="4163" w:type="dxa"/>
          </w:tcPr>
          <w:p w14:paraId="23C8BF7D"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ndikon opsioni në aftësitë e qytetarëve të marrin pjesë në procesin demokratik?</w:t>
            </w:r>
          </w:p>
        </w:tc>
        <w:tc>
          <w:tcPr>
            <w:tcW w:w="810" w:type="dxa"/>
          </w:tcPr>
          <w:p w14:paraId="6766F27A"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73712AE1"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5786DD8B"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6BEDF53C"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22E5F38A"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3F334E68" w14:textId="77777777" w:rsidTr="00595960">
        <w:tc>
          <w:tcPr>
            <w:tcW w:w="1710" w:type="dxa"/>
            <w:vMerge/>
          </w:tcPr>
          <w:p w14:paraId="629D3A58" w14:textId="77777777" w:rsidR="007E1B0B" w:rsidRPr="004979D2" w:rsidRDefault="007E1B0B" w:rsidP="002B1BC6">
            <w:pPr>
              <w:spacing w:line="360" w:lineRule="auto"/>
              <w:rPr>
                <w:rFonts w:ascii="Times New Roman" w:hAnsi="Times New Roman" w:cs="Times New Roman"/>
                <w:sz w:val="24"/>
                <w:szCs w:val="24"/>
              </w:rPr>
            </w:pPr>
          </w:p>
        </w:tc>
        <w:tc>
          <w:tcPr>
            <w:tcW w:w="4163" w:type="dxa"/>
          </w:tcPr>
          <w:p w14:paraId="44D41B5C"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trajtohet çdo person në mënyrë të barabartë?</w:t>
            </w:r>
          </w:p>
        </w:tc>
        <w:tc>
          <w:tcPr>
            <w:tcW w:w="810" w:type="dxa"/>
          </w:tcPr>
          <w:p w14:paraId="182A66A6"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2DB0BA0F"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6FDE9D6D"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4A4A3F7B"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1D722648"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63DD3BD3" w14:textId="77777777" w:rsidTr="00595960">
        <w:tc>
          <w:tcPr>
            <w:tcW w:w="1710" w:type="dxa"/>
            <w:vMerge/>
          </w:tcPr>
          <w:p w14:paraId="2E53B2BD" w14:textId="77777777" w:rsidR="007E1B0B" w:rsidRPr="004979D2" w:rsidRDefault="007E1B0B" w:rsidP="002B1BC6">
            <w:pPr>
              <w:spacing w:line="360" w:lineRule="auto"/>
              <w:rPr>
                <w:rFonts w:ascii="Times New Roman" w:hAnsi="Times New Roman" w:cs="Times New Roman"/>
                <w:sz w:val="24"/>
                <w:szCs w:val="24"/>
              </w:rPr>
            </w:pPr>
          </w:p>
        </w:tc>
        <w:tc>
          <w:tcPr>
            <w:tcW w:w="4163" w:type="dxa"/>
          </w:tcPr>
          <w:p w14:paraId="5BFCD706"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informohet më mirë publiku në lidhje me çështje të caktuara?</w:t>
            </w:r>
          </w:p>
        </w:tc>
        <w:tc>
          <w:tcPr>
            <w:tcW w:w="810" w:type="dxa"/>
          </w:tcPr>
          <w:p w14:paraId="0DD1DD45"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47225C9C"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0C479D86"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3272D0C8"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79C05DD9"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0E090EF5" w14:textId="77777777" w:rsidTr="00595960">
        <w:tc>
          <w:tcPr>
            <w:tcW w:w="1710" w:type="dxa"/>
            <w:vMerge/>
          </w:tcPr>
          <w:p w14:paraId="394D005E" w14:textId="77777777" w:rsidR="007E1B0B" w:rsidRPr="004979D2" w:rsidRDefault="007E1B0B" w:rsidP="002B1BC6">
            <w:pPr>
              <w:spacing w:line="360" w:lineRule="auto"/>
              <w:rPr>
                <w:rFonts w:ascii="Times New Roman" w:hAnsi="Times New Roman" w:cs="Times New Roman"/>
                <w:sz w:val="24"/>
                <w:szCs w:val="24"/>
              </w:rPr>
            </w:pPr>
          </w:p>
        </w:tc>
        <w:tc>
          <w:tcPr>
            <w:tcW w:w="4163" w:type="dxa"/>
          </w:tcPr>
          <w:p w14:paraId="5A13F382"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ndikon opsioni në mënyrën se si funksionojnë partitë politike?</w:t>
            </w:r>
          </w:p>
        </w:tc>
        <w:tc>
          <w:tcPr>
            <w:tcW w:w="810" w:type="dxa"/>
          </w:tcPr>
          <w:p w14:paraId="4A71A881"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055A3462"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70984D12"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1DD19198"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0BCB36FC"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45D30ED0" w14:textId="77777777" w:rsidTr="00595960">
        <w:tc>
          <w:tcPr>
            <w:tcW w:w="1710" w:type="dxa"/>
            <w:vMerge/>
          </w:tcPr>
          <w:p w14:paraId="0C8F8355" w14:textId="77777777" w:rsidR="007E1B0B" w:rsidRPr="004979D2" w:rsidRDefault="007E1B0B" w:rsidP="002B1BC6">
            <w:pPr>
              <w:spacing w:line="360" w:lineRule="auto"/>
              <w:rPr>
                <w:rFonts w:ascii="Times New Roman" w:hAnsi="Times New Roman" w:cs="Times New Roman"/>
                <w:sz w:val="24"/>
                <w:szCs w:val="24"/>
              </w:rPr>
            </w:pPr>
          </w:p>
        </w:tc>
        <w:tc>
          <w:tcPr>
            <w:tcW w:w="4163" w:type="dxa"/>
          </w:tcPr>
          <w:p w14:paraId="78ADFB70"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ketë ndonjë ndikim në shoqërinë civile?</w:t>
            </w:r>
          </w:p>
        </w:tc>
        <w:tc>
          <w:tcPr>
            <w:tcW w:w="810" w:type="dxa"/>
          </w:tcPr>
          <w:p w14:paraId="4593F44B"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580FBDC8"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6EF08801"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1C9E9337"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0A825A68"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78A92C0E" w14:textId="77777777" w:rsidTr="00595960">
        <w:tc>
          <w:tcPr>
            <w:tcW w:w="1710" w:type="dxa"/>
            <w:vMerge w:val="restart"/>
          </w:tcPr>
          <w:p w14:paraId="4CEC22E5"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lastRenderedPageBreak/>
              <w:t>Shëndeti dhe siguria publike</w:t>
            </w:r>
            <w:r w:rsidRPr="004979D2">
              <w:rPr>
                <w:rStyle w:val="FootnoteReference"/>
                <w:rFonts w:ascii="Times New Roman" w:hAnsi="Times New Roman" w:cs="Times New Roman"/>
                <w:sz w:val="24"/>
                <w:szCs w:val="24"/>
              </w:rPr>
              <w:footnoteReference w:id="36"/>
            </w:r>
          </w:p>
        </w:tc>
        <w:tc>
          <w:tcPr>
            <w:tcW w:w="4163" w:type="dxa"/>
          </w:tcPr>
          <w:p w14:paraId="1A038329"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ketë ndonjë ndikim në jetën e njerëzve, siç është jetëgjatësia apo shkalla e vdekshmërisë?</w:t>
            </w:r>
          </w:p>
        </w:tc>
        <w:tc>
          <w:tcPr>
            <w:tcW w:w="810" w:type="dxa"/>
          </w:tcPr>
          <w:p w14:paraId="13CB78D0"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7FE690E3"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4B513FB0"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07051A15"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69C6549E"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6BFC793C" w14:textId="77777777" w:rsidTr="00595960">
        <w:tc>
          <w:tcPr>
            <w:tcW w:w="1710" w:type="dxa"/>
            <w:vMerge/>
          </w:tcPr>
          <w:p w14:paraId="0D0BFC31" w14:textId="77777777" w:rsidR="007E1B0B" w:rsidRPr="004979D2" w:rsidRDefault="007E1B0B" w:rsidP="002B1BC6">
            <w:pPr>
              <w:spacing w:line="360" w:lineRule="auto"/>
              <w:rPr>
                <w:rFonts w:ascii="Times New Roman" w:hAnsi="Times New Roman" w:cs="Times New Roman"/>
                <w:sz w:val="24"/>
                <w:szCs w:val="24"/>
              </w:rPr>
            </w:pPr>
          </w:p>
        </w:tc>
        <w:tc>
          <w:tcPr>
            <w:tcW w:w="4163" w:type="dxa"/>
          </w:tcPr>
          <w:p w14:paraId="1FD694E2"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ketë ndikim në cilësinë e ushqimit?</w:t>
            </w:r>
          </w:p>
        </w:tc>
        <w:tc>
          <w:tcPr>
            <w:tcW w:w="810" w:type="dxa"/>
          </w:tcPr>
          <w:p w14:paraId="061A549B"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3B2C821F"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3588A180"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55A874DB"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3A97C8BB"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25276373" w14:textId="77777777" w:rsidTr="00595960">
        <w:tc>
          <w:tcPr>
            <w:tcW w:w="1710" w:type="dxa"/>
            <w:vMerge/>
          </w:tcPr>
          <w:p w14:paraId="4FC3E1B1" w14:textId="77777777" w:rsidR="007E1B0B" w:rsidRPr="004979D2" w:rsidRDefault="007E1B0B" w:rsidP="002B1BC6">
            <w:pPr>
              <w:spacing w:line="360" w:lineRule="auto"/>
              <w:rPr>
                <w:rFonts w:ascii="Times New Roman" w:hAnsi="Times New Roman" w:cs="Times New Roman"/>
                <w:sz w:val="24"/>
                <w:szCs w:val="24"/>
              </w:rPr>
            </w:pPr>
          </w:p>
        </w:tc>
        <w:tc>
          <w:tcPr>
            <w:tcW w:w="4163" w:type="dxa"/>
          </w:tcPr>
          <w:p w14:paraId="28B6168C"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A do të rritet apo zvogëlohet rreziku shëndetësor për shkak të substancave të dëmshme? </w:t>
            </w:r>
          </w:p>
        </w:tc>
        <w:tc>
          <w:tcPr>
            <w:tcW w:w="810" w:type="dxa"/>
          </w:tcPr>
          <w:p w14:paraId="6C8BCB21"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49FC9BC3"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7AF05B88"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71F46C7C"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48F2C975"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7624AF30" w14:textId="77777777" w:rsidTr="00595960">
        <w:tc>
          <w:tcPr>
            <w:tcW w:w="1710" w:type="dxa"/>
            <w:vMerge/>
          </w:tcPr>
          <w:p w14:paraId="731EF35D" w14:textId="77777777" w:rsidR="007E1B0B" w:rsidRPr="004979D2" w:rsidRDefault="007E1B0B" w:rsidP="002B1BC6">
            <w:pPr>
              <w:spacing w:line="360" w:lineRule="auto"/>
              <w:rPr>
                <w:rFonts w:ascii="Times New Roman" w:hAnsi="Times New Roman" w:cs="Times New Roman"/>
                <w:sz w:val="24"/>
                <w:szCs w:val="24"/>
              </w:rPr>
            </w:pPr>
          </w:p>
        </w:tc>
        <w:tc>
          <w:tcPr>
            <w:tcW w:w="4163" w:type="dxa"/>
          </w:tcPr>
          <w:p w14:paraId="056B26A8"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ketë efekte shëndetësore për shkak të ndryshimeve në nivelet e zhurmës apo cilësinë e ajrit, ujit dhe/ose tokës?</w:t>
            </w:r>
          </w:p>
        </w:tc>
        <w:tc>
          <w:tcPr>
            <w:tcW w:w="810" w:type="dxa"/>
          </w:tcPr>
          <w:p w14:paraId="7AB6B5D9"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4E6B3639"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020C143C"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2470E803"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1A8186FF"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03B20DC8" w14:textId="77777777" w:rsidTr="00595960">
        <w:tc>
          <w:tcPr>
            <w:tcW w:w="1710" w:type="dxa"/>
            <w:vMerge/>
          </w:tcPr>
          <w:p w14:paraId="7861BA5F" w14:textId="77777777" w:rsidR="007E1B0B" w:rsidRPr="004979D2" w:rsidRDefault="007E1B0B" w:rsidP="002B1BC6">
            <w:pPr>
              <w:spacing w:line="360" w:lineRule="auto"/>
              <w:rPr>
                <w:rFonts w:ascii="Times New Roman" w:hAnsi="Times New Roman" w:cs="Times New Roman"/>
                <w:sz w:val="24"/>
                <w:szCs w:val="24"/>
              </w:rPr>
            </w:pPr>
          </w:p>
        </w:tc>
        <w:tc>
          <w:tcPr>
            <w:tcW w:w="4163" w:type="dxa"/>
          </w:tcPr>
          <w:p w14:paraId="5837CB1E"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ketë efekte shëndetësore për shkak të ndryshimeve në përdorimin e energjisë?</w:t>
            </w:r>
          </w:p>
        </w:tc>
        <w:tc>
          <w:tcPr>
            <w:tcW w:w="810" w:type="dxa"/>
          </w:tcPr>
          <w:p w14:paraId="6F781A6F"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6D9AFAAC"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6D8F9D7B"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39996168"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4C3AB802"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50D96E93" w14:textId="77777777" w:rsidTr="00595960">
        <w:tc>
          <w:tcPr>
            <w:tcW w:w="1710" w:type="dxa"/>
            <w:vMerge/>
          </w:tcPr>
          <w:p w14:paraId="60C75818" w14:textId="77777777" w:rsidR="007E1B0B" w:rsidRPr="004979D2" w:rsidRDefault="007E1B0B" w:rsidP="002B1BC6">
            <w:pPr>
              <w:spacing w:line="360" w:lineRule="auto"/>
              <w:rPr>
                <w:rFonts w:ascii="Times New Roman" w:hAnsi="Times New Roman" w:cs="Times New Roman"/>
                <w:sz w:val="24"/>
                <w:szCs w:val="24"/>
              </w:rPr>
            </w:pPr>
          </w:p>
        </w:tc>
        <w:tc>
          <w:tcPr>
            <w:tcW w:w="4163" w:type="dxa"/>
          </w:tcPr>
          <w:p w14:paraId="5A8B7186"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ketë efekte shëndetësore për shkak të ndryshimeve në deponimin e mbeturinave?</w:t>
            </w:r>
          </w:p>
        </w:tc>
        <w:tc>
          <w:tcPr>
            <w:tcW w:w="810" w:type="dxa"/>
          </w:tcPr>
          <w:p w14:paraId="328F1598"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363C41FC"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40BC2B40"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0DD413C4"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1C06EDB1"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535FC292" w14:textId="77777777" w:rsidTr="00595960">
        <w:tc>
          <w:tcPr>
            <w:tcW w:w="1710" w:type="dxa"/>
            <w:vMerge/>
          </w:tcPr>
          <w:p w14:paraId="4073DDFC" w14:textId="77777777" w:rsidR="007E1B0B" w:rsidRPr="004979D2" w:rsidRDefault="007E1B0B" w:rsidP="002B1BC6">
            <w:pPr>
              <w:spacing w:line="360" w:lineRule="auto"/>
              <w:rPr>
                <w:rFonts w:ascii="Times New Roman" w:hAnsi="Times New Roman" w:cs="Times New Roman"/>
                <w:sz w:val="24"/>
                <w:szCs w:val="24"/>
              </w:rPr>
            </w:pPr>
          </w:p>
        </w:tc>
        <w:tc>
          <w:tcPr>
            <w:tcW w:w="4163" w:type="dxa"/>
          </w:tcPr>
          <w:p w14:paraId="3817EB8F"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A do të ketë ndikim në mënyrën e jetesës së njerëzve, siç janë nivelet e interesimit për sport, ndryshimet në </w:t>
            </w:r>
            <w:proofErr w:type="spellStart"/>
            <w:r w:rsidRPr="004979D2">
              <w:rPr>
                <w:rFonts w:ascii="Times New Roman" w:hAnsi="Times New Roman" w:cs="Times New Roman"/>
                <w:sz w:val="24"/>
                <w:szCs w:val="24"/>
              </w:rPr>
              <w:lastRenderedPageBreak/>
              <w:t>ushqyeshmëri</w:t>
            </w:r>
            <w:proofErr w:type="spellEnd"/>
            <w:r w:rsidRPr="004979D2">
              <w:rPr>
                <w:rFonts w:ascii="Times New Roman" w:hAnsi="Times New Roman" w:cs="Times New Roman"/>
                <w:sz w:val="24"/>
                <w:szCs w:val="24"/>
              </w:rPr>
              <w:t>, ose ndryshimet në përdorimin e duhanit ose alkoolit?</w:t>
            </w:r>
          </w:p>
        </w:tc>
        <w:tc>
          <w:tcPr>
            <w:tcW w:w="810" w:type="dxa"/>
          </w:tcPr>
          <w:p w14:paraId="08B48CB8"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11871210"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05CCB187"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18C346FC"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1686FB34"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2DDE2554" w14:textId="77777777" w:rsidTr="00595960">
        <w:tc>
          <w:tcPr>
            <w:tcW w:w="1710" w:type="dxa"/>
            <w:vMerge/>
          </w:tcPr>
          <w:p w14:paraId="1BB83C39" w14:textId="77777777" w:rsidR="007E1B0B" w:rsidRPr="004979D2" w:rsidRDefault="007E1B0B" w:rsidP="002B1BC6">
            <w:pPr>
              <w:spacing w:line="360" w:lineRule="auto"/>
              <w:rPr>
                <w:rFonts w:ascii="Times New Roman" w:hAnsi="Times New Roman" w:cs="Times New Roman"/>
                <w:sz w:val="24"/>
                <w:szCs w:val="24"/>
              </w:rPr>
            </w:pPr>
          </w:p>
        </w:tc>
        <w:tc>
          <w:tcPr>
            <w:tcW w:w="4163" w:type="dxa"/>
          </w:tcPr>
          <w:p w14:paraId="05EB20BD"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A ka grupe të veçanta që përballen me rreziqe shumë më të larta se të tjerat (të përcaktuar sipas faktorëve, të tillë si mosha, gjinia, aftësia e kufizuar, grup shoqëror apo rajoni)? </w:t>
            </w:r>
          </w:p>
        </w:tc>
        <w:tc>
          <w:tcPr>
            <w:tcW w:w="810" w:type="dxa"/>
          </w:tcPr>
          <w:p w14:paraId="2853B7D2"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2EBFBFDE"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0D30738E"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16CDC224"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6E9D915A"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6D0FC653" w14:textId="77777777" w:rsidTr="00595960">
        <w:tc>
          <w:tcPr>
            <w:tcW w:w="1710" w:type="dxa"/>
            <w:vMerge w:val="restart"/>
          </w:tcPr>
          <w:p w14:paraId="3E4AD644"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Krimi dhe siguria</w:t>
            </w:r>
          </w:p>
        </w:tc>
        <w:tc>
          <w:tcPr>
            <w:tcW w:w="4163" w:type="dxa"/>
          </w:tcPr>
          <w:p w14:paraId="580AC4DF"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ndikohen gjasat që të kapen kriminelët?</w:t>
            </w:r>
          </w:p>
        </w:tc>
        <w:tc>
          <w:tcPr>
            <w:tcW w:w="810" w:type="dxa"/>
          </w:tcPr>
          <w:p w14:paraId="302F7482"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27955C5F"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28056462"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71E8BC18"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0884E347"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558B8F3F" w14:textId="77777777" w:rsidTr="00595960">
        <w:tc>
          <w:tcPr>
            <w:tcW w:w="1710" w:type="dxa"/>
            <w:vMerge/>
          </w:tcPr>
          <w:p w14:paraId="11384C73" w14:textId="77777777" w:rsidR="007E1B0B" w:rsidRPr="004979D2" w:rsidRDefault="007E1B0B" w:rsidP="002B1BC6">
            <w:pPr>
              <w:spacing w:line="360" w:lineRule="auto"/>
              <w:rPr>
                <w:rFonts w:ascii="Times New Roman" w:hAnsi="Times New Roman" w:cs="Times New Roman"/>
                <w:sz w:val="24"/>
                <w:szCs w:val="24"/>
              </w:rPr>
            </w:pPr>
          </w:p>
        </w:tc>
        <w:tc>
          <w:tcPr>
            <w:tcW w:w="4163" w:type="dxa"/>
          </w:tcPr>
          <w:p w14:paraId="37D999A4"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ndikohet fitimi i mundshëm nga krimi?</w:t>
            </w:r>
          </w:p>
        </w:tc>
        <w:tc>
          <w:tcPr>
            <w:tcW w:w="810" w:type="dxa"/>
          </w:tcPr>
          <w:p w14:paraId="31E7F575"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2AC04AEB"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2E06E2CD"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5937AC9C"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47E5CA38"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69592B9E" w14:textId="77777777" w:rsidTr="00595960">
        <w:tc>
          <w:tcPr>
            <w:tcW w:w="1710" w:type="dxa"/>
            <w:vMerge/>
          </w:tcPr>
          <w:p w14:paraId="660359F9" w14:textId="77777777" w:rsidR="007E1B0B" w:rsidRPr="004979D2" w:rsidRDefault="007E1B0B" w:rsidP="002B1BC6">
            <w:pPr>
              <w:spacing w:line="360" w:lineRule="auto"/>
              <w:rPr>
                <w:rFonts w:ascii="Times New Roman" w:hAnsi="Times New Roman" w:cs="Times New Roman"/>
                <w:sz w:val="24"/>
                <w:szCs w:val="24"/>
              </w:rPr>
            </w:pPr>
          </w:p>
        </w:tc>
        <w:tc>
          <w:tcPr>
            <w:tcW w:w="4163" w:type="dxa"/>
          </w:tcPr>
          <w:p w14:paraId="299F897D"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ndikon në nivelet e korrupsionit?</w:t>
            </w:r>
          </w:p>
        </w:tc>
        <w:tc>
          <w:tcPr>
            <w:tcW w:w="810" w:type="dxa"/>
          </w:tcPr>
          <w:p w14:paraId="686A46B1"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5026DCAD"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7DECB3A8"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7CB539ED"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4F7C29B7"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4AA1CA30" w14:textId="77777777" w:rsidTr="00595960">
        <w:tc>
          <w:tcPr>
            <w:tcW w:w="1710" w:type="dxa"/>
            <w:vMerge/>
          </w:tcPr>
          <w:p w14:paraId="1CEB39F2" w14:textId="77777777" w:rsidR="007E1B0B" w:rsidRPr="004979D2" w:rsidRDefault="007E1B0B" w:rsidP="002B1BC6">
            <w:pPr>
              <w:spacing w:line="360" w:lineRule="auto"/>
              <w:rPr>
                <w:rFonts w:ascii="Times New Roman" w:hAnsi="Times New Roman" w:cs="Times New Roman"/>
                <w:sz w:val="24"/>
                <w:szCs w:val="24"/>
              </w:rPr>
            </w:pPr>
          </w:p>
        </w:tc>
        <w:tc>
          <w:tcPr>
            <w:tcW w:w="4163" w:type="dxa"/>
          </w:tcPr>
          <w:p w14:paraId="071AC1D3"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ndikohet kapaciteti i zbatimit të ligjit?</w:t>
            </w:r>
          </w:p>
        </w:tc>
        <w:tc>
          <w:tcPr>
            <w:tcW w:w="810" w:type="dxa"/>
          </w:tcPr>
          <w:p w14:paraId="288A6504"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6052081E"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460E538B"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2EA7E3DF"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79DDBCD2"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74038D39" w14:textId="77777777" w:rsidTr="00595960">
        <w:tc>
          <w:tcPr>
            <w:tcW w:w="1710" w:type="dxa"/>
            <w:vMerge/>
          </w:tcPr>
          <w:p w14:paraId="3BD65DB1" w14:textId="77777777" w:rsidR="007E1B0B" w:rsidRPr="004979D2" w:rsidRDefault="007E1B0B" w:rsidP="002B1BC6">
            <w:pPr>
              <w:spacing w:line="360" w:lineRule="auto"/>
              <w:rPr>
                <w:rFonts w:ascii="Times New Roman" w:hAnsi="Times New Roman" w:cs="Times New Roman"/>
                <w:sz w:val="24"/>
                <w:szCs w:val="24"/>
              </w:rPr>
            </w:pPr>
          </w:p>
        </w:tc>
        <w:tc>
          <w:tcPr>
            <w:tcW w:w="4163" w:type="dxa"/>
          </w:tcPr>
          <w:p w14:paraId="29D5295E"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ka ndonjë efekt në të drejtat dhe sigurinë e viktimave të krimit?</w:t>
            </w:r>
          </w:p>
        </w:tc>
        <w:tc>
          <w:tcPr>
            <w:tcW w:w="810" w:type="dxa"/>
          </w:tcPr>
          <w:p w14:paraId="71A0BB5C" w14:textId="77777777" w:rsidR="007E1B0B" w:rsidRPr="004979D2" w:rsidRDefault="007E1B0B" w:rsidP="002B1BC6">
            <w:pPr>
              <w:spacing w:line="360" w:lineRule="auto"/>
              <w:rPr>
                <w:rFonts w:ascii="Times New Roman" w:hAnsi="Times New Roman" w:cs="Times New Roman"/>
                <w:sz w:val="24"/>
                <w:szCs w:val="24"/>
              </w:rPr>
            </w:pPr>
          </w:p>
        </w:tc>
        <w:tc>
          <w:tcPr>
            <w:tcW w:w="787" w:type="dxa"/>
          </w:tcPr>
          <w:p w14:paraId="3E40ABD0"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340" w:type="dxa"/>
          </w:tcPr>
          <w:p w14:paraId="520C19E9" w14:textId="77777777" w:rsidR="007E1B0B" w:rsidRPr="004979D2" w:rsidRDefault="007E1B0B" w:rsidP="002B1BC6">
            <w:pPr>
              <w:spacing w:line="360" w:lineRule="auto"/>
              <w:rPr>
                <w:rFonts w:ascii="Times New Roman" w:hAnsi="Times New Roman" w:cs="Times New Roman"/>
                <w:sz w:val="24"/>
                <w:szCs w:val="24"/>
              </w:rPr>
            </w:pPr>
          </w:p>
        </w:tc>
        <w:tc>
          <w:tcPr>
            <w:tcW w:w="1620" w:type="dxa"/>
          </w:tcPr>
          <w:p w14:paraId="354AE732"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1594440E" w14:textId="77777777" w:rsidR="007E1B0B" w:rsidRPr="004979D2" w:rsidRDefault="007E1B0B" w:rsidP="002B1BC6">
            <w:pPr>
              <w:spacing w:line="360" w:lineRule="auto"/>
              <w:rPr>
                <w:rFonts w:ascii="Times New Roman" w:hAnsi="Times New Roman" w:cs="Times New Roman"/>
                <w:sz w:val="24"/>
                <w:szCs w:val="24"/>
              </w:rPr>
            </w:pPr>
          </w:p>
        </w:tc>
      </w:tr>
    </w:tbl>
    <w:p w14:paraId="474DB021" w14:textId="77777777" w:rsidR="00DF2517" w:rsidRPr="004979D2" w:rsidRDefault="00DF2517"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br w:type="page"/>
      </w:r>
    </w:p>
    <w:p w14:paraId="0A6AB589" w14:textId="77777777" w:rsidR="00DF2517" w:rsidRPr="004979D2" w:rsidRDefault="00180BB0" w:rsidP="002B1BC6">
      <w:pPr>
        <w:pStyle w:val="Heading1"/>
        <w:spacing w:line="360" w:lineRule="auto"/>
        <w:rPr>
          <w:rFonts w:ascii="Times New Roman" w:hAnsi="Times New Roman" w:cs="Times New Roman"/>
          <w:sz w:val="24"/>
          <w:szCs w:val="24"/>
        </w:rPr>
      </w:pPr>
      <w:bookmarkStart w:id="55" w:name="_Toc1114339"/>
      <w:r w:rsidRPr="004979D2">
        <w:rPr>
          <w:rFonts w:ascii="Times New Roman" w:hAnsi="Times New Roman" w:cs="Times New Roman"/>
          <w:sz w:val="24"/>
          <w:szCs w:val="24"/>
        </w:rPr>
        <w:lastRenderedPageBreak/>
        <w:t>Shtojca</w:t>
      </w:r>
      <w:r w:rsidR="00DF2517" w:rsidRPr="004979D2">
        <w:rPr>
          <w:rFonts w:ascii="Times New Roman" w:hAnsi="Times New Roman" w:cs="Times New Roman"/>
          <w:sz w:val="24"/>
          <w:szCs w:val="24"/>
        </w:rPr>
        <w:t xml:space="preserve"> </w:t>
      </w:r>
      <w:r w:rsidR="00B1424D" w:rsidRPr="004979D2">
        <w:rPr>
          <w:rFonts w:ascii="Times New Roman" w:hAnsi="Times New Roman" w:cs="Times New Roman"/>
          <w:sz w:val="24"/>
          <w:szCs w:val="24"/>
        </w:rPr>
        <w:t>3</w:t>
      </w:r>
      <w:r w:rsidR="00DF2517" w:rsidRPr="004979D2">
        <w:rPr>
          <w:rFonts w:ascii="Times New Roman" w:hAnsi="Times New Roman" w:cs="Times New Roman"/>
          <w:sz w:val="24"/>
          <w:szCs w:val="24"/>
        </w:rPr>
        <w:t xml:space="preserve">: </w:t>
      </w:r>
      <w:r w:rsidR="00162D8C" w:rsidRPr="004979D2">
        <w:rPr>
          <w:rFonts w:ascii="Times New Roman" w:hAnsi="Times New Roman" w:cs="Times New Roman"/>
          <w:sz w:val="24"/>
          <w:szCs w:val="24"/>
        </w:rPr>
        <w:t xml:space="preserve">Forma e vlerësimit për </w:t>
      </w:r>
      <w:r w:rsidR="00541488" w:rsidRPr="004979D2">
        <w:rPr>
          <w:rFonts w:ascii="Times New Roman" w:hAnsi="Times New Roman" w:cs="Times New Roman"/>
          <w:sz w:val="24"/>
          <w:szCs w:val="24"/>
        </w:rPr>
        <w:t>n</w:t>
      </w:r>
      <w:r w:rsidR="00162D8C" w:rsidRPr="004979D2">
        <w:rPr>
          <w:rFonts w:ascii="Times New Roman" w:hAnsi="Times New Roman" w:cs="Times New Roman"/>
          <w:sz w:val="24"/>
          <w:szCs w:val="24"/>
        </w:rPr>
        <w:t>dikim</w:t>
      </w:r>
      <w:r w:rsidR="00595960" w:rsidRPr="004979D2">
        <w:rPr>
          <w:rFonts w:ascii="Times New Roman" w:hAnsi="Times New Roman" w:cs="Times New Roman"/>
          <w:sz w:val="24"/>
          <w:szCs w:val="24"/>
        </w:rPr>
        <w:t>et</w:t>
      </w:r>
      <w:r w:rsidR="002D17EC" w:rsidRPr="004979D2">
        <w:rPr>
          <w:rFonts w:ascii="Times New Roman" w:hAnsi="Times New Roman" w:cs="Times New Roman"/>
          <w:sz w:val="24"/>
          <w:szCs w:val="24"/>
        </w:rPr>
        <w:t xml:space="preserve"> </w:t>
      </w:r>
      <w:r w:rsidR="00541488" w:rsidRPr="004979D2">
        <w:rPr>
          <w:rFonts w:ascii="Times New Roman" w:hAnsi="Times New Roman" w:cs="Times New Roman"/>
          <w:sz w:val="24"/>
          <w:szCs w:val="24"/>
        </w:rPr>
        <w:t>m</w:t>
      </w:r>
      <w:r w:rsidR="00162D8C" w:rsidRPr="004979D2">
        <w:rPr>
          <w:rFonts w:ascii="Times New Roman" w:hAnsi="Times New Roman" w:cs="Times New Roman"/>
          <w:sz w:val="24"/>
          <w:szCs w:val="24"/>
        </w:rPr>
        <w:t>jedisor</w:t>
      </w:r>
      <w:r w:rsidR="00595960" w:rsidRPr="004979D2">
        <w:rPr>
          <w:rFonts w:ascii="Times New Roman" w:hAnsi="Times New Roman" w:cs="Times New Roman"/>
          <w:sz w:val="24"/>
          <w:szCs w:val="24"/>
        </w:rPr>
        <w:t>e</w:t>
      </w:r>
      <w:bookmarkEnd w:id="55"/>
    </w:p>
    <w:tbl>
      <w:tblPr>
        <w:tblStyle w:val="TableGrid"/>
        <w:tblW w:w="14040" w:type="dxa"/>
        <w:tblInd w:w="-635" w:type="dxa"/>
        <w:tblLayout w:type="fixed"/>
        <w:tblLook w:val="04A0" w:firstRow="1" w:lastRow="0" w:firstColumn="1" w:lastColumn="0" w:noHBand="0" w:noVBand="1"/>
      </w:tblPr>
      <w:tblGrid>
        <w:gridCol w:w="1710"/>
        <w:gridCol w:w="4050"/>
        <w:gridCol w:w="810"/>
        <w:gridCol w:w="900"/>
        <w:gridCol w:w="2430"/>
        <w:gridCol w:w="1530"/>
        <w:gridCol w:w="2610"/>
      </w:tblGrid>
      <w:tr w:rsidR="004E6E7B" w:rsidRPr="004979D2" w14:paraId="61834441" w14:textId="77777777" w:rsidTr="009B4686">
        <w:tc>
          <w:tcPr>
            <w:tcW w:w="1710" w:type="dxa"/>
            <w:vMerge w:val="restart"/>
          </w:tcPr>
          <w:p w14:paraId="3AC3108D" w14:textId="77777777" w:rsidR="004E6E7B" w:rsidRPr="004979D2" w:rsidRDefault="00BB18A5"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Kategoria e ndikimeve mjedisore</w:t>
            </w:r>
          </w:p>
        </w:tc>
        <w:tc>
          <w:tcPr>
            <w:tcW w:w="4050" w:type="dxa"/>
            <w:vMerge w:val="restart"/>
          </w:tcPr>
          <w:p w14:paraId="685ECB82" w14:textId="77777777" w:rsidR="004E6E7B" w:rsidRPr="004979D2" w:rsidRDefault="00BB18A5"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Ndikimi kryesor</w:t>
            </w:r>
          </w:p>
        </w:tc>
        <w:tc>
          <w:tcPr>
            <w:tcW w:w="1710" w:type="dxa"/>
            <w:gridSpan w:val="2"/>
          </w:tcPr>
          <w:p w14:paraId="17B235B6" w14:textId="77777777" w:rsidR="004E6E7B" w:rsidRPr="004979D2" w:rsidRDefault="00BB18A5"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A pritet të ndodhë ky ndikim</w:t>
            </w:r>
            <w:r w:rsidR="004E6E7B" w:rsidRPr="004979D2">
              <w:rPr>
                <w:rFonts w:ascii="Times New Roman" w:hAnsi="Times New Roman" w:cs="Times New Roman"/>
                <w:b/>
                <w:sz w:val="24"/>
                <w:szCs w:val="24"/>
              </w:rPr>
              <w:t>?</w:t>
            </w:r>
          </w:p>
        </w:tc>
        <w:tc>
          <w:tcPr>
            <w:tcW w:w="2430" w:type="dxa"/>
          </w:tcPr>
          <w:p w14:paraId="2AC347C8" w14:textId="77777777" w:rsidR="004E6E7B" w:rsidRPr="004979D2" w:rsidRDefault="00C13D3C"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Numri i organizatave, kompanive dhe/ose individëve të prekur</w:t>
            </w:r>
          </w:p>
        </w:tc>
        <w:tc>
          <w:tcPr>
            <w:tcW w:w="1530" w:type="dxa"/>
          </w:tcPr>
          <w:p w14:paraId="20A59422" w14:textId="77777777" w:rsidR="004E6E7B" w:rsidRPr="004979D2" w:rsidRDefault="00C13D3C"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Përfitimi i pritshëm ose kostoja e ndikimit</w:t>
            </w:r>
          </w:p>
        </w:tc>
        <w:tc>
          <w:tcPr>
            <w:tcW w:w="2610" w:type="dxa"/>
          </w:tcPr>
          <w:p w14:paraId="0B3092FA" w14:textId="77777777" w:rsidR="004E6E7B" w:rsidRPr="004979D2" w:rsidRDefault="00C13D3C"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Niveli i preferuar i analizës</w:t>
            </w:r>
          </w:p>
        </w:tc>
      </w:tr>
      <w:tr w:rsidR="004E6E7B" w:rsidRPr="004979D2" w14:paraId="1D65FB3C" w14:textId="77777777" w:rsidTr="009B4686">
        <w:tc>
          <w:tcPr>
            <w:tcW w:w="1710" w:type="dxa"/>
            <w:vMerge/>
          </w:tcPr>
          <w:p w14:paraId="03DE5DBD" w14:textId="77777777" w:rsidR="004E6E7B" w:rsidRPr="004979D2" w:rsidRDefault="004E6E7B" w:rsidP="002B1BC6">
            <w:pPr>
              <w:spacing w:line="360" w:lineRule="auto"/>
              <w:rPr>
                <w:rFonts w:ascii="Times New Roman" w:hAnsi="Times New Roman" w:cs="Times New Roman"/>
                <w:sz w:val="24"/>
                <w:szCs w:val="24"/>
              </w:rPr>
            </w:pPr>
          </w:p>
        </w:tc>
        <w:tc>
          <w:tcPr>
            <w:tcW w:w="4050" w:type="dxa"/>
            <w:vMerge/>
          </w:tcPr>
          <w:p w14:paraId="04BED343" w14:textId="77777777" w:rsidR="004E6E7B" w:rsidRPr="004979D2" w:rsidRDefault="004E6E7B" w:rsidP="002B1BC6">
            <w:pPr>
              <w:spacing w:line="360" w:lineRule="auto"/>
              <w:rPr>
                <w:rFonts w:ascii="Times New Roman" w:hAnsi="Times New Roman" w:cs="Times New Roman"/>
                <w:sz w:val="24"/>
                <w:szCs w:val="24"/>
              </w:rPr>
            </w:pPr>
          </w:p>
        </w:tc>
        <w:tc>
          <w:tcPr>
            <w:tcW w:w="810" w:type="dxa"/>
          </w:tcPr>
          <w:p w14:paraId="27BB5C47" w14:textId="77777777" w:rsidR="004E6E7B" w:rsidRPr="004979D2" w:rsidRDefault="00BB18A5"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Po</w:t>
            </w:r>
          </w:p>
        </w:tc>
        <w:tc>
          <w:tcPr>
            <w:tcW w:w="900" w:type="dxa"/>
          </w:tcPr>
          <w:p w14:paraId="59CFC657" w14:textId="77777777" w:rsidR="004E6E7B" w:rsidRPr="004979D2" w:rsidRDefault="00BB18A5"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J</w:t>
            </w:r>
            <w:r w:rsidR="004E6E7B" w:rsidRPr="004979D2">
              <w:rPr>
                <w:rFonts w:ascii="Times New Roman" w:hAnsi="Times New Roman" w:cs="Times New Roman"/>
                <w:b/>
                <w:sz w:val="24"/>
                <w:szCs w:val="24"/>
              </w:rPr>
              <w:t>o</w:t>
            </w:r>
          </w:p>
        </w:tc>
        <w:tc>
          <w:tcPr>
            <w:tcW w:w="2430" w:type="dxa"/>
          </w:tcPr>
          <w:p w14:paraId="12F8DA70" w14:textId="77777777" w:rsidR="004E6E7B" w:rsidRPr="004979D2" w:rsidRDefault="00C13D3C"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I lartë/i ulët</w:t>
            </w:r>
          </w:p>
        </w:tc>
        <w:tc>
          <w:tcPr>
            <w:tcW w:w="1530" w:type="dxa"/>
          </w:tcPr>
          <w:p w14:paraId="6FE0C490" w14:textId="77777777" w:rsidR="004E6E7B" w:rsidRPr="004979D2" w:rsidRDefault="00C13D3C"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I lartë/i ulët</w:t>
            </w:r>
          </w:p>
        </w:tc>
        <w:tc>
          <w:tcPr>
            <w:tcW w:w="2610" w:type="dxa"/>
          </w:tcPr>
          <w:p w14:paraId="1CE1CC44" w14:textId="77777777" w:rsidR="004E6E7B" w:rsidRPr="004979D2" w:rsidRDefault="004E6E7B" w:rsidP="002B1BC6">
            <w:pPr>
              <w:spacing w:line="360" w:lineRule="auto"/>
              <w:rPr>
                <w:rFonts w:ascii="Times New Roman" w:hAnsi="Times New Roman" w:cs="Times New Roman"/>
                <w:b/>
                <w:sz w:val="24"/>
                <w:szCs w:val="24"/>
              </w:rPr>
            </w:pPr>
          </w:p>
        </w:tc>
      </w:tr>
      <w:tr w:rsidR="007E1B0B" w:rsidRPr="004979D2" w14:paraId="1DC8B5AE" w14:textId="77777777" w:rsidTr="009B4686">
        <w:tc>
          <w:tcPr>
            <w:tcW w:w="1710" w:type="dxa"/>
            <w:vMerge w:val="restart"/>
          </w:tcPr>
          <w:p w14:paraId="6C63FEEA"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Klima dhe mjedisi i qëndrueshëm</w:t>
            </w:r>
          </w:p>
        </w:tc>
        <w:tc>
          <w:tcPr>
            <w:tcW w:w="4050" w:type="dxa"/>
          </w:tcPr>
          <w:p w14:paraId="53375A35"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ketë ndikim në emetimin e gazrave serë (</w:t>
            </w:r>
            <w:proofErr w:type="spellStart"/>
            <w:r w:rsidRPr="004979D2">
              <w:rPr>
                <w:rFonts w:ascii="Times New Roman" w:hAnsi="Times New Roman" w:cs="Times New Roman"/>
                <w:sz w:val="24"/>
                <w:szCs w:val="24"/>
              </w:rPr>
              <w:t>dioksid</w:t>
            </w:r>
            <w:proofErr w:type="spellEnd"/>
            <w:r w:rsidRPr="004979D2">
              <w:rPr>
                <w:rFonts w:ascii="Times New Roman" w:hAnsi="Times New Roman" w:cs="Times New Roman"/>
                <w:sz w:val="24"/>
                <w:szCs w:val="24"/>
              </w:rPr>
              <w:t xml:space="preserve"> karboni, metani etj.)? </w:t>
            </w:r>
          </w:p>
        </w:tc>
        <w:tc>
          <w:tcPr>
            <w:tcW w:w="810" w:type="dxa"/>
          </w:tcPr>
          <w:p w14:paraId="0D8C7F32" w14:textId="77777777" w:rsidR="007E1B0B" w:rsidRPr="004979D2" w:rsidRDefault="007E1B0B" w:rsidP="002B1BC6">
            <w:pPr>
              <w:spacing w:line="360" w:lineRule="auto"/>
              <w:rPr>
                <w:rFonts w:ascii="Times New Roman" w:hAnsi="Times New Roman" w:cs="Times New Roman"/>
                <w:sz w:val="24"/>
                <w:szCs w:val="24"/>
              </w:rPr>
            </w:pPr>
          </w:p>
        </w:tc>
        <w:tc>
          <w:tcPr>
            <w:tcW w:w="900" w:type="dxa"/>
          </w:tcPr>
          <w:p w14:paraId="61F84FC5"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0E1911A9"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72C732BE"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5EF2A59F"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0856ED03" w14:textId="77777777" w:rsidTr="009B4686">
        <w:tc>
          <w:tcPr>
            <w:tcW w:w="1710" w:type="dxa"/>
            <w:vMerge/>
          </w:tcPr>
          <w:p w14:paraId="37EEA3C9"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590E2C1C"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ndikohet konsumi i karburanteve?</w:t>
            </w:r>
          </w:p>
        </w:tc>
        <w:tc>
          <w:tcPr>
            <w:tcW w:w="810" w:type="dxa"/>
          </w:tcPr>
          <w:p w14:paraId="0FBF2310" w14:textId="77777777" w:rsidR="007E1B0B" w:rsidRPr="004979D2" w:rsidRDefault="007E1B0B" w:rsidP="002B1BC6">
            <w:pPr>
              <w:spacing w:line="360" w:lineRule="auto"/>
              <w:rPr>
                <w:rFonts w:ascii="Times New Roman" w:hAnsi="Times New Roman" w:cs="Times New Roman"/>
                <w:sz w:val="24"/>
                <w:szCs w:val="24"/>
              </w:rPr>
            </w:pPr>
          </w:p>
        </w:tc>
        <w:tc>
          <w:tcPr>
            <w:tcW w:w="900" w:type="dxa"/>
          </w:tcPr>
          <w:p w14:paraId="32B0DE14"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464460C2"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4840D4DB"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7A32C25A"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021A7255" w14:textId="77777777" w:rsidTr="009B4686">
        <w:tc>
          <w:tcPr>
            <w:tcW w:w="1710" w:type="dxa"/>
            <w:vMerge/>
          </w:tcPr>
          <w:p w14:paraId="09CF3860"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6DB27BC3"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ndryshojë shumëllojshmëria e burimeve që përdoren për prodhimin e energjisë?</w:t>
            </w:r>
          </w:p>
        </w:tc>
        <w:tc>
          <w:tcPr>
            <w:tcW w:w="810" w:type="dxa"/>
          </w:tcPr>
          <w:p w14:paraId="7342CD37" w14:textId="77777777" w:rsidR="007E1B0B" w:rsidRPr="004979D2" w:rsidRDefault="007E1B0B" w:rsidP="002B1BC6">
            <w:pPr>
              <w:spacing w:line="360" w:lineRule="auto"/>
              <w:rPr>
                <w:rFonts w:ascii="Times New Roman" w:hAnsi="Times New Roman" w:cs="Times New Roman"/>
                <w:sz w:val="24"/>
                <w:szCs w:val="24"/>
              </w:rPr>
            </w:pPr>
          </w:p>
        </w:tc>
        <w:tc>
          <w:tcPr>
            <w:tcW w:w="900" w:type="dxa"/>
          </w:tcPr>
          <w:p w14:paraId="64C7AE0A"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5B6CA799"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72667CFC"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60D5B8AB"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10D99061" w14:textId="77777777" w:rsidTr="009B4686">
        <w:tc>
          <w:tcPr>
            <w:tcW w:w="1710" w:type="dxa"/>
            <w:vMerge/>
          </w:tcPr>
          <w:p w14:paraId="4BA0E42B"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765E35CA"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ketë ndonjë ndryshim në çmim për produktet miqësore ndaj mjedisit?</w:t>
            </w:r>
          </w:p>
        </w:tc>
        <w:tc>
          <w:tcPr>
            <w:tcW w:w="810" w:type="dxa"/>
          </w:tcPr>
          <w:p w14:paraId="17427401" w14:textId="77777777" w:rsidR="007E1B0B" w:rsidRPr="004979D2" w:rsidRDefault="007E1B0B" w:rsidP="002B1BC6">
            <w:pPr>
              <w:spacing w:line="360" w:lineRule="auto"/>
              <w:rPr>
                <w:rFonts w:ascii="Times New Roman" w:hAnsi="Times New Roman" w:cs="Times New Roman"/>
                <w:sz w:val="24"/>
                <w:szCs w:val="24"/>
              </w:rPr>
            </w:pPr>
          </w:p>
        </w:tc>
        <w:tc>
          <w:tcPr>
            <w:tcW w:w="900" w:type="dxa"/>
          </w:tcPr>
          <w:p w14:paraId="6B691A4F"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3A2341A2"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7599C448"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270BF598"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5D85DB3C" w14:textId="77777777" w:rsidTr="009B4686">
        <w:tc>
          <w:tcPr>
            <w:tcW w:w="1710" w:type="dxa"/>
            <w:vMerge/>
          </w:tcPr>
          <w:p w14:paraId="058489A5"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48A13F74"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bëhen më pak ndotëse disa aktivitete të caktuara?</w:t>
            </w:r>
          </w:p>
        </w:tc>
        <w:tc>
          <w:tcPr>
            <w:tcW w:w="810" w:type="dxa"/>
          </w:tcPr>
          <w:p w14:paraId="6D0C2E0A" w14:textId="77777777" w:rsidR="007E1B0B" w:rsidRPr="004979D2" w:rsidRDefault="007E1B0B" w:rsidP="002B1BC6">
            <w:pPr>
              <w:spacing w:line="360" w:lineRule="auto"/>
              <w:rPr>
                <w:rFonts w:ascii="Times New Roman" w:hAnsi="Times New Roman" w:cs="Times New Roman"/>
                <w:sz w:val="24"/>
                <w:szCs w:val="24"/>
              </w:rPr>
            </w:pPr>
          </w:p>
        </w:tc>
        <w:tc>
          <w:tcPr>
            <w:tcW w:w="900" w:type="dxa"/>
          </w:tcPr>
          <w:p w14:paraId="074F1ADD"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00C6530D"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536CC721"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0F2019AE"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0BE13867" w14:textId="77777777" w:rsidTr="009B4686">
        <w:tc>
          <w:tcPr>
            <w:tcW w:w="1710" w:type="dxa"/>
          </w:tcPr>
          <w:p w14:paraId="73388162"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Cilësia e ajrit</w:t>
            </w:r>
          </w:p>
        </w:tc>
        <w:tc>
          <w:tcPr>
            <w:tcW w:w="4050" w:type="dxa"/>
          </w:tcPr>
          <w:p w14:paraId="59C87EB7"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ketë ndikim në emetimin e ndotësve të ajrit?</w:t>
            </w:r>
          </w:p>
        </w:tc>
        <w:tc>
          <w:tcPr>
            <w:tcW w:w="810" w:type="dxa"/>
          </w:tcPr>
          <w:p w14:paraId="7BB224E5" w14:textId="77777777" w:rsidR="007E1B0B" w:rsidRPr="004979D2" w:rsidRDefault="007E1B0B" w:rsidP="002B1BC6">
            <w:pPr>
              <w:spacing w:line="360" w:lineRule="auto"/>
              <w:rPr>
                <w:rFonts w:ascii="Times New Roman" w:hAnsi="Times New Roman" w:cs="Times New Roman"/>
                <w:sz w:val="24"/>
                <w:szCs w:val="24"/>
              </w:rPr>
            </w:pPr>
          </w:p>
        </w:tc>
        <w:tc>
          <w:tcPr>
            <w:tcW w:w="900" w:type="dxa"/>
          </w:tcPr>
          <w:p w14:paraId="7C3E4D0A"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7D1E6F8A"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13AA0B87"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7D890066"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16971DCD" w14:textId="77777777" w:rsidTr="009B4686">
        <w:tc>
          <w:tcPr>
            <w:tcW w:w="1710" w:type="dxa"/>
            <w:vMerge w:val="restart"/>
          </w:tcPr>
          <w:p w14:paraId="5A3D77E5"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Cilësia e ujit</w:t>
            </w:r>
          </w:p>
        </w:tc>
        <w:tc>
          <w:tcPr>
            <w:tcW w:w="4050" w:type="dxa"/>
          </w:tcPr>
          <w:p w14:paraId="032D7A0A"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ndikon opsioni në cilësinë e ujërave të ëmbla?</w:t>
            </w:r>
          </w:p>
        </w:tc>
        <w:tc>
          <w:tcPr>
            <w:tcW w:w="810" w:type="dxa"/>
          </w:tcPr>
          <w:p w14:paraId="02AF900D" w14:textId="77777777" w:rsidR="007E1B0B" w:rsidRPr="004979D2" w:rsidRDefault="007E1B0B" w:rsidP="002B1BC6">
            <w:pPr>
              <w:spacing w:line="360" w:lineRule="auto"/>
              <w:rPr>
                <w:rFonts w:ascii="Times New Roman" w:hAnsi="Times New Roman" w:cs="Times New Roman"/>
                <w:sz w:val="24"/>
                <w:szCs w:val="24"/>
              </w:rPr>
            </w:pPr>
          </w:p>
        </w:tc>
        <w:tc>
          <w:tcPr>
            <w:tcW w:w="900" w:type="dxa"/>
          </w:tcPr>
          <w:p w14:paraId="243601F7"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46F636E5"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6EA4BD0A"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40F51E45"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6E6E81BA" w14:textId="77777777" w:rsidTr="009B4686">
        <w:tc>
          <w:tcPr>
            <w:tcW w:w="1710" w:type="dxa"/>
            <w:vMerge/>
          </w:tcPr>
          <w:p w14:paraId="3E5F080E"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5EC4DEF8"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ndikon opsioni në cilësinë e ujërave nëntokësore?</w:t>
            </w:r>
          </w:p>
        </w:tc>
        <w:tc>
          <w:tcPr>
            <w:tcW w:w="810" w:type="dxa"/>
          </w:tcPr>
          <w:p w14:paraId="41AAC0C9" w14:textId="77777777" w:rsidR="007E1B0B" w:rsidRPr="004979D2" w:rsidRDefault="007E1B0B" w:rsidP="002B1BC6">
            <w:pPr>
              <w:spacing w:line="360" w:lineRule="auto"/>
              <w:rPr>
                <w:rFonts w:ascii="Times New Roman" w:hAnsi="Times New Roman" w:cs="Times New Roman"/>
                <w:sz w:val="24"/>
                <w:szCs w:val="24"/>
              </w:rPr>
            </w:pPr>
          </w:p>
        </w:tc>
        <w:tc>
          <w:tcPr>
            <w:tcW w:w="900" w:type="dxa"/>
          </w:tcPr>
          <w:p w14:paraId="4EB2C00D"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3A7E952E"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252DD31D"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6A08CB5C"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393C9BF5" w14:textId="77777777" w:rsidTr="009B4686">
        <w:tc>
          <w:tcPr>
            <w:tcW w:w="1710" w:type="dxa"/>
            <w:vMerge/>
          </w:tcPr>
          <w:p w14:paraId="2073BFB2"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138DE4B6"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ndikon opsioni në burimet e ujit të pijshëm?</w:t>
            </w:r>
          </w:p>
        </w:tc>
        <w:tc>
          <w:tcPr>
            <w:tcW w:w="810" w:type="dxa"/>
          </w:tcPr>
          <w:p w14:paraId="458BD3D0" w14:textId="77777777" w:rsidR="007E1B0B" w:rsidRPr="004979D2" w:rsidRDefault="007E1B0B" w:rsidP="002B1BC6">
            <w:pPr>
              <w:spacing w:line="360" w:lineRule="auto"/>
              <w:rPr>
                <w:rFonts w:ascii="Times New Roman" w:hAnsi="Times New Roman" w:cs="Times New Roman"/>
                <w:sz w:val="24"/>
                <w:szCs w:val="24"/>
              </w:rPr>
            </w:pPr>
          </w:p>
        </w:tc>
        <w:tc>
          <w:tcPr>
            <w:tcW w:w="900" w:type="dxa"/>
          </w:tcPr>
          <w:p w14:paraId="2049A729"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449E8625"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108D0067"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0C55236C"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6401EDD1" w14:textId="77777777" w:rsidTr="009B4686">
        <w:tc>
          <w:tcPr>
            <w:tcW w:w="1710" w:type="dxa"/>
            <w:vMerge w:val="restart"/>
          </w:tcPr>
          <w:p w14:paraId="6537E8E8"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Cilësia e tokës dhe shfrytëzimi i tokës</w:t>
            </w:r>
          </w:p>
        </w:tc>
        <w:tc>
          <w:tcPr>
            <w:tcW w:w="4050" w:type="dxa"/>
          </w:tcPr>
          <w:p w14:paraId="2CEF037E"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ketë ndikim në cilësinë e tokës (në lidhje me acidifikimin, ndotjen, përdorimin e pesticideve apo herbicideve)?</w:t>
            </w:r>
          </w:p>
        </w:tc>
        <w:tc>
          <w:tcPr>
            <w:tcW w:w="810" w:type="dxa"/>
          </w:tcPr>
          <w:p w14:paraId="6865D23C" w14:textId="77777777" w:rsidR="007E1B0B" w:rsidRPr="004979D2" w:rsidRDefault="007E1B0B" w:rsidP="002B1BC6">
            <w:pPr>
              <w:spacing w:line="360" w:lineRule="auto"/>
              <w:rPr>
                <w:rFonts w:ascii="Times New Roman" w:hAnsi="Times New Roman" w:cs="Times New Roman"/>
                <w:sz w:val="24"/>
                <w:szCs w:val="24"/>
              </w:rPr>
            </w:pPr>
          </w:p>
        </w:tc>
        <w:tc>
          <w:tcPr>
            <w:tcW w:w="900" w:type="dxa"/>
          </w:tcPr>
          <w:p w14:paraId="253F435B"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0707C1B2"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4F9E6FA7"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0C2E3708"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6EB335A5" w14:textId="77777777" w:rsidTr="009B4686">
        <w:tc>
          <w:tcPr>
            <w:tcW w:w="1710" w:type="dxa"/>
            <w:vMerge/>
          </w:tcPr>
          <w:p w14:paraId="390D68CE"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527A86AB"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ketë ndikim në erozionin e tokës?</w:t>
            </w:r>
          </w:p>
        </w:tc>
        <w:tc>
          <w:tcPr>
            <w:tcW w:w="810" w:type="dxa"/>
          </w:tcPr>
          <w:p w14:paraId="418D342C" w14:textId="77777777" w:rsidR="007E1B0B" w:rsidRPr="004979D2" w:rsidRDefault="007E1B0B" w:rsidP="002B1BC6">
            <w:pPr>
              <w:spacing w:line="360" w:lineRule="auto"/>
              <w:rPr>
                <w:rFonts w:ascii="Times New Roman" w:hAnsi="Times New Roman" w:cs="Times New Roman"/>
                <w:sz w:val="24"/>
                <w:szCs w:val="24"/>
              </w:rPr>
            </w:pPr>
          </w:p>
        </w:tc>
        <w:tc>
          <w:tcPr>
            <w:tcW w:w="900" w:type="dxa"/>
          </w:tcPr>
          <w:p w14:paraId="611764F5"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5988F733"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76804474"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31CF09AE"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0F10B085" w14:textId="77777777" w:rsidTr="009B4686">
        <w:tc>
          <w:tcPr>
            <w:tcW w:w="1710" w:type="dxa"/>
            <w:vMerge/>
          </w:tcPr>
          <w:p w14:paraId="6C1DE82F"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52614CFB"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humbet tokë (përmes ndërtimit, etj.)?</w:t>
            </w:r>
          </w:p>
        </w:tc>
        <w:tc>
          <w:tcPr>
            <w:tcW w:w="810" w:type="dxa"/>
          </w:tcPr>
          <w:p w14:paraId="79D32766" w14:textId="77777777" w:rsidR="007E1B0B" w:rsidRPr="004979D2" w:rsidRDefault="007E1B0B" w:rsidP="002B1BC6">
            <w:pPr>
              <w:spacing w:line="360" w:lineRule="auto"/>
              <w:rPr>
                <w:rFonts w:ascii="Times New Roman" w:hAnsi="Times New Roman" w:cs="Times New Roman"/>
                <w:sz w:val="24"/>
                <w:szCs w:val="24"/>
              </w:rPr>
            </w:pPr>
          </w:p>
        </w:tc>
        <w:tc>
          <w:tcPr>
            <w:tcW w:w="900" w:type="dxa"/>
          </w:tcPr>
          <w:p w14:paraId="349B7BAD"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4BE46CFF"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1536419D"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5D7FE8BE"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04DB0CFD" w14:textId="77777777" w:rsidTr="009B4686">
        <w:tc>
          <w:tcPr>
            <w:tcW w:w="1710" w:type="dxa"/>
            <w:vMerge/>
          </w:tcPr>
          <w:p w14:paraId="0E509C96"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4593D7CC"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fitohet tokë (përmes dekontaminimit, etj.)?</w:t>
            </w:r>
          </w:p>
        </w:tc>
        <w:tc>
          <w:tcPr>
            <w:tcW w:w="810" w:type="dxa"/>
          </w:tcPr>
          <w:p w14:paraId="53CA7484" w14:textId="77777777" w:rsidR="007E1B0B" w:rsidRPr="004979D2" w:rsidRDefault="007E1B0B" w:rsidP="002B1BC6">
            <w:pPr>
              <w:spacing w:line="360" w:lineRule="auto"/>
              <w:rPr>
                <w:rFonts w:ascii="Times New Roman" w:hAnsi="Times New Roman" w:cs="Times New Roman"/>
                <w:sz w:val="24"/>
                <w:szCs w:val="24"/>
              </w:rPr>
            </w:pPr>
          </w:p>
        </w:tc>
        <w:tc>
          <w:tcPr>
            <w:tcW w:w="900" w:type="dxa"/>
          </w:tcPr>
          <w:p w14:paraId="18E4C9C4"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1C1D2791"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2583A478"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46494B50"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25150485" w14:textId="77777777" w:rsidTr="009B4686">
        <w:tc>
          <w:tcPr>
            <w:tcW w:w="1710" w:type="dxa"/>
            <w:vMerge/>
          </w:tcPr>
          <w:p w14:paraId="628DFFFA"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7CA21141"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ketë ndonjë ndryshim në shfrytëzimin e tokës (p.sh. nga shfrytëzimi pyjor në shfrytëzim bujqësor apo urban)?</w:t>
            </w:r>
          </w:p>
        </w:tc>
        <w:tc>
          <w:tcPr>
            <w:tcW w:w="810" w:type="dxa"/>
          </w:tcPr>
          <w:p w14:paraId="707CD8FB" w14:textId="77777777" w:rsidR="007E1B0B" w:rsidRPr="004979D2" w:rsidRDefault="007E1B0B" w:rsidP="002B1BC6">
            <w:pPr>
              <w:spacing w:line="360" w:lineRule="auto"/>
              <w:rPr>
                <w:rFonts w:ascii="Times New Roman" w:hAnsi="Times New Roman" w:cs="Times New Roman"/>
                <w:sz w:val="24"/>
                <w:szCs w:val="24"/>
              </w:rPr>
            </w:pPr>
          </w:p>
        </w:tc>
        <w:tc>
          <w:tcPr>
            <w:tcW w:w="900" w:type="dxa"/>
          </w:tcPr>
          <w:p w14:paraId="009D0475"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22C0A5F1"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53AAD32F"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5B74A619"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39975C24" w14:textId="77777777" w:rsidTr="009B4686">
        <w:tc>
          <w:tcPr>
            <w:tcW w:w="1710" w:type="dxa"/>
            <w:vMerge w:val="restart"/>
          </w:tcPr>
          <w:p w14:paraId="325B2A53"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Mbeturinat dhe riciklimi</w:t>
            </w:r>
          </w:p>
        </w:tc>
        <w:tc>
          <w:tcPr>
            <w:tcW w:w="4050" w:type="dxa"/>
          </w:tcPr>
          <w:p w14:paraId="6E737AFB"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A do të ndryshojë sasia e mbeturinave të </w:t>
            </w:r>
            <w:proofErr w:type="spellStart"/>
            <w:r w:rsidRPr="004979D2">
              <w:rPr>
                <w:rFonts w:ascii="Times New Roman" w:hAnsi="Times New Roman" w:cs="Times New Roman"/>
                <w:sz w:val="24"/>
                <w:szCs w:val="24"/>
              </w:rPr>
              <w:t>gjeneruara</w:t>
            </w:r>
            <w:proofErr w:type="spellEnd"/>
            <w:r w:rsidRPr="004979D2">
              <w:rPr>
                <w:rFonts w:ascii="Times New Roman" w:hAnsi="Times New Roman" w:cs="Times New Roman"/>
                <w:sz w:val="24"/>
                <w:szCs w:val="24"/>
              </w:rPr>
              <w:t>?</w:t>
            </w:r>
          </w:p>
        </w:tc>
        <w:tc>
          <w:tcPr>
            <w:tcW w:w="810" w:type="dxa"/>
          </w:tcPr>
          <w:p w14:paraId="5F41DE4D" w14:textId="77777777" w:rsidR="007E1B0B" w:rsidRPr="004979D2" w:rsidRDefault="007E1B0B" w:rsidP="002B1BC6">
            <w:pPr>
              <w:spacing w:line="360" w:lineRule="auto"/>
              <w:rPr>
                <w:rFonts w:ascii="Times New Roman" w:hAnsi="Times New Roman" w:cs="Times New Roman"/>
                <w:sz w:val="24"/>
                <w:szCs w:val="24"/>
              </w:rPr>
            </w:pPr>
          </w:p>
        </w:tc>
        <w:tc>
          <w:tcPr>
            <w:tcW w:w="900" w:type="dxa"/>
          </w:tcPr>
          <w:p w14:paraId="7CFA1832"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217F2968"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26643C58"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6E6BD355"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6D97F3FB" w14:textId="77777777" w:rsidTr="009B4686">
        <w:tc>
          <w:tcPr>
            <w:tcW w:w="1710" w:type="dxa"/>
            <w:vMerge/>
          </w:tcPr>
          <w:p w14:paraId="7EB69915"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3E1BA9D3"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ndryshojnë mënyrat në të cilat trajtohen mbeturinat?</w:t>
            </w:r>
          </w:p>
        </w:tc>
        <w:tc>
          <w:tcPr>
            <w:tcW w:w="810" w:type="dxa"/>
          </w:tcPr>
          <w:p w14:paraId="464ECC68" w14:textId="77777777" w:rsidR="007E1B0B" w:rsidRPr="004979D2" w:rsidRDefault="007E1B0B" w:rsidP="002B1BC6">
            <w:pPr>
              <w:spacing w:line="360" w:lineRule="auto"/>
              <w:rPr>
                <w:rFonts w:ascii="Times New Roman" w:hAnsi="Times New Roman" w:cs="Times New Roman"/>
                <w:sz w:val="24"/>
                <w:szCs w:val="24"/>
              </w:rPr>
            </w:pPr>
          </w:p>
        </w:tc>
        <w:tc>
          <w:tcPr>
            <w:tcW w:w="900" w:type="dxa"/>
          </w:tcPr>
          <w:p w14:paraId="580499EE"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43922BBC"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59A490D4"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19550470"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3FD30997" w14:textId="77777777" w:rsidTr="009B4686">
        <w:tc>
          <w:tcPr>
            <w:tcW w:w="1710" w:type="dxa"/>
            <w:vMerge/>
          </w:tcPr>
          <w:p w14:paraId="7977E655"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07CC385A"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ketë ndikim në mundësitë për riciklimin e mbeturinave?</w:t>
            </w:r>
          </w:p>
        </w:tc>
        <w:tc>
          <w:tcPr>
            <w:tcW w:w="810" w:type="dxa"/>
          </w:tcPr>
          <w:p w14:paraId="409A96B5" w14:textId="77777777" w:rsidR="007E1B0B" w:rsidRPr="004979D2" w:rsidRDefault="007E1B0B" w:rsidP="002B1BC6">
            <w:pPr>
              <w:spacing w:line="360" w:lineRule="auto"/>
              <w:rPr>
                <w:rFonts w:ascii="Times New Roman" w:hAnsi="Times New Roman" w:cs="Times New Roman"/>
                <w:sz w:val="24"/>
                <w:szCs w:val="24"/>
              </w:rPr>
            </w:pPr>
          </w:p>
        </w:tc>
        <w:tc>
          <w:tcPr>
            <w:tcW w:w="900" w:type="dxa"/>
          </w:tcPr>
          <w:p w14:paraId="05947892"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2BE23236"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1FAD0BCC"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4CAA6434"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09865C6F" w14:textId="77777777" w:rsidTr="009B4686">
        <w:tc>
          <w:tcPr>
            <w:tcW w:w="1710" w:type="dxa"/>
            <w:vMerge w:val="restart"/>
          </w:tcPr>
          <w:p w14:paraId="1E23B282"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Përdorimi i burimeve</w:t>
            </w:r>
          </w:p>
        </w:tc>
        <w:tc>
          <w:tcPr>
            <w:tcW w:w="4050" w:type="dxa"/>
          </w:tcPr>
          <w:p w14:paraId="5A83F819"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A ndikon opsioni në përdorimin e burimeve të </w:t>
            </w:r>
            <w:proofErr w:type="spellStart"/>
            <w:r w:rsidRPr="004979D2">
              <w:rPr>
                <w:rFonts w:ascii="Times New Roman" w:hAnsi="Times New Roman" w:cs="Times New Roman"/>
                <w:sz w:val="24"/>
                <w:szCs w:val="24"/>
              </w:rPr>
              <w:t>ripërtëritshme</w:t>
            </w:r>
            <w:proofErr w:type="spellEnd"/>
            <w:r w:rsidRPr="004979D2">
              <w:rPr>
                <w:rFonts w:ascii="Times New Roman" w:hAnsi="Times New Roman" w:cs="Times New Roman"/>
                <w:sz w:val="24"/>
                <w:szCs w:val="24"/>
              </w:rPr>
              <w:t xml:space="preserve"> (rezervave të peshkut, hidrocentraleve, energjisë diellore etj.)?</w:t>
            </w:r>
          </w:p>
        </w:tc>
        <w:tc>
          <w:tcPr>
            <w:tcW w:w="810" w:type="dxa"/>
          </w:tcPr>
          <w:p w14:paraId="13D1ACE1" w14:textId="77777777" w:rsidR="007E1B0B" w:rsidRPr="004979D2" w:rsidRDefault="007E1B0B" w:rsidP="002B1BC6">
            <w:pPr>
              <w:spacing w:line="360" w:lineRule="auto"/>
              <w:rPr>
                <w:rFonts w:ascii="Times New Roman" w:hAnsi="Times New Roman" w:cs="Times New Roman"/>
                <w:sz w:val="24"/>
                <w:szCs w:val="24"/>
              </w:rPr>
            </w:pPr>
          </w:p>
        </w:tc>
        <w:tc>
          <w:tcPr>
            <w:tcW w:w="900" w:type="dxa"/>
          </w:tcPr>
          <w:p w14:paraId="6DE1E663"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0E505C14"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3BE92556"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7A4A2550"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05241CB8" w14:textId="77777777" w:rsidTr="009B4686">
        <w:tc>
          <w:tcPr>
            <w:tcW w:w="1710" w:type="dxa"/>
            <w:vMerge/>
          </w:tcPr>
          <w:p w14:paraId="0294D73C"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2311C229"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A ndikon opsioni në përdorimin e burimeve, të cilat nuk janë të </w:t>
            </w:r>
            <w:proofErr w:type="spellStart"/>
            <w:r w:rsidRPr="004979D2">
              <w:rPr>
                <w:rFonts w:ascii="Times New Roman" w:hAnsi="Times New Roman" w:cs="Times New Roman"/>
                <w:sz w:val="24"/>
                <w:szCs w:val="24"/>
              </w:rPr>
              <w:t>ripërtëritshme</w:t>
            </w:r>
            <w:proofErr w:type="spellEnd"/>
            <w:r w:rsidRPr="004979D2">
              <w:rPr>
                <w:rFonts w:ascii="Times New Roman" w:hAnsi="Times New Roman" w:cs="Times New Roman"/>
                <w:sz w:val="24"/>
                <w:szCs w:val="24"/>
              </w:rPr>
              <w:t xml:space="preserve"> (ujërat nëntokësore, mineralet, qymyri etj.)?</w:t>
            </w:r>
          </w:p>
        </w:tc>
        <w:tc>
          <w:tcPr>
            <w:tcW w:w="810" w:type="dxa"/>
          </w:tcPr>
          <w:p w14:paraId="7B525C8F" w14:textId="77777777" w:rsidR="007E1B0B" w:rsidRPr="004979D2" w:rsidRDefault="007E1B0B" w:rsidP="002B1BC6">
            <w:pPr>
              <w:spacing w:line="360" w:lineRule="auto"/>
              <w:rPr>
                <w:rFonts w:ascii="Times New Roman" w:hAnsi="Times New Roman" w:cs="Times New Roman"/>
                <w:sz w:val="24"/>
                <w:szCs w:val="24"/>
              </w:rPr>
            </w:pPr>
          </w:p>
        </w:tc>
        <w:tc>
          <w:tcPr>
            <w:tcW w:w="900" w:type="dxa"/>
          </w:tcPr>
          <w:p w14:paraId="21B5DD9A"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590315F7"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666E8756"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394AC995"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31417870" w14:textId="77777777" w:rsidTr="009B4686">
        <w:tc>
          <w:tcPr>
            <w:tcW w:w="1710" w:type="dxa"/>
            <w:vMerge w:val="restart"/>
          </w:tcPr>
          <w:p w14:paraId="556E6C2D"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Shkalla e rreziqeve mjedisore</w:t>
            </w:r>
          </w:p>
        </w:tc>
        <w:tc>
          <w:tcPr>
            <w:tcW w:w="4050" w:type="dxa"/>
          </w:tcPr>
          <w:p w14:paraId="0838D012"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ketë ndonjë efekt në gjasat për rreziqe, të tilla, si zjarret, shpërthimet apo aksidentet?</w:t>
            </w:r>
          </w:p>
        </w:tc>
        <w:tc>
          <w:tcPr>
            <w:tcW w:w="810" w:type="dxa"/>
          </w:tcPr>
          <w:p w14:paraId="0692EE3A" w14:textId="77777777" w:rsidR="007E1B0B" w:rsidRPr="004979D2" w:rsidRDefault="007E1B0B" w:rsidP="002B1BC6">
            <w:pPr>
              <w:spacing w:line="360" w:lineRule="auto"/>
              <w:rPr>
                <w:rFonts w:ascii="Times New Roman" w:hAnsi="Times New Roman" w:cs="Times New Roman"/>
                <w:sz w:val="24"/>
                <w:szCs w:val="24"/>
              </w:rPr>
            </w:pPr>
          </w:p>
        </w:tc>
        <w:tc>
          <w:tcPr>
            <w:tcW w:w="900" w:type="dxa"/>
          </w:tcPr>
          <w:p w14:paraId="4DC9D693"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5339A562"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658A9497"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10734597"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5FC11D53" w14:textId="77777777" w:rsidTr="009B4686">
        <w:tc>
          <w:tcPr>
            <w:tcW w:w="1710" w:type="dxa"/>
            <w:vMerge/>
          </w:tcPr>
          <w:p w14:paraId="37B63E93"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658B57BB"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ndikojë në gatishmërinë në rast të fatkeqësive natyrore?</w:t>
            </w:r>
          </w:p>
        </w:tc>
        <w:tc>
          <w:tcPr>
            <w:tcW w:w="810" w:type="dxa"/>
          </w:tcPr>
          <w:p w14:paraId="2DB181F8" w14:textId="77777777" w:rsidR="007E1B0B" w:rsidRPr="004979D2" w:rsidRDefault="007E1B0B" w:rsidP="002B1BC6">
            <w:pPr>
              <w:spacing w:line="360" w:lineRule="auto"/>
              <w:rPr>
                <w:rFonts w:ascii="Times New Roman" w:hAnsi="Times New Roman" w:cs="Times New Roman"/>
                <w:sz w:val="24"/>
                <w:szCs w:val="24"/>
              </w:rPr>
            </w:pPr>
          </w:p>
        </w:tc>
        <w:tc>
          <w:tcPr>
            <w:tcW w:w="900" w:type="dxa"/>
          </w:tcPr>
          <w:p w14:paraId="0DD3C331"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0FF3D5D7"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185F64F0"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1EAFF7C6"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111321F3" w14:textId="77777777" w:rsidTr="009B4686">
        <w:tc>
          <w:tcPr>
            <w:tcW w:w="1710" w:type="dxa"/>
            <w:vMerge/>
          </w:tcPr>
          <w:p w14:paraId="0E8EF46A"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1D433245"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ndikohet mbrojtja e shoqërisë nga fatkeqësitë natyrore?</w:t>
            </w:r>
          </w:p>
        </w:tc>
        <w:tc>
          <w:tcPr>
            <w:tcW w:w="810" w:type="dxa"/>
          </w:tcPr>
          <w:p w14:paraId="35EC378A" w14:textId="77777777" w:rsidR="007E1B0B" w:rsidRPr="004979D2" w:rsidRDefault="007E1B0B" w:rsidP="002B1BC6">
            <w:pPr>
              <w:spacing w:line="360" w:lineRule="auto"/>
              <w:rPr>
                <w:rFonts w:ascii="Times New Roman" w:hAnsi="Times New Roman" w:cs="Times New Roman"/>
                <w:sz w:val="24"/>
                <w:szCs w:val="24"/>
              </w:rPr>
            </w:pPr>
          </w:p>
        </w:tc>
        <w:tc>
          <w:tcPr>
            <w:tcW w:w="900" w:type="dxa"/>
          </w:tcPr>
          <w:p w14:paraId="421B84FF"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34C9F8A3"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4354626D"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1750C7F1"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49FCE228" w14:textId="77777777" w:rsidTr="009B4686">
        <w:tc>
          <w:tcPr>
            <w:tcW w:w="1710" w:type="dxa"/>
            <w:vMerge w:val="restart"/>
          </w:tcPr>
          <w:p w14:paraId="260A2000" w14:textId="77777777" w:rsidR="007E1B0B" w:rsidRPr="004979D2" w:rsidRDefault="007E1B0B" w:rsidP="002B1BC6">
            <w:pPr>
              <w:spacing w:line="360" w:lineRule="auto"/>
              <w:rPr>
                <w:rFonts w:ascii="Times New Roman" w:hAnsi="Times New Roman" w:cs="Times New Roman"/>
                <w:sz w:val="24"/>
                <w:szCs w:val="24"/>
              </w:rPr>
            </w:pPr>
            <w:proofErr w:type="spellStart"/>
            <w:r w:rsidRPr="004979D2">
              <w:rPr>
                <w:rFonts w:ascii="Times New Roman" w:hAnsi="Times New Roman" w:cs="Times New Roman"/>
                <w:sz w:val="24"/>
                <w:szCs w:val="24"/>
              </w:rPr>
              <w:t>Biodiversiteti</w:t>
            </w:r>
            <w:proofErr w:type="spellEnd"/>
            <w:r w:rsidRPr="004979D2">
              <w:rPr>
                <w:rFonts w:ascii="Times New Roman" w:hAnsi="Times New Roman" w:cs="Times New Roman"/>
                <w:sz w:val="24"/>
                <w:szCs w:val="24"/>
              </w:rPr>
              <w:t>, flora dhe fauna</w:t>
            </w:r>
          </w:p>
        </w:tc>
        <w:tc>
          <w:tcPr>
            <w:tcW w:w="4050" w:type="dxa"/>
          </w:tcPr>
          <w:p w14:paraId="6D7A66BB"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ketë ndikim në speciet e mbrojtura apo të rrezikuara apo në zonat ku ato jetojnë?</w:t>
            </w:r>
          </w:p>
        </w:tc>
        <w:tc>
          <w:tcPr>
            <w:tcW w:w="810" w:type="dxa"/>
          </w:tcPr>
          <w:p w14:paraId="0BC3FFC2" w14:textId="77777777" w:rsidR="007E1B0B" w:rsidRPr="004979D2" w:rsidRDefault="007E1B0B" w:rsidP="002B1BC6">
            <w:pPr>
              <w:spacing w:line="360" w:lineRule="auto"/>
              <w:rPr>
                <w:rFonts w:ascii="Times New Roman" w:hAnsi="Times New Roman" w:cs="Times New Roman"/>
                <w:sz w:val="24"/>
                <w:szCs w:val="24"/>
              </w:rPr>
            </w:pPr>
          </w:p>
        </w:tc>
        <w:tc>
          <w:tcPr>
            <w:tcW w:w="900" w:type="dxa"/>
          </w:tcPr>
          <w:p w14:paraId="793777A3"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5FF590F7"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6AC72B2B"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75D00FD9"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3AAAA9C9" w14:textId="77777777" w:rsidTr="009B4686">
        <w:tc>
          <w:tcPr>
            <w:tcW w:w="1710" w:type="dxa"/>
            <w:vMerge/>
          </w:tcPr>
          <w:p w14:paraId="057CE8C9"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23FB08BD"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preket madhësia apo lidhjet midis zonave të natyrës?</w:t>
            </w:r>
          </w:p>
        </w:tc>
        <w:tc>
          <w:tcPr>
            <w:tcW w:w="810" w:type="dxa"/>
          </w:tcPr>
          <w:p w14:paraId="708B0A75" w14:textId="77777777" w:rsidR="007E1B0B" w:rsidRPr="004979D2" w:rsidRDefault="007E1B0B" w:rsidP="002B1BC6">
            <w:pPr>
              <w:spacing w:line="360" w:lineRule="auto"/>
              <w:rPr>
                <w:rFonts w:ascii="Times New Roman" w:hAnsi="Times New Roman" w:cs="Times New Roman"/>
                <w:sz w:val="24"/>
                <w:szCs w:val="24"/>
              </w:rPr>
            </w:pPr>
          </w:p>
        </w:tc>
        <w:tc>
          <w:tcPr>
            <w:tcW w:w="900" w:type="dxa"/>
          </w:tcPr>
          <w:p w14:paraId="211D1581"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73CEB806"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5C76A6EE"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4EEECFE7"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7C1B54A1" w14:textId="77777777" w:rsidTr="009B4686">
        <w:trPr>
          <w:trHeight w:val="241"/>
        </w:trPr>
        <w:tc>
          <w:tcPr>
            <w:tcW w:w="1710" w:type="dxa"/>
            <w:vMerge/>
          </w:tcPr>
          <w:p w14:paraId="404047D4"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7D10789D"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ketë ndonjë efekt në numrin e specieve në një zonë të caktuar?</w:t>
            </w:r>
          </w:p>
        </w:tc>
        <w:tc>
          <w:tcPr>
            <w:tcW w:w="810" w:type="dxa"/>
          </w:tcPr>
          <w:p w14:paraId="7BF00EC0" w14:textId="77777777" w:rsidR="007E1B0B" w:rsidRPr="004979D2" w:rsidRDefault="007E1B0B" w:rsidP="002B1BC6">
            <w:pPr>
              <w:spacing w:line="360" w:lineRule="auto"/>
              <w:rPr>
                <w:rFonts w:ascii="Times New Roman" w:hAnsi="Times New Roman" w:cs="Times New Roman"/>
                <w:sz w:val="24"/>
                <w:szCs w:val="24"/>
              </w:rPr>
            </w:pPr>
          </w:p>
        </w:tc>
        <w:tc>
          <w:tcPr>
            <w:tcW w:w="900" w:type="dxa"/>
          </w:tcPr>
          <w:p w14:paraId="4372D55C"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276FFCC5"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0E40DCF3"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6968FF69"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5FD63676" w14:textId="77777777" w:rsidTr="009B4686">
        <w:trPr>
          <w:trHeight w:val="241"/>
        </w:trPr>
        <w:tc>
          <w:tcPr>
            <w:tcW w:w="1710" w:type="dxa"/>
            <w:vMerge w:val="restart"/>
          </w:tcPr>
          <w:p w14:paraId="3F8A9D7F"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Mirëqenia e kafshëve</w:t>
            </w:r>
          </w:p>
        </w:tc>
        <w:tc>
          <w:tcPr>
            <w:tcW w:w="4050" w:type="dxa"/>
          </w:tcPr>
          <w:p w14:paraId="43C8F877"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ndikohet trajtimi i kafshëve?</w:t>
            </w:r>
          </w:p>
        </w:tc>
        <w:tc>
          <w:tcPr>
            <w:tcW w:w="810" w:type="dxa"/>
          </w:tcPr>
          <w:p w14:paraId="0FF0B337" w14:textId="77777777" w:rsidR="007E1B0B" w:rsidRPr="004979D2" w:rsidRDefault="007E1B0B" w:rsidP="002B1BC6">
            <w:pPr>
              <w:spacing w:line="360" w:lineRule="auto"/>
              <w:rPr>
                <w:rFonts w:ascii="Times New Roman" w:hAnsi="Times New Roman" w:cs="Times New Roman"/>
                <w:sz w:val="24"/>
                <w:szCs w:val="24"/>
              </w:rPr>
            </w:pPr>
          </w:p>
        </w:tc>
        <w:tc>
          <w:tcPr>
            <w:tcW w:w="900" w:type="dxa"/>
          </w:tcPr>
          <w:p w14:paraId="2018117C"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566386FB"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433E2938"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42C0219C"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47138483" w14:textId="77777777" w:rsidTr="009B4686">
        <w:tc>
          <w:tcPr>
            <w:tcW w:w="1710" w:type="dxa"/>
            <w:vMerge/>
          </w:tcPr>
          <w:p w14:paraId="37F43013"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2DE50F43"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ndikohet shëndeti i kafshëve?</w:t>
            </w:r>
          </w:p>
        </w:tc>
        <w:tc>
          <w:tcPr>
            <w:tcW w:w="810" w:type="dxa"/>
          </w:tcPr>
          <w:p w14:paraId="47874652" w14:textId="77777777" w:rsidR="007E1B0B" w:rsidRPr="004979D2" w:rsidRDefault="007E1B0B" w:rsidP="002B1BC6">
            <w:pPr>
              <w:spacing w:line="360" w:lineRule="auto"/>
              <w:rPr>
                <w:rFonts w:ascii="Times New Roman" w:hAnsi="Times New Roman" w:cs="Times New Roman"/>
                <w:sz w:val="24"/>
                <w:szCs w:val="24"/>
              </w:rPr>
            </w:pPr>
          </w:p>
        </w:tc>
        <w:tc>
          <w:tcPr>
            <w:tcW w:w="900" w:type="dxa"/>
          </w:tcPr>
          <w:p w14:paraId="2BA18E7C"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6FE3E497"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14C561E1"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7348B34D"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1A34D750" w14:textId="77777777" w:rsidTr="009B4686">
        <w:tc>
          <w:tcPr>
            <w:tcW w:w="1710" w:type="dxa"/>
            <w:vMerge/>
          </w:tcPr>
          <w:p w14:paraId="52CF7306"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7B7C9A6C"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ndikohet cilësia dhe siguria e ushqimit të kafshëve?</w:t>
            </w:r>
          </w:p>
        </w:tc>
        <w:tc>
          <w:tcPr>
            <w:tcW w:w="810" w:type="dxa"/>
          </w:tcPr>
          <w:p w14:paraId="763D1AFD" w14:textId="77777777" w:rsidR="007E1B0B" w:rsidRPr="004979D2" w:rsidRDefault="007E1B0B" w:rsidP="002B1BC6">
            <w:pPr>
              <w:spacing w:line="360" w:lineRule="auto"/>
              <w:rPr>
                <w:rFonts w:ascii="Times New Roman" w:hAnsi="Times New Roman" w:cs="Times New Roman"/>
                <w:sz w:val="24"/>
                <w:szCs w:val="24"/>
              </w:rPr>
            </w:pPr>
          </w:p>
        </w:tc>
        <w:tc>
          <w:tcPr>
            <w:tcW w:w="900" w:type="dxa"/>
          </w:tcPr>
          <w:p w14:paraId="2141628F"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430" w:type="dxa"/>
          </w:tcPr>
          <w:p w14:paraId="646ECB28"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0974BB1D"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5E3B0B7E" w14:textId="77777777" w:rsidR="007E1B0B" w:rsidRPr="004979D2" w:rsidRDefault="007E1B0B" w:rsidP="002B1BC6">
            <w:pPr>
              <w:spacing w:line="360" w:lineRule="auto"/>
              <w:rPr>
                <w:rFonts w:ascii="Times New Roman" w:hAnsi="Times New Roman" w:cs="Times New Roman"/>
                <w:sz w:val="24"/>
                <w:szCs w:val="24"/>
              </w:rPr>
            </w:pPr>
          </w:p>
        </w:tc>
      </w:tr>
    </w:tbl>
    <w:p w14:paraId="7834D92C" w14:textId="77777777" w:rsidR="00DF2517" w:rsidRPr="004979D2" w:rsidRDefault="00180BB0" w:rsidP="002B1BC6">
      <w:pPr>
        <w:pStyle w:val="Heading1"/>
        <w:spacing w:line="360" w:lineRule="auto"/>
        <w:rPr>
          <w:rFonts w:ascii="Times New Roman" w:hAnsi="Times New Roman" w:cs="Times New Roman"/>
          <w:sz w:val="24"/>
          <w:szCs w:val="24"/>
        </w:rPr>
      </w:pPr>
      <w:bookmarkStart w:id="56" w:name="_Toc1114340"/>
      <w:r w:rsidRPr="004979D2">
        <w:rPr>
          <w:rFonts w:ascii="Times New Roman" w:hAnsi="Times New Roman" w:cs="Times New Roman"/>
          <w:sz w:val="24"/>
          <w:szCs w:val="24"/>
        </w:rPr>
        <w:t>Shtojca</w:t>
      </w:r>
      <w:r w:rsidR="00B1424D" w:rsidRPr="004979D2">
        <w:rPr>
          <w:rFonts w:ascii="Times New Roman" w:hAnsi="Times New Roman" w:cs="Times New Roman"/>
          <w:sz w:val="24"/>
          <w:szCs w:val="24"/>
        </w:rPr>
        <w:t xml:space="preserve"> 4</w:t>
      </w:r>
      <w:r w:rsidR="00DF2517" w:rsidRPr="004979D2">
        <w:rPr>
          <w:rFonts w:ascii="Times New Roman" w:hAnsi="Times New Roman" w:cs="Times New Roman"/>
          <w:sz w:val="24"/>
          <w:szCs w:val="24"/>
        </w:rPr>
        <w:t xml:space="preserve">: </w:t>
      </w:r>
      <w:r w:rsidR="00162D8C" w:rsidRPr="004979D2">
        <w:rPr>
          <w:rFonts w:ascii="Times New Roman" w:hAnsi="Times New Roman" w:cs="Times New Roman"/>
          <w:sz w:val="24"/>
          <w:szCs w:val="24"/>
        </w:rPr>
        <w:t>Forma e vlerësimit për ndikim</w:t>
      </w:r>
      <w:r w:rsidR="00623843" w:rsidRPr="004979D2">
        <w:rPr>
          <w:rFonts w:ascii="Times New Roman" w:hAnsi="Times New Roman" w:cs="Times New Roman"/>
          <w:sz w:val="24"/>
          <w:szCs w:val="24"/>
        </w:rPr>
        <w:t>in e të drejtave themelore</w:t>
      </w:r>
      <w:bookmarkEnd w:id="56"/>
    </w:p>
    <w:tbl>
      <w:tblPr>
        <w:tblStyle w:val="TableGrid"/>
        <w:tblW w:w="14040" w:type="dxa"/>
        <w:tblInd w:w="-635" w:type="dxa"/>
        <w:tblLook w:val="04A0" w:firstRow="1" w:lastRow="0" w:firstColumn="1" w:lastColumn="0" w:noHBand="0" w:noVBand="1"/>
      </w:tblPr>
      <w:tblGrid>
        <w:gridCol w:w="1710"/>
        <w:gridCol w:w="4050"/>
        <w:gridCol w:w="810"/>
        <w:gridCol w:w="1080"/>
        <w:gridCol w:w="2250"/>
        <w:gridCol w:w="1530"/>
        <w:gridCol w:w="2610"/>
      </w:tblGrid>
      <w:tr w:rsidR="004E6E7B" w:rsidRPr="004979D2" w14:paraId="3EF131F2" w14:textId="77777777" w:rsidTr="009B4686">
        <w:tc>
          <w:tcPr>
            <w:tcW w:w="1710" w:type="dxa"/>
            <w:vMerge w:val="restart"/>
          </w:tcPr>
          <w:p w14:paraId="1E7C6745" w14:textId="77777777" w:rsidR="004E6E7B" w:rsidRPr="004979D2" w:rsidRDefault="002D17EC"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Kategoria e ndikimit në të drejtat themelore</w:t>
            </w:r>
          </w:p>
        </w:tc>
        <w:tc>
          <w:tcPr>
            <w:tcW w:w="4050" w:type="dxa"/>
            <w:vMerge w:val="restart"/>
          </w:tcPr>
          <w:p w14:paraId="25928654" w14:textId="77777777" w:rsidR="004E6E7B" w:rsidRPr="004979D2" w:rsidRDefault="002D17EC"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Ndikimi kryesor</w:t>
            </w:r>
          </w:p>
        </w:tc>
        <w:tc>
          <w:tcPr>
            <w:tcW w:w="1890" w:type="dxa"/>
            <w:gridSpan w:val="2"/>
          </w:tcPr>
          <w:p w14:paraId="01380A34" w14:textId="77777777" w:rsidR="004E6E7B" w:rsidRPr="004979D2" w:rsidRDefault="002D17EC"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A pritet të ndodhë ky ndikim</w:t>
            </w:r>
            <w:r w:rsidR="004E6E7B" w:rsidRPr="004979D2">
              <w:rPr>
                <w:rFonts w:ascii="Times New Roman" w:hAnsi="Times New Roman" w:cs="Times New Roman"/>
                <w:b/>
                <w:sz w:val="24"/>
                <w:szCs w:val="24"/>
              </w:rPr>
              <w:t>?</w:t>
            </w:r>
          </w:p>
        </w:tc>
        <w:tc>
          <w:tcPr>
            <w:tcW w:w="2250" w:type="dxa"/>
          </w:tcPr>
          <w:p w14:paraId="5DEC1D85" w14:textId="77777777" w:rsidR="004E6E7B" w:rsidRPr="004979D2" w:rsidRDefault="00C13D3C"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Numri i organizatave, kompanive dhe/ose individëve të prekur</w:t>
            </w:r>
          </w:p>
        </w:tc>
        <w:tc>
          <w:tcPr>
            <w:tcW w:w="1530" w:type="dxa"/>
          </w:tcPr>
          <w:p w14:paraId="46354CBC" w14:textId="77777777" w:rsidR="004E6E7B" w:rsidRPr="004979D2" w:rsidRDefault="00C13D3C"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Përfitimi i pritshëm ose kostoja e ndikimit</w:t>
            </w:r>
          </w:p>
        </w:tc>
        <w:tc>
          <w:tcPr>
            <w:tcW w:w="2610" w:type="dxa"/>
          </w:tcPr>
          <w:p w14:paraId="05CDB04D" w14:textId="77777777" w:rsidR="004E6E7B" w:rsidRPr="004979D2" w:rsidRDefault="00C13D3C"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Niveli i preferuar i analizës</w:t>
            </w:r>
          </w:p>
        </w:tc>
      </w:tr>
      <w:tr w:rsidR="002D17EC" w:rsidRPr="004979D2" w14:paraId="71D23D9E" w14:textId="77777777" w:rsidTr="009B4686">
        <w:tc>
          <w:tcPr>
            <w:tcW w:w="1710" w:type="dxa"/>
            <w:vMerge/>
          </w:tcPr>
          <w:p w14:paraId="4615DEB1" w14:textId="77777777" w:rsidR="002D17EC" w:rsidRPr="004979D2" w:rsidRDefault="002D17EC" w:rsidP="002B1BC6">
            <w:pPr>
              <w:spacing w:line="360" w:lineRule="auto"/>
              <w:rPr>
                <w:rFonts w:ascii="Times New Roman" w:hAnsi="Times New Roman" w:cs="Times New Roman"/>
                <w:b/>
                <w:sz w:val="24"/>
                <w:szCs w:val="24"/>
              </w:rPr>
            </w:pPr>
          </w:p>
        </w:tc>
        <w:tc>
          <w:tcPr>
            <w:tcW w:w="4050" w:type="dxa"/>
            <w:vMerge/>
          </w:tcPr>
          <w:p w14:paraId="500CF49B" w14:textId="77777777" w:rsidR="002D17EC" w:rsidRPr="004979D2" w:rsidRDefault="002D17EC" w:rsidP="002B1BC6">
            <w:pPr>
              <w:spacing w:line="360" w:lineRule="auto"/>
              <w:rPr>
                <w:rFonts w:ascii="Times New Roman" w:hAnsi="Times New Roman" w:cs="Times New Roman"/>
                <w:b/>
                <w:sz w:val="24"/>
                <w:szCs w:val="24"/>
              </w:rPr>
            </w:pPr>
          </w:p>
        </w:tc>
        <w:tc>
          <w:tcPr>
            <w:tcW w:w="810" w:type="dxa"/>
          </w:tcPr>
          <w:p w14:paraId="1C10C304" w14:textId="77777777" w:rsidR="002D17EC" w:rsidRPr="004979D2" w:rsidRDefault="002D17EC"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Po</w:t>
            </w:r>
          </w:p>
        </w:tc>
        <w:tc>
          <w:tcPr>
            <w:tcW w:w="1080" w:type="dxa"/>
          </w:tcPr>
          <w:p w14:paraId="4A1628B9" w14:textId="77777777" w:rsidR="002D17EC" w:rsidRPr="004979D2" w:rsidRDefault="002D17EC"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Jo</w:t>
            </w:r>
          </w:p>
        </w:tc>
        <w:tc>
          <w:tcPr>
            <w:tcW w:w="2250" w:type="dxa"/>
          </w:tcPr>
          <w:p w14:paraId="4F252ADB" w14:textId="77777777" w:rsidR="002D17EC" w:rsidRPr="004979D2" w:rsidRDefault="00C13D3C"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I lartë/i ulët</w:t>
            </w:r>
          </w:p>
        </w:tc>
        <w:tc>
          <w:tcPr>
            <w:tcW w:w="1530" w:type="dxa"/>
          </w:tcPr>
          <w:p w14:paraId="5FE9F1BE" w14:textId="77777777" w:rsidR="002D17EC" w:rsidRPr="004979D2" w:rsidRDefault="00C13D3C" w:rsidP="002B1BC6">
            <w:pPr>
              <w:spacing w:line="360" w:lineRule="auto"/>
              <w:rPr>
                <w:rFonts w:ascii="Times New Roman" w:hAnsi="Times New Roman" w:cs="Times New Roman"/>
                <w:b/>
                <w:sz w:val="24"/>
                <w:szCs w:val="24"/>
              </w:rPr>
            </w:pPr>
            <w:r w:rsidRPr="004979D2">
              <w:rPr>
                <w:rFonts w:ascii="Times New Roman" w:hAnsi="Times New Roman" w:cs="Times New Roman"/>
                <w:b/>
                <w:sz w:val="24"/>
                <w:szCs w:val="24"/>
              </w:rPr>
              <w:t>I lartë/i ulët</w:t>
            </w:r>
          </w:p>
        </w:tc>
        <w:tc>
          <w:tcPr>
            <w:tcW w:w="2610" w:type="dxa"/>
          </w:tcPr>
          <w:p w14:paraId="2CEBEC3A" w14:textId="77777777" w:rsidR="002D17EC" w:rsidRPr="004979D2" w:rsidRDefault="002D17EC" w:rsidP="002B1BC6">
            <w:pPr>
              <w:spacing w:line="360" w:lineRule="auto"/>
              <w:rPr>
                <w:rFonts w:ascii="Times New Roman" w:hAnsi="Times New Roman" w:cs="Times New Roman"/>
                <w:b/>
                <w:sz w:val="24"/>
                <w:szCs w:val="24"/>
              </w:rPr>
            </w:pPr>
          </w:p>
        </w:tc>
      </w:tr>
      <w:tr w:rsidR="007E1B0B" w:rsidRPr="004979D2" w14:paraId="601A88CD" w14:textId="77777777" w:rsidTr="009B4686">
        <w:tc>
          <w:tcPr>
            <w:tcW w:w="1710" w:type="dxa"/>
          </w:tcPr>
          <w:p w14:paraId="2992BA5B"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Dinjiteti</w:t>
            </w:r>
          </w:p>
        </w:tc>
        <w:tc>
          <w:tcPr>
            <w:tcW w:w="4050" w:type="dxa"/>
          </w:tcPr>
          <w:p w14:paraId="7D03F485"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ndikon opsioni në dinjitetin e njerëzve, në të drejtën e tyre për jetë apo në integritetin e një personi?</w:t>
            </w:r>
          </w:p>
        </w:tc>
        <w:tc>
          <w:tcPr>
            <w:tcW w:w="810" w:type="dxa"/>
          </w:tcPr>
          <w:p w14:paraId="1BC88CC0" w14:textId="77777777" w:rsidR="007E1B0B" w:rsidRPr="004979D2" w:rsidRDefault="007E1B0B" w:rsidP="002B1BC6">
            <w:pPr>
              <w:spacing w:line="360" w:lineRule="auto"/>
              <w:rPr>
                <w:rFonts w:ascii="Times New Roman" w:hAnsi="Times New Roman" w:cs="Times New Roman"/>
                <w:sz w:val="24"/>
                <w:szCs w:val="24"/>
              </w:rPr>
            </w:pPr>
          </w:p>
        </w:tc>
        <w:tc>
          <w:tcPr>
            <w:tcW w:w="1080" w:type="dxa"/>
          </w:tcPr>
          <w:p w14:paraId="77CC7418"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250" w:type="dxa"/>
          </w:tcPr>
          <w:p w14:paraId="798EAE75"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71C7B483"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15650918"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7809B5A8" w14:textId="77777777" w:rsidTr="009B4686">
        <w:tc>
          <w:tcPr>
            <w:tcW w:w="1710" w:type="dxa"/>
            <w:vMerge w:val="restart"/>
          </w:tcPr>
          <w:p w14:paraId="74FF0B51"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Liria</w:t>
            </w:r>
          </w:p>
        </w:tc>
        <w:tc>
          <w:tcPr>
            <w:tcW w:w="4050" w:type="dxa"/>
          </w:tcPr>
          <w:p w14:paraId="77622360"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ndikon opsioni në të drejtën e lirisë së individëve?</w:t>
            </w:r>
          </w:p>
        </w:tc>
        <w:tc>
          <w:tcPr>
            <w:tcW w:w="810" w:type="dxa"/>
          </w:tcPr>
          <w:p w14:paraId="0AF40AF2" w14:textId="77777777" w:rsidR="007E1B0B" w:rsidRPr="004979D2" w:rsidRDefault="007E1B0B" w:rsidP="002B1BC6">
            <w:pPr>
              <w:spacing w:line="360" w:lineRule="auto"/>
              <w:rPr>
                <w:rFonts w:ascii="Times New Roman" w:hAnsi="Times New Roman" w:cs="Times New Roman"/>
                <w:sz w:val="24"/>
                <w:szCs w:val="24"/>
              </w:rPr>
            </w:pPr>
          </w:p>
        </w:tc>
        <w:tc>
          <w:tcPr>
            <w:tcW w:w="1080" w:type="dxa"/>
          </w:tcPr>
          <w:p w14:paraId="4F549D23"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250" w:type="dxa"/>
          </w:tcPr>
          <w:p w14:paraId="7C1D1C88"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03DC7EED"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3CFE04C4"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00C4DB40" w14:textId="77777777" w:rsidTr="009B4686">
        <w:tc>
          <w:tcPr>
            <w:tcW w:w="1710" w:type="dxa"/>
            <w:vMerge/>
          </w:tcPr>
          <w:p w14:paraId="278AE1CC"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16051B04"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ndikon opsioni në të drejtën e një personi për privatësi?</w:t>
            </w:r>
          </w:p>
        </w:tc>
        <w:tc>
          <w:tcPr>
            <w:tcW w:w="810" w:type="dxa"/>
          </w:tcPr>
          <w:p w14:paraId="5CEA1C01" w14:textId="77777777" w:rsidR="007E1B0B" w:rsidRPr="004979D2" w:rsidRDefault="007E1B0B" w:rsidP="002B1BC6">
            <w:pPr>
              <w:spacing w:line="360" w:lineRule="auto"/>
              <w:rPr>
                <w:rFonts w:ascii="Times New Roman" w:hAnsi="Times New Roman" w:cs="Times New Roman"/>
                <w:sz w:val="24"/>
                <w:szCs w:val="24"/>
              </w:rPr>
            </w:pPr>
          </w:p>
        </w:tc>
        <w:tc>
          <w:tcPr>
            <w:tcW w:w="1080" w:type="dxa"/>
          </w:tcPr>
          <w:p w14:paraId="1C412B02"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250" w:type="dxa"/>
          </w:tcPr>
          <w:p w14:paraId="0B1B9AA3"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3D080774"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7812B55E"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2CB9C4AD" w14:textId="77777777" w:rsidTr="009B4686">
        <w:tc>
          <w:tcPr>
            <w:tcW w:w="1710" w:type="dxa"/>
            <w:vMerge/>
          </w:tcPr>
          <w:p w14:paraId="1B1BE2B8"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17D576BA"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A ndikon opsioni në të drejtën për t’u </w:t>
            </w:r>
            <w:r w:rsidRPr="004979D2">
              <w:rPr>
                <w:rFonts w:ascii="Times New Roman" w:hAnsi="Times New Roman" w:cs="Times New Roman"/>
                <w:sz w:val="24"/>
                <w:szCs w:val="24"/>
              </w:rPr>
              <w:lastRenderedPageBreak/>
              <w:t>martuar apo krijuar familje?</w:t>
            </w:r>
          </w:p>
        </w:tc>
        <w:tc>
          <w:tcPr>
            <w:tcW w:w="810" w:type="dxa"/>
          </w:tcPr>
          <w:p w14:paraId="7338804B" w14:textId="77777777" w:rsidR="007E1B0B" w:rsidRPr="004979D2" w:rsidRDefault="007E1B0B" w:rsidP="002B1BC6">
            <w:pPr>
              <w:spacing w:line="360" w:lineRule="auto"/>
              <w:rPr>
                <w:rFonts w:ascii="Times New Roman" w:hAnsi="Times New Roman" w:cs="Times New Roman"/>
                <w:sz w:val="24"/>
                <w:szCs w:val="24"/>
              </w:rPr>
            </w:pPr>
          </w:p>
        </w:tc>
        <w:tc>
          <w:tcPr>
            <w:tcW w:w="1080" w:type="dxa"/>
          </w:tcPr>
          <w:p w14:paraId="599EA0B6"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250" w:type="dxa"/>
          </w:tcPr>
          <w:p w14:paraId="35885816"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4AA80208"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2A62D608"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283D22D0" w14:textId="77777777" w:rsidTr="009B4686">
        <w:tc>
          <w:tcPr>
            <w:tcW w:w="1710" w:type="dxa"/>
            <w:vMerge/>
          </w:tcPr>
          <w:p w14:paraId="6DBAFD88"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399D3EB2"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ndikon opsioni në mbrojtjen ligjore, ekonomike ose shoqërore të individëve apo familjes?</w:t>
            </w:r>
          </w:p>
        </w:tc>
        <w:tc>
          <w:tcPr>
            <w:tcW w:w="810" w:type="dxa"/>
          </w:tcPr>
          <w:p w14:paraId="607B08E8" w14:textId="77777777" w:rsidR="007E1B0B" w:rsidRPr="004979D2" w:rsidRDefault="007E1B0B" w:rsidP="002B1BC6">
            <w:pPr>
              <w:spacing w:line="360" w:lineRule="auto"/>
              <w:rPr>
                <w:rFonts w:ascii="Times New Roman" w:hAnsi="Times New Roman" w:cs="Times New Roman"/>
                <w:sz w:val="24"/>
                <w:szCs w:val="24"/>
              </w:rPr>
            </w:pPr>
          </w:p>
        </w:tc>
        <w:tc>
          <w:tcPr>
            <w:tcW w:w="1080" w:type="dxa"/>
          </w:tcPr>
          <w:p w14:paraId="6B1188BE"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250" w:type="dxa"/>
          </w:tcPr>
          <w:p w14:paraId="1AB7C069"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165D3877"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114BE92D"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7E22C6C6" w14:textId="77777777" w:rsidTr="009B4686">
        <w:tc>
          <w:tcPr>
            <w:tcW w:w="1710" w:type="dxa"/>
            <w:vMerge/>
          </w:tcPr>
          <w:p w14:paraId="4C6D59A2"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1A146E0D"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A ndikon opsioni në lirinë e mendimit, ndërgjegjes apo fesë? </w:t>
            </w:r>
          </w:p>
        </w:tc>
        <w:tc>
          <w:tcPr>
            <w:tcW w:w="810" w:type="dxa"/>
          </w:tcPr>
          <w:p w14:paraId="1CCEA62B" w14:textId="77777777" w:rsidR="007E1B0B" w:rsidRPr="004979D2" w:rsidRDefault="007E1B0B" w:rsidP="002B1BC6">
            <w:pPr>
              <w:spacing w:line="360" w:lineRule="auto"/>
              <w:rPr>
                <w:rFonts w:ascii="Times New Roman" w:hAnsi="Times New Roman" w:cs="Times New Roman"/>
                <w:sz w:val="24"/>
                <w:szCs w:val="24"/>
              </w:rPr>
            </w:pPr>
          </w:p>
        </w:tc>
        <w:tc>
          <w:tcPr>
            <w:tcW w:w="1080" w:type="dxa"/>
          </w:tcPr>
          <w:p w14:paraId="3EC97100"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250" w:type="dxa"/>
          </w:tcPr>
          <w:p w14:paraId="5100DB60"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28ECCB91"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1F4A3D6A"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16FD58A1" w14:textId="77777777" w:rsidTr="009B4686">
        <w:tc>
          <w:tcPr>
            <w:tcW w:w="1710" w:type="dxa"/>
            <w:vMerge/>
          </w:tcPr>
          <w:p w14:paraId="17308DC6"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3CBB9183"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A ndikon opsioni në lirinë e shprehjes? </w:t>
            </w:r>
          </w:p>
        </w:tc>
        <w:tc>
          <w:tcPr>
            <w:tcW w:w="810" w:type="dxa"/>
          </w:tcPr>
          <w:p w14:paraId="02CA2B5B" w14:textId="77777777" w:rsidR="007E1B0B" w:rsidRPr="004979D2" w:rsidRDefault="007E1B0B" w:rsidP="002B1BC6">
            <w:pPr>
              <w:spacing w:line="360" w:lineRule="auto"/>
              <w:rPr>
                <w:rFonts w:ascii="Times New Roman" w:hAnsi="Times New Roman" w:cs="Times New Roman"/>
                <w:sz w:val="24"/>
                <w:szCs w:val="24"/>
              </w:rPr>
            </w:pPr>
          </w:p>
        </w:tc>
        <w:tc>
          <w:tcPr>
            <w:tcW w:w="1080" w:type="dxa"/>
          </w:tcPr>
          <w:p w14:paraId="20EDF097"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250" w:type="dxa"/>
          </w:tcPr>
          <w:p w14:paraId="6333A2FA"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4F0044A9"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5856DA30"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3224DA49" w14:textId="77777777" w:rsidTr="009B4686">
        <w:tc>
          <w:tcPr>
            <w:tcW w:w="1710" w:type="dxa"/>
            <w:vMerge/>
          </w:tcPr>
          <w:p w14:paraId="103DCF44"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2E450EB7"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A ndikon opsioni në lirinë e tubimit ose </w:t>
            </w:r>
            <w:proofErr w:type="spellStart"/>
            <w:r w:rsidRPr="004979D2">
              <w:rPr>
                <w:rFonts w:ascii="Times New Roman" w:hAnsi="Times New Roman" w:cs="Times New Roman"/>
                <w:sz w:val="24"/>
                <w:szCs w:val="24"/>
              </w:rPr>
              <w:t>asociimit</w:t>
            </w:r>
            <w:proofErr w:type="spellEnd"/>
            <w:r w:rsidRPr="004979D2">
              <w:rPr>
                <w:rFonts w:ascii="Times New Roman" w:hAnsi="Times New Roman" w:cs="Times New Roman"/>
                <w:sz w:val="24"/>
                <w:szCs w:val="24"/>
              </w:rPr>
              <w:t>?</w:t>
            </w:r>
          </w:p>
        </w:tc>
        <w:tc>
          <w:tcPr>
            <w:tcW w:w="810" w:type="dxa"/>
          </w:tcPr>
          <w:p w14:paraId="2A524000" w14:textId="77777777" w:rsidR="007E1B0B" w:rsidRPr="004979D2" w:rsidRDefault="007E1B0B" w:rsidP="002B1BC6">
            <w:pPr>
              <w:spacing w:line="360" w:lineRule="auto"/>
              <w:rPr>
                <w:rFonts w:ascii="Times New Roman" w:hAnsi="Times New Roman" w:cs="Times New Roman"/>
                <w:sz w:val="24"/>
                <w:szCs w:val="24"/>
              </w:rPr>
            </w:pPr>
          </w:p>
        </w:tc>
        <w:tc>
          <w:tcPr>
            <w:tcW w:w="1080" w:type="dxa"/>
          </w:tcPr>
          <w:p w14:paraId="306DF859"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250" w:type="dxa"/>
          </w:tcPr>
          <w:p w14:paraId="05DD3897"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12D0AC8F"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6A78AA29"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32E67376" w14:textId="77777777" w:rsidTr="009B4686">
        <w:tc>
          <w:tcPr>
            <w:tcW w:w="1710" w:type="dxa"/>
            <w:vMerge w:val="restart"/>
          </w:tcPr>
          <w:p w14:paraId="4AD6F1DE"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Të dhënat personale</w:t>
            </w:r>
          </w:p>
        </w:tc>
        <w:tc>
          <w:tcPr>
            <w:tcW w:w="4050" w:type="dxa"/>
          </w:tcPr>
          <w:p w14:paraId="3309B933"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përfshin opsioni përpunimin e të dhënave personale?</w:t>
            </w:r>
          </w:p>
        </w:tc>
        <w:tc>
          <w:tcPr>
            <w:tcW w:w="810" w:type="dxa"/>
          </w:tcPr>
          <w:p w14:paraId="1712B46B" w14:textId="77777777" w:rsidR="007E1B0B" w:rsidRPr="004979D2" w:rsidRDefault="007E1B0B" w:rsidP="002B1BC6">
            <w:pPr>
              <w:spacing w:line="360" w:lineRule="auto"/>
              <w:rPr>
                <w:rFonts w:ascii="Times New Roman" w:hAnsi="Times New Roman" w:cs="Times New Roman"/>
                <w:sz w:val="24"/>
                <w:szCs w:val="24"/>
              </w:rPr>
            </w:pPr>
          </w:p>
        </w:tc>
        <w:tc>
          <w:tcPr>
            <w:tcW w:w="1080" w:type="dxa"/>
          </w:tcPr>
          <w:p w14:paraId="43A02D03"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250" w:type="dxa"/>
          </w:tcPr>
          <w:p w14:paraId="72EB9225"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52528F46"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444F57C2"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153155F2" w14:textId="77777777" w:rsidTr="009B4686">
        <w:tc>
          <w:tcPr>
            <w:tcW w:w="1710" w:type="dxa"/>
            <w:vMerge/>
          </w:tcPr>
          <w:p w14:paraId="4DE8425E"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6246FB72"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janë të drejtat e individit për qasje, korrigjim dhe kundërshtim të garantuara?</w:t>
            </w:r>
          </w:p>
        </w:tc>
        <w:tc>
          <w:tcPr>
            <w:tcW w:w="810" w:type="dxa"/>
          </w:tcPr>
          <w:p w14:paraId="58292273" w14:textId="77777777" w:rsidR="007E1B0B" w:rsidRPr="004979D2" w:rsidRDefault="007E1B0B" w:rsidP="002B1BC6">
            <w:pPr>
              <w:spacing w:line="360" w:lineRule="auto"/>
              <w:rPr>
                <w:rFonts w:ascii="Times New Roman" w:hAnsi="Times New Roman" w:cs="Times New Roman"/>
                <w:sz w:val="24"/>
                <w:szCs w:val="24"/>
              </w:rPr>
            </w:pPr>
          </w:p>
        </w:tc>
        <w:tc>
          <w:tcPr>
            <w:tcW w:w="1080" w:type="dxa"/>
          </w:tcPr>
          <w:p w14:paraId="3D1B6E0B"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250" w:type="dxa"/>
          </w:tcPr>
          <w:p w14:paraId="605974C9"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62E22639"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18E1456E"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05BED4BC" w14:textId="77777777" w:rsidTr="009B4686">
        <w:tc>
          <w:tcPr>
            <w:tcW w:w="1710" w:type="dxa"/>
            <w:vMerge/>
          </w:tcPr>
          <w:p w14:paraId="20BAD53F"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3A938B6F"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është e qartë dhe e mbrojtur mirë mënyra në të cilën përpunohen të dhënat personale?</w:t>
            </w:r>
          </w:p>
        </w:tc>
        <w:tc>
          <w:tcPr>
            <w:tcW w:w="810" w:type="dxa"/>
          </w:tcPr>
          <w:p w14:paraId="4958E7FB" w14:textId="77777777" w:rsidR="007E1B0B" w:rsidRPr="004979D2" w:rsidRDefault="007E1B0B" w:rsidP="002B1BC6">
            <w:pPr>
              <w:spacing w:line="360" w:lineRule="auto"/>
              <w:rPr>
                <w:rFonts w:ascii="Times New Roman" w:hAnsi="Times New Roman" w:cs="Times New Roman"/>
                <w:sz w:val="24"/>
                <w:szCs w:val="24"/>
              </w:rPr>
            </w:pPr>
          </w:p>
        </w:tc>
        <w:tc>
          <w:tcPr>
            <w:tcW w:w="1080" w:type="dxa"/>
          </w:tcPr>
          <w:p w14:paraId="72C86D09"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250" w:type="dxa"/>
          </w:tcPr>
          <w:p w14:paraId="0E0BDED8"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7870BF96"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1872C366"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0731A3D1" w14:textId="77777777" w:rsidTr="009B4686">
        <w:tc>
          <w:tcPr>
            <w:tcW w:w="1710" w:type="dxa"/>
          </w:tcPr>
          <w:p w14:paraId="04F3D803"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Azili</w:t>
            </w:r>
          </w:p>
        </w:tc>
        <w:tc>
          <w:tcPr>
            <w:tcW w:w="4050" w:type="dxa"/>
          </w:tcPr>
          <w:p w14:paraId="19B2A8E9"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ndikon ky opsioni në të drejtën për azil?</w:t>
            </w:r>
          </w:p>
        </w:tc>
        <w:tc>
          <w:tcPr>
            <w:tcW w:w="810" w:type="dxa"/>
          </w:tcPr>
          <w:p w14:paraId="7606A07F" w14:textId="77777777" w:rsidR="007E1B0B" w:rsidRPr="004979D2" w:rsidRDefault="007E1B0B" w:rsidP="002B1BC6">
            <w:pPr>
              <w:spacing w:line="360" w:lineRule="auto"/>
              <w:rPr>
                <w:rFonts w:ascii="Times New Roman" w:hAnsi="Times New Roman" w:cs="Times New Roman"/>
                <w:sz w:val="24"/>
                <w:szCs w:val="24"/>
              </w:rPr>
            </w:pPr>
          </w:p>
        </w:tc>
        <w:tc>
          <w:tcPr>
            <w:tcW w:w="1080" w:type="dxa"/>
          </w:tcPr>
          <w:p w14:paraId="77482EA1"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250" w:type="dxa"/>
          </w:tcPr>
          <w:p w14:paraId="2731D87E"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3E4B12F2"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61229817"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757F954A" w14:textId="77777777" w:rsidTr="009B4686">
        <w:tc>
          <w:tcPr>
            <w:tcW w:w="1710" w:type="dxa"/>
            <w:vMerge w:val="restart"/>
          </w:tcPr>
          <w:p w14:paraId="16664D43"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Të drejtat pronësore</w:t>
            </w:r>
          </w:p>
        </w:tc>
        <w:tc>
          <w:tcPr>
            <w:tcW w:w="4050" w:type="dxa"/>
          </w:tcPr>
          <w:p w14:paraId="6DAECFFD"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ndikohen të drejtat e pronësisë?</w:t>
            </w:r>
          </w:p>
        </w:tc>
        <w:tc>
          <w:tcPr>
            <w:tcW w:w="810" w:type="dxa"/>
          </w:tcPr>
          <w:p w14:paraId="666E1624" w14:textId="77777777" w:rsidR="007E1B0B" w:rsidRPr="004979D2" w:rsidRDefault="007E1B0B" w:rsidP="002B1BC6">
            <w:pPr>
              <w:spacing w:line="360" w:lineRule="auto"/>
              <w:rPr>
                <w:rFonts w:ascii="Times New Roman" w:hAnsi="Times New Roman" w:cs="Times New Roman"/>
                <w:sz w:val="24"/>
                <w:szCs w:val="24"/>
              </w:rPr>
            </w:pPr>
          </w:p>
        </w:tc>
        <w:tc>
          <w:tcPr>
            <w:tcW w:w="1080" w:type="dxa"/>
          </w:tcPr>
          <w:p w14:paraId="28545F63"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250" w:type="dxa"/>
          </w:tcPr>
          <w:p w14:paraId="47DC198E"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61CD2617"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163B2177"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14A2A964" w14:textId="77777777" w:rsidTr="009B4686">
        <w:tc>
          <w:tcPr>
            <w:tcW w:w="1710" w:type="dxa"/>
            <w:vMerge/>
          </w:tcPr>
          <w:p w14:paraId="3A8F2787"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20EC3266"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ndikon opsioni në lirinë për të bërë biznes?</w:t>
            </w:r>
          </w:p>
        </w:tc>
        <w:tc>
          <w:tcPr>
            <w:tcW w:w="810" w:type="dxa"/>
          </w:tcPr>
          <w:p w14:paraId="20562A0E" w14:textId="77777777" w:rsidR="007E1B0B" w:rsidRPr="004979D2" w:rsidRDefault="007E1B0B" w:rsidP="002B1BC6">
            <w:pPr>
              <w:spacing w:line="360" w:lineRule="auto"/>
              <w:rPr>
                <w:rFonts w:ascii="Times New Roman" w:hAnsi="Times New Roman" w:cs="Times New Roman"/>
                <w:sz w:val="24"/>
                <w:szCs w:val="24"/>
              </w:rPr>
            </w:pPr>
          </w:p>
        </w:tc>
        <w:tc>
          <w:tcPr>
            <w:tcW w:w="1080" w:type="dxa"/>
          </w:tcPr>
          <w:p w14:paraId="24981B00"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250" w:type="dxa"/>
          </w:tcPr>
          <w:p w14:paraId="7A50A683"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0310F5CA"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3CB20626"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24B10133" w14:textId="77777777" w:rsidTr="009B4686">
        <w:tc>
          <w:tcPr>
            <w:tcW w:w="1710" w:type="dxa"/>
          </w:tcPr>
          <w:p w14:paraId="3F4913AE"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lastRenderedPageBreak/>
              <w:t>Trajtimi i barabartë</w:t>
            </w:r>
            <w:r w:rsidRPr="004979D2">
              <w:rPr>
                <w:rStyle w:val="FootnoteReference"/>
                <w:rFonts w:ascii="Times New Roman" w:hAnsi="Times New Roman" w:cs="Times New Roman"/>
                <w:sz w:val="24"/>
                <w:szCs w:val="24"/>
                <w:vertAlign w:val="baseline"/>
              </w:rPr>
              <w:t xml:space="preserve"> </w:t>
            </w:r>
            <w:r w:rsidRPr="004979D2">
              <w:rPr>
                <w:rStyle w:val="FootnoteReference"/>
                <w:rFonts w:ascii="Times New Roman" w:hAnsi="Times New Roman" w:cs="Times New Roman"/>
                <w:sz w:val="24"/>
                <w:szCs w:val="24"/>
              </w:rPr>
              <w:footnoteReference w:id="37"/>
            </w:r>
          </w:p>
        </w:tc>
        <w:tc>
          <w:tcPr>
            <w:tcW w:w="4050" w:type="dxa"/>
          </w:tcPr>
          <w:p w14:paraId="7184D672"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A e mbron opsioni parimin e barazisë para ligjit? </w:t>
            </w:r>
          </w:p>
        </w:tc>
        <w:tc>
          <w:tcPr>
            <w:tcW w:w="810" w:type="dxa"/>
          </w:tcPr>
          <w:p w14:paraId="1023C442" w14:textId="77777777" w:rsidR="007E1B0B" w:rsidRPr="004979D2" w:rsidRDefault="007E1B0B" w:rsidP="002B1BC6">
            <w:pPr>
              <w:spacing w:line="360" w:lineRule="auto"/>
              <w:rPr>
                <w:rFonts w:ascii="Times New Roman" w:hAnsi="Times New Roman" w:cs="Times New Roman"/>
                <w:sz w:val="24"/>
                <w:szCs w:val="24"/>
              </w:rPr>
            </w:pPr>
          </w:p>
        </w:tc>
        <w:tc>
          <w:tcPr>
            <w:tcW w:w="1080" w:type="dxa"/>
          </w:tcPr>
          <w:p w14:paraId="472CE0BB"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250" w:type="dxa"/>
          </w:tcPr>
          <w:p w14:paraId="1FB64E16"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2FDE67E7"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0244CE75"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566F37FC" w14:textId="77777777" w:rsidTr="009B4686">
        <w:tc>
          <w:tcPr>
            <w:tcW w:w="1710" w:type="dxa"/>
          </w:tcPr>
          <w:p w14:paraId="3587B8D4"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32CA6972"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A ka gjasa që grupe të caktuara do të dëmtohen në mënyrë </w:t>
            </w:r>
            <w:proofErr w:type="spellStart"/>
            <w:r w:rsidRPr="004979D2">
              <w:rPr>
                <w:rFonts w:ascii="Times New Roman" w:hAnsi="Times New Roman" w:cs="Times New Roman"/>
                <w:sz w:val="24"/>
                <w:szCs w:val="24"/>
              </w:rPr>
              <w:t>direkte</w:t>
            </w:r>
            <w:proofErr w:type="spellEnd"/>
            <w:r w:rsidRPr="004979D2">
              <w:rPr>
                <w:rFonts w:ascii="Times New Roman" w:hAnsi="Times New Roman" w:cs="Times New Roman"/>
                <w:sz w:val="24"/>
                <w:szCs w:val="24"/>
              </w:rPr>
              <w:t xml:space="preserve"> apo indirekte nga diskriminimi (p.sh. ndonjë diskriminim në bazë  gjinore, racore, ngjyre, etnie, opinioni politik ose tjetër, moshe ose orientimi seksual)? </w:t>
            </w:r>
          </w:p>
        </w:tc>
        <w:tc>
          <w:tcPr>
            <w:tcW w:w="810" w:type="dxa"/>
          </w:tcPr>
          <w:p w14:paraId="1A3BF862" w14:textId="77777777" w:rsidR="007E1B0B" w:rsidRPr="004979D2" w:rsidRDefault="007E1B0B" w:rsidP="002B1BC6">
            <w:pPr>
              <w:spacing w:line="360" w:lineRule="auto"/>
              <w:rPr>
                <w:rFonts w:ascii="Times New Roman" w:hAnsi="Times New Roman" w:cs="Times New Roman"/>
                <w:sz w:val="24"/>
                <w:szCs w:val="24"/>
              </w:rPr>
            </w:pPr>
          </w:p>
        </w:tc>
        <w:tc>
          <w:tcPr>
            <w:tcW w:w="1080" w:type="dxa"/>
          </w:tcPr>
          <w:p w14:paraId="09B48366"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250" w:type="dxa"/>
          </w:tcPr>
          <w:p w14:paraId="6D219194"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3BDADD71"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566E097F"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74A32A01" w14:textId="77777777" w:rsidTr="009B4686">
        <w:tc>
          <w:tcPr>
            <w:tcW w:w="1710" w:type="dxa"/>
          </w:tcPr>
          <w:p w14:paraId="03C39924"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01D69E59"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ndikon opsioni në të drejtat e personave me aftësi të kufizuara?</w:t>
            </w:r>
          </w:p>
        </w:tc>
        <w:tc>
          <w:tcPr>
            <w:tcW w:w="810" w:type="dxa"/>
          </w:tcPr>
          <w:p w14:paraId="21856C83" w14:textId="77777777" w:rsidR="007E1B0B" w:rsidRPr="004979D2" w:rsidRDefault="007E1B0B" w:rsidP="002B1BC6">
            <w:pPr>
              <w:spacing w:line="360" w:lineRule="auto"/>
              <w:rPr>
                <w:rFonts w:ascii="Times New Roman" w:hAnsi="Times New Roman" w:cs="Times New Roman"/>
                <w:sz w:val="24"/>
                <w:szCs w:val="24"/>
              </w:rPr>
            </w:pPr>
          </w:p>
        </w:tc>
        <w:tc>
          <w:tcPr>
            <w:tcW w:w="1080" w:type="dxa"/>
          </w:tcPr>
          <w:p w14:paraId="16A0AF91"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250" w:type="dxa"/>
          </w:tcPr>
          <w:p w14:paraId="2D7C0D37"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0B13D206"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126CD7E5"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482D2745" w14:textId="77777777" w:rsidTr="009B4686">
        <w:tc>
          <w:tcPr>
            <w:tcW w:w="1710" w:type="dxa"/>
          </w:tcPr>
          <w:p w14:paraId="328F62F2"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Të drejtat e fëmijëve</w:t>
            </w:r>
          </w:p>
        </w:tc>
        <w:tc>
          <w:tcPr>
            <w:tcW w:w="4050" w:type="dxa"/>
          </w:tcPr>
          <w:p w14:paraId="41D3BE0C"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ndikon opsioni në të drejtat e fëmijëve?</w:t>
            </w:r>
          </w:p>
        </w:tc>
        <w:tc>
          <w:tcPr>
            <w:tcW w:w="810" w:type="dxa"/>
          </w:tcPr>
          <w:p w14:paraId="732EADEB" w14:textId="77777777" w:rsidR="007E1B0B" w:rsidRPr="004979D2" w:rsidRDefault="007E1B0B" w:rsidP="002B1BC6">
            <w:pPr>
              <w:spacing w:line="360" w:lineRule="auto"/>
              <w:rPr>
                <w:rFonts w:ascii="Times New Roman" w:hAnsi="Times New Roman" w:cs="Times New Roman"/>
                <w:sz w:val="24"/>
                <w:szCs w:val="24"/>
              </w:rPr>
            </w:pPr>
          </w:p>
        </w:tc>
        <w:tc>
          <w:tcPr>
            <w:tcW w:w="1080" w:type="dxa"/>
          </w:tcPr>
          <w:p w14:paraId="60D30F39"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250" w:type="dxa"/>
          </w:tcPr>
          <w:p w14:paraId="1BFBEB7B"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2A858522"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5F512CB6"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2DE5C48D" w14:textId="77777777" w:rsidTr="009B4686">
        <w:tc>
          <w:tcPr>
            <w:tcW w:w="1710" w:type="dxa"/>
          </w:tcPr>
          <w:p w14:paraId="07486427"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Administrimi i mirë</w:t>
            </w:r>
          </w:p>
        </w:tc>
        <w:tc>
          <w:tcPr>
            <w:tcW w:w="4050" w:type="dxa"/>
          </w:tcPr>
          <w:p w14:paraId="7F36D6B9"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do të bëhen procedurat administrative më të komplikuara?</w:t>
            </w:r>
          </w:p>
        </w:tc>
        <w:tc>
          <w:tcPr>
            <w:tcW w:w="810" w:type="dxa"/>
          </w:tcPr>
          <w:p w14:paraId="75D87E00" w14:textId="77777777" w:rsidR="007E1B0B" w:rsidRPr="004979D2" w:rsidRDefault="007E1B0B" w:rsidP="002B1BC6">
            <w:pPr>
              <w:spacing w:line="360" w:lineRule="auto"/>
              <w:rPr>
                <w:rFonts w:ascii="Times New Roman" w:hAnsi="Times New Roman" w:cs="Times New Roman"/>
                <w:sz w:val="24"/>
                <w:szCs w:val="24"/>
              </w:rPr>
            </w:pPr>
          </w:p>
        </w:tc>
        <w:tc>
          <w:tcPr>
            <w:tcW w:w="1080" w:type="dxa"/>
          </w:tcPr>
          <w:p w14:paraId="0D66BD84"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250" w:type="dxa"/>
          </w:tcPr>
          <w:p w14:paraId="398119A4"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28C17442"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2095CCFD"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3E6CA390" w14:textId="77777777" w:rsidTr="009B4686">
        <w:tc>
          <w:tcPr>
            <w:tcW w:w="1710" w:type="dxa"/>
          </w:tcPr>
          <w:p w14:paraId="62B2295E"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67E9D450"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A ndikohet mënyra në të cilën administrata merr vendime (transparenca, afati procedural, e drejta për qasje në një dosje, etj.)? </w:t>
            </w:r>
          </w:p>
        </w:tc>
        <w:tc>
          <w:tcPr>
            <w:tcW w:w="810" w:type="dxa"/>
          </w:tcPr>
          <w:p w14:paraId="1082E0C0" w14:textId="77777777" w:rsidR="007E1B0B" w:rsidRPr="004979D2" w:rsidRDefault="007E1B0B" w:rsidP="002B1BC6">
            <w:pPr>
              <w:spacing w:line="360" w:lineRule="auto"/>
              <w:rPr>
                <w:rFonts w:ascii="Times New Roman" w:hAnsi="Times New Roman" w:cs="Times New Roman"/>
                <w:sz w:val="24"/>
                <w:szCs w:val="24"/>
              </w:rPr>
            </w:pPr>
          </w:p>
        </w:tc>
        <w:tc>
          <w:tcPr>
            <w:tcW w:w="1080" w:type="dxa"/>
          </w:tcPr>
          <w:p w14:paraId="07F4D782"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250" w:type="dxa"/>
          </w:tcPr>
          <w:p w14:paraId="56FC3AB7"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256569EE"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3E9D9512"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70DD0EFC" w14:textId="77777777" w:rsidTr="009B4686">
        <w:tc>
          <w:tcPr>
            <w:tcW w:w="1710" w:type="dxa"/>
          </w:tcPr>
          <w:p w14:paraId="68CBA4DA"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67801B5B"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Për të drejtën penale dhe ndëshkimet e </w:t>
            </w:r>
            <w:r w:rsidRPr="004979D2">
              <w:rPr>
                <w:rFonts w:ascii="Times New Roman" w:hAnsi="Times New Roman" w:cs="Times New Roman"/>
                <w:sz w:val="24"/>
                <w:szCs w:val="24"/>
              </w:rPr>
              <w:lastRenderedPageBreak/>
              <w:t>parashikuara: a ndikohen të drejtat e të paditurit?</w:t>
            </w:r>
          </w:p>
        </w:tc>
        <w:tc>
          <w:tcPr>
            <w:tcW w:w="810" w:type="dxa"/>
          </w:tcPr>
          <w:p w14:paraId="38A65BEF" w14:textId="77777777" w:rsidR="007E1B0B" w:rsidRPr="004979D2" w:rsidRDefault="007E1B0B" w:rsidP="002B1BC6">
            <w:pPr>
              <w:spacing w:line="360" w:lineRule="auto"/>
              <w:rPr>
                <w:rFonts w:ascii="Times New Roman" w:hAnsi="Times New Roman" w:cs="Times New Roman"/>
                <w:sz w:val="24"/>
                <w:szCs w:val="24"/>
              </w:rPr>
            </w:pPr>
          </w:p>
        </w:tc>
        <w:tc>
          <w:tcPr>
            <w:tcW w:w="1080" w:type="dxa"/>
          </w:tcPr>
          <w:p w14:paraId="6121AC8D"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250" w:type="dxa"/>
          </w:tcPr>
          <w:p w14:paraId="63E5770F"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7515727B"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52D5D86F" w14:textId="77777777" w:rsidR="007E1B0B" w:rsidRPr="004979D2" w:rsidRDefault="007E1B0B" w:rsidP="002B1BC6">
            <w:pPr>
              <w:spacing w:line="360" w:lineRule="auto"/>
              <w:rPr>
                <w:rFonts w:ascii="Times New Roman" w:hAnsi="Times New Roman" w:cs="Times New Roman"/>
                <w:sz w:val="24"/>
                <w:szCs w:val="24"/>
              </w:rPr>
            </w:pPr>
          </w:p>
        </w:tc>
      </w:tr>
      <w:tr w:rsidR="007E1B0B" w:rsidRPr="004979D2" w14:paraId="1ECC6BAA" w14:textId="77777777" w:rsidTr="009B4686">
        <w:trPr>
          <w:trHeight w:val="241"/>
        </w:trPr>
        <w:tc>
          <w:tcPr>
            <w:tcW w:w="1710" w:type="dxa"/>
          </w:tcPr>
          <w:p w14:paraId="6B94D2A1" w14:textId="77777777" w:rsidR="007E1B0B" w:rsidRPr="004979D2" w:rsidRDefault="007E1B0B" w:rsidP="002B1BC6">
            <w:pPr>
              <w:spacing w:line="360" w:lineRule="auto"/>
              <w:rPr>
                <w:rFonts w:ascii="Times New Roman" w:hAnsi="Times New Roman" w:cs="Times New Roman"/>
                <w:sz w:val="24"/>
                <w:szCs w:val="24"/>
              </w:rPr>
            </w:pPr>
          </w:p>
        </w:tc>
        <w:tc>
          <w:tcPr>
            <w:tcW w:w="4050" w:type="dxa"/>
          </w:tcPr>
          <w:p w14:paraId="476158B5"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A ndikohet qasja në drejtësi?</w:t>
            </w:r>
          </w:p>
        </w:tc>
        <w:tc>
          <w:tcPr>
            <w:tcW w:w="810" w:type="dxa"/>
          </w:tcPr>
          <w:p w14:paraId="7C94F915" w14:textId="77777777" w:rsidR="007E1B0B" w:rsidRPr="004979D2" w:rsidRDefault="007E1B0B" w:rsidP="002B1BC6">
            <w:pPr>
              <w:spacing w:line="360" w:lineRule="auto"/>
              <w:rPr>
                <w:rFonts w:ascii="Times New Roman" w:hAnsi="Times New Roman" w:cs="Times New Roman"/>
                <w:sz w:val="24"/>
                <w:szCs w:val="24"/>
              </w:rPr>
            </w:pPr>
          </w:p>
        </w:tc>
        <w:tc>
          <w:tcPr>
            <w:tcW w:w="1080" w:type="dxa"/>
          </w:tcPr>
          <w:p w14:paraId="7A2498F4" w14:textId="77777777" w:rsidR="007E1B0B" w:rsidRPr="004979D2" w:rsidRDefault="007E1B0B"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x</w:t>
            </w:r>
          </w:p>
        </w:tc>
        <w:tc>
          <w:tcPr>
            <w:tcW w:w="2250" w:type="dxa"/>
          </w:tcPr>
          <w:p w14:paraId="690CD26E" w14:textId="77777777" w:rsidR="007E1B0B" w:rsidRPr="004979D2" w:rsidRDefault="007E1B0B" w:rsidP="002B1BC6">
            <w:pPr>
              <w:spacing w:line="360" w:lineRule="auto"/>
              <w:rPr>
                <w:rFonts w:ascii="Times New Roman" w:hAnsi="Times New Roman" w:cs="Times New Roman"/>
                <w:sz w:val="24"/>
                <w:szCs w:val="24"/>
              </w:rPr>
            </w:pPr>
          </w:p>
        </w:tc>
        <w:tc>
          <w:tcPr>
            <w:tcW w:w="1530" w:type="dxa"/>
          </w:tcPr>
          <w:p w14:paraId="2BF1C7AA" w14:textId="77777777" w:rsidR="007E1B0B" w:rsidRPr="004979D2" w:rsidRDefault="007E1B0B" w:rsidP="002B1BC6">
            <w:pPr>
              <w:spacing w:line="360" w:lineRule="auto"/>
              <w:rPr>
                <w:rFonts w:ascii="Times New Roman" w:hAnsi="Times New Roman" w:cs="Times New Roman"/>
                <w:sz w:val="24"/>
                <w:szCs w:val="24"/>
              </w:rPr>
            </w:pPr>
          </w:p>
        </w:tc>
        <w:tc>
          <w:tcPr>
            <w:tcW w:w="2610" w:type="dxa"/>
          </w:tcPr>
          <w:p w14:paraId="75858857" w14:textId="77777777" w:rsidR="007E1B0B" w:rsidRPr="004979D2" w:rsidRDefault="007E1B0B" w:rsidP="002B1BC6">
            <w:pPr>
              <w:spacing w:line="360" w:lineRule="auto"/>
              <w:rPr>
                <w:rFonts w:ascii="Times New Roman" w:hAnsi="Times New Roman" w:cs="Times New Roman"/>
                <w:sz w:val="24"/>
                <w:szCs w:val="24"/>
              </w:rPr>
            </w:pPr>
          </w:p>
        </w:tc>
      </w:tr>
    </w:tbl>
    <w:p w14:paraId="234B2E8E" w14:textId="77777777" w:rsidR="00DF2517" w:rsidRPr="004979D2" w:rsidRDefault="00DF2517" w:rsidP="002B1BC6">
      <w:pPr>
        <w:spacing w:line="360" w:lineRule="auto"/>
        <w:rPr>
          <w:rFonts w:ascii="Times New Roman" w:hAnsi="Times New Roman" w:cs="Times New Roman"/>
          <w:sz w:val="24"/>
          <w:szCs w:val="24"/>
        </w:rPr>
      </w:pPr>
    </w:p>
    <w:p w14:paraId="1645B03E" w14:textId="77777777" w:rsidR="001B5602" w:rsidRPr="004979D2" w:rsidRDefault="001B5602" w:rsidP="002B1BC6">
      <w:pPr>
        <w:spacing w:line="360" w:lineRule="auto"/>
        <w:rPr>
          <w:rFonts w:ascii="Times New Roman" w:hAnsi="Times New Roman" w:cs="Times New Roman"/>
          <w:sz w:val="24"/>
          <w:szCs w:val="24"/>
        </w:rPr>
      </w:pPr>
    </w:p>
    <w:p w14:paraId="0A86E5E9" w14:textId="77777777" w:rsidR="001B5602" w:rsidRPr="004979D2" w:rsidRDefault="001B5602" w:rsidP="002B1BC6">
      <w:pPr>
        <w:spacing w:line="360" w:lineRule="auto"/>
        <w:rPr>
          <w:rFonts w:ascii="Times New Roman" w:hAnsi="Times New Roman" w:cs="Times New Roman"/>
          <w:sz w:val="24"/>
          <w:szCs w:val="24"/>
        </w:rPr>
      </w:pPr>
    </w:p>
    <w:p w14:paraId="742ED5A3" w14:textId="77777777" w:rsidR="001B5602" w:rsidRPr="004979D2" w:rsidRDefault="001B5602" w:rsidP="002B1BC6">
      <w:pPr>
        <w:spacing w:line="360" w:lineRule="auto"/>
        <w:rPr>
          <w:rFonts w:ascii="Times New Roman" w:hAnsi="Times New Roman" w:cs="Times New Roman"/>
          <w:sz w:val="24"/>
          <w:szCs w:val="24"/>
        </w:rPr>
      </w:pPr>
    </w:p>
    <w:p w14:paraId="43C6BEAF" w14:textId="77777777" w:rsidR="001B5602" w:rsidRPr="004979D2" w:rsidRDefault="001B5602" w:rsidP="002B1BC6">
      <w:pPr>
        <w:spacing w:line="360" w:lineRule="auto"/>
        <w:rPr>
          <w:rFonts w:ascii="Times New Roman" w:hAnsi="Times New Roman" w:cs="Times New Roman"/>
          <w:sz w:val="24"/>
          <w:szCs w:val="24"/>
        </w:rPr>
      </w:pPr>
    </w:p>
    <w:p w14:paraId="3A8E0BC7" w14:textId="77777777" w:rsidR="001B5602" w:rsidRPr="004979D2" w:rsidRDefault="001B5602" w:rsidP="002B1BC6">
      <w:pPr>
        <w:spacing w:line="360" w:lineRule="auto"/>
        <w:rPr>
          <w:rFonts w:ascii="Times New Roman" w:hAnsi="Times New Roman" w:cs="Times New Roman"/>
          <w:sz w:val="24"/>
          <w:szCs w:val="24"/>
        </w:rPr>
      </w:pPr>
    </w:p>
    <w:p w14:paraId="7666A0B7" w14:textId="77777777" w:rsidR="001B5602" w:rsidRPr="004979D2" w:rsidRDefault="001B5602" w:rsidP="002B1BC6">
      <w:pPr>
        <w:spacing w:line="360" w:lineRule="auto"/>
        <w:rPr>
          <w:rFonts w:ascii="Times New Roman" w:hAnsi="Times New Roman" w:cs="Times New Roman"/>
          <w:sz w:val="24"/>
          <w:szCs w:val="24"/>
        </w:rPr>
      </w:pPr>
    </w:p>
    <w:p w14:paraId="5A307B00" w14:textId="77777777" w:rsidR="001B5602" w:rsidRPr="004979D2" w:rsidRDefault="001B5602" w:rsidP="002B1BC6">
      <w:pPr>
        <w:spacing w:line="360" w:lineRule="auto"/>
        <w:rPr>
          <w:rFonts w:ascii="Times New Roman" w:hAnsi="Times New Roman" w:cs="Times New Roman"/>
          <w:sz w:val="24"/>
          <w:szCs w:val="24"/>
        </w:rPr>
      </w:pPr>
    </w:p>
    <w:p w14:paraId="10EB85D8" w14:textId="77777777" w:rsidR="001B5602" w:rsidRPr="004979D2" w:rsidRDefault="001B5602" w:rsidP="002B1BC6">
      <w:pPr>
        <w:spacing w:line="360" w:lineRule="auto"/>
        <w:rPr>
          <w:rFonts w:ascii="Times New Roman" w:hAnsi="Times New Roman" w:cs="Times New Roman"/>
          <w:sz w:val="24"/>
          <w:szCs w:val="24"/>
        </w:rPr>
      </w:pPr>
    </w:p>
    <w:p w14:paraId="367A76F4" w14:textId="77777777" w:rsidR="001B5602" w:rsidRPr="004979D2" w:rsidRDefault="001B5602" w:rsidP="002B1BC6">
      <w:pPr>
        <w:spacing w:line="360" w:lineRule="auto"/>
        <w:rPr>
          <w:rFonts w:ascii="Times New Roman" w:hAnsi="Times New Roman" w:cs="Times New Roman"/>
          <w:sz w:val="24"/>
          <w:szCs w:val="24"/>
        </w:rPr>
      </w:pPr>
    </w:p>
    <w:p w14:paraId="13322D0F" w14:textId="77777777" w:rsidR="001B5602" w:rsidRPr="004979D2" w:rsidRDefault="001B5602" w:rsidP="002B1BC6">
      <w:pPr>
        <w:spacing w:line="360" w:lineRule="auto"/>
        <w:rPr>
          <w:rFonts w:ascii="Times New Roman" w:hAnsi="Times New Roman" w:cs="Times New Roman"/>
          <w:sz w:val="24"/>
          <w:szCs w:val="24"/>
        </w:rPr>
      </w:pPr>
    </w:p>
    <w:p w14:paraId="06F757B1" w14:textId="77777777" w:rsidR="001B5602" w:rsidRPr="004979D2" w:rsidRDefault="001B5602" w:rsidP="002B1BC6">
      <w:pPr>
        <w:spacing w:line="360" w:lineRule="auto"/>
        <w:rPr>
          <w:rFonts w:ascii="Times New Roman" w:hAnsi="Times New Roman" w:cs="Times New Roman"/>
          <w:sz w:val="24"/>
          <w:szCs w:val="24"/>
        </w:rPr>
      </w:pPr>
    </w:p>
    <w:p w14:paraId="59EBE077" w14:textId="77777777" w:rsidR="001B5602" w:rsidRPr="004979D2" w:rsidRDefault="001B5602" w:rsidP="002B1BC6">
      <w:pPr>
        <w:spacing w:line="360" w:lineRule="auto"/>
        <w:rPr>
          <w:rFonts w:ascii="Times New Roman" w:hAnsi="Times New Roman" w:cs="Times New Roman"/>
          <w:sz w:val="24"/>
          <w:szCs w:val="24"/>
        </w:rPr>
      </w:pPr>
    </w:p>
    <w:p w14:paraId="490F13CA" w14:textId="77777777" w:rsidR="001B5602" w:rsidRPr="004979D2" w:rsidRDefault="001B5602" w:rsidP="002B1BC6">
      <w:pPr>
        <w:spacing w:line="360" w:lineRule="auto"/>
        <w:rPr>
          <w:rFonts w:ascii="Times New Roman" w:hAnsi="Times New Roman" w:cs="Times New Roman"/>
          <w:sz w:val="24"/>
          <w:szCs w:val="24"/>
        </w:rPr>
      </w:pPr>
    </w:p>
    <w:p w14:paraId="62770F10" w14:textId="77777777" w:rsidR="001B5602" w:rsidRPr="004979D2" w:rsidRDefault="001B5602" w:rsidP="002B1BC6">
      <w:pPr>
        <w:spacing w:line="360" w:lineRule="auto"/>
        <w:rPr>
          <w:rFonts w:ascii="Times New Roman" w:hAnsi="Times New Roman" w:cs="Times New Roman"/>
          <w:sz w:val="24"/>
          <w:szCs w:val="24"/>
        </w:rPr>
      </w:pPr>
    </w:p>
    <w:p w14:paraId="0C89BB1F" w14:textId="77777777" w:rsidR="001B5602" w:rsidRPr="004979D2" w:rsidRDefault="001B5602" w:rsidP="002B1BC6">
      <w:pPr>
        <w:spacing w:line="360" w:lineRule="auto"/>
        <w:rPr>
          <w:rFonts w:ascii="Times New Roman" w:hAnsi="Times New Roman" w:cs="Times New Roman"/>
          <w:sz w:val="24"/>
          <w:szCs w:val="24"/>
        </w:rPr>
      </w:pPr>
    </w:p>
    <w:p w14:paraId="1ADC53BB" w14:textId="77777777" w:rsidR="001B5602" w:rsidRPr="004979D2" w:rsidRDefault="001B5602" w:rsidP="002B1BC6">
      <w:pPr>
        <w:spacing w:line="360" w:lineRule="auto"/>
        <w:rPr>
          <w:rFonts w:ascii="Times New Roman" w:hAnsi="Times New Roman" w:cs="Times New Roman"/>
          <w:sz w:val="24"/>
          <w:szCs w:val="24"/>
        </w:rPr>
      </w:pPr>
    </w:p>
    <w:p w14:paraId="1184DAA5" w14:textId="77777777" w:rsidR="001B5602" w:rsidRPr="004979D2" w:rsidRDefault="001B5602" w:rsidP="002B1BC6">
      <w:pPr>
        <w:spacing w:line="360" w:lineRule="auto"/>
        <w:rPr>
          <w:rFonts w:ascii="Times New Roman" w:hAnsi="Times New Roman" w:cs="Times New Roman"/>
          <w:sz w:val="24"/>
          <w:szCs w:val="24"/>
        </w:rPr>
      </w:pPr>
    </w:p>
    <w:p w14:paraId="30C497C7" w14:textId="77777777" w:rsidR="009E2F9D" w:rsidRPr="004979D2" w:rsidRDefault="009E2F9D" w:rsidP="002B1BC6">
      <w:pPr>
        <w:pStyle w:val="Heading1"/>
        <w:spacing w:line="360" w:lineRule="auto"/>
        <w:rPr>
          <w:rFonts w:ascii="Times New Roman" w:hAnsi="Times New Roman" w:cs="Times New Roman"/>
          <w:sz w:val="24"/>
          <w:szCs w:val="24"/>
        </w:rPr>
      </w:pPr>
      <w:bookmarkStart w:id="57" w:name="_Toc1114341"/>
      <w:r w:rsidRPr="004979D2">
        <w:rPr>
          <w:rFonts w:ascii="Times New Roman" w:hAnsi="Times New Roman" w:cs="Times New Roman"/>
          <w:sz w:val="24"/>
          <w:szCs w:val="24"/>
        </w:rPr>
        <w:t>Shtojca 5:</w:t>
      </w:r>
      <w:r w:rsidR="006E0FB3" w:rsidRPr="004979D2">
        <w:rPr>
          <w:rFonts w:ascii="Times New Roman" w:hAnsi="Times New Roman" w:cs="Times New Roman"/>
          <w:sz w:val="24"/>
          <w:szCs w:val="24"/>
        </w:rPr>
        <w:t xml:space="preserve"> Takimi publik me palët e interesit</w:t>
      </w:r>
      <w:bookmarkEnd w:id="57"/>
    </w:p>
    <w:p w14:paraId="00FF6ABD" w14:textId="77777777" w:rsidR="009E2F9D" w:rsidRPr="004979D2" w:rsidRDefault="009E2F9D" w:rsidP="002B1BC6">
      <w:pPr>
        <w:spacing w:line="360" w:lineRule="auto"/>
        <w:rPr>
          <w:rFonts w:ascii="Times New Roman" w:hAnsi="Times New Roman" w:cs="Times New Roman"/>
          <w:sz w:val="24"/>
          <w:szCs w:val="24"/>
        </w:rPr>
      </w:pPr>
    </w:p>
    <w:p w14:paraId="61AE8609" w14:textId="77777777" w:rsidR="009E2F9D" w:rsidRPr="004979D2" w:rsidRDefault="00670515" w:rsidP="002B1BC6">
      <w:pPr>
        <w:spacing w:line="360" w:lineRule="auto"/>
        <w:rPr>
          <w:rStyle w:val="Hyperlink"/>
          <w:rFonts w:ascii="Times New Roman" w:hAnsi="Times New Roman" w:cs="Times New Roman"/>
          <w:sz w:val="24"/>
          <w:szCs w:val="24"/>
        </w:rPr>
      </w:pPr>
      <w:hyperlink r:id="rId38" w:history="1">
        <w:r w:rsidR="009E2F9D" w:rsidRPr="004979D2">
          <w:rPr>
            <w:rStyle w:val="Hyperlink"/>
            <w:rFonts w:ascii="Times New Roman" w:hAnsi="Times New Roman" w:cs="Times New Roman"/>
            <w:sz w:val="24"/>
            <w:szCs w:val="24"/>
          </w:rPr>
          <w:t>https://mti.rks-gov.net/Page.aspx?id=1,%203,683</w:t>
        </w:r>
      </w:hyperlink>
    </w:p>
    <w:p w14:paraId="7F58FC01" w14:textId="77777777" w:rsidR="001B5602" w:rsidRPr="004979D2" w:rsidRDefault="001B5602" w:rsidP="002B1BC6">
      <w:pPr>
        <w:spacing w:line="360" w:lineRule="auto"/>
        <w:rPr>
          <w:rFonts w:ascii="Times New Roman" w:hAnsi="Times New Roman" w:cs="Times New Roman"/>
          <w:sz w:val="24"/>
          <w:szCs w:val="24"/>
        </w:rPr>
      </w:pPr>
    </w:p>
    <w:p w14:paraId="13C8BDE2" w14:textId="77777777" w:rsidR="009E2F9D" w:rsidRPr="004979D2" w:rsidRDefault="009E2F9D" w:rsidP="002B1BC6">
      <w:pPr>
        <w:spacing w:line="360" w:lineRule="auto"/>
        <w:jc w:val="center"/>
        <w:rPr>
          <w:rFonts w:ascii="Times New Roman" w:hAnsi="Times New Roman" w:cs="Times New Roman"/>
          <w:sz w:val="24"/>
          <w:szCs w:val="24"/>
        </w:rPr>
      </w:pPr>
      <w:r w:rsidRPr="004979D2">
        <w:rPr>
          <w:rFonts w:ascii="Times New Roman" w:hAnsi="Times New Roman" w:cs="Times New Roman"/>
          <w:noProof/>
          <w:sz w:val="24"/>
          <w:szCs w:val="24"/>
          <w:lang w:val="en-US"/>
        </w:rPr>
        <w:drawing>
          <wp:inline distT="0" distB="0" distL="0" distR="0" wp14:anchorId="4A9B83A0" wp14:editId="4B15692A">
            <wp:extent cx="5830114" cy="3019846"/>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39">
                      <a:extLst>
                        <a:ext uri="{28A0092B-C50C-407E-A947-70E740481C1C}">
                          <a14:useLocalDpi xmlns:a14="http://schemas.microsoft.com/office/drawing/2010/main" val="0"/>
                        </a:ext>
                      </a:extLst>
                    </a:blip>
                    <a:stretch>
                      <a:fillRect/>
                    </a:stretch>
                  </pic:blipFill>
                  <pic:spPr>
                    <a:xfrm>
                      <a:off x="0" y="0"/>
                      <a:ext cx="5830114" cy="3019846"/>
                    </a:xfrm>
                    <a:prstGeom prst="rect">
                      <a:avLst/>
                    </a:prstGeom>
                  </pic:spPr>
                </pic:pic>
              </a:graphicData>
            </a:graphic>
          </wp:inline>
        </w:drawing>
      </w:r>
    </w:p>
    <w:p w14:paraId="172942F9" w14:textId="77777777" w:rsidR="009E2F9D" w:rsidRPr="004979D2" w:rsidRDefault="009E2F9D" w:rsidP="002B1BC6">
      <w:pPr>
        <w:spacing w:line="360" w:lineRule="auto"/>
        <w:jc w:val="center"/>
        <w:rPr>
          <w:rFonts w:ascii="Times New Roman" w:hAnsi="Times New Roman" w:cs="Times New Roman"/>
          <w:sz w:val="24"/>
          <w:szCs w:val="24"/>
        </w:rPr>
      </w:pPr>
      <w:r w:rsidRPr="004979D2">
        <w:rPr>
          <w:rFonts w:ascii="Times New Roman" w:hAnsi="Times New Roman" w:cs="Times New Roman"/>
          <w:noProof/>
          <w:sz w:val="24"/>
          <w:szCs w:val="24"/>
          <w:lang w:val="en-US"/>
        </w:rPr>
        <w:lastRenderedPageBreak/>
        <w:drawing>
          <wp:inline distT="0" distB="0" distL="0" distR="0" wp14:anchorId="0F705A82" wp14:editId="644CF66E">
            <wp:extent cx="5792008" cy="3019846"/>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40">
                      <a:extLst>
                        <a:ext uri="{28A0092B-C50C-407E-A947-70E740481C1C}">
                          <a14:useLocalDpi xmlns:a14="http://schemas.microsoft.com/office/drawing/2010/main" val="0"/>
                        </a:ext>
                      </a:extLst>
                    </a:blip>
                    <a:stretch>
                      <a:fillRect/>
                    </a:stretch>
                  </pic:blipFill>
                  <pic:spPr>
                    <a:xfrm>
                      <a:off x="0" y="0"/>
                      <a:ext cx="5792008" cy="3019846"/>
                    </a:xfrm>
                    <a:prstGeom prst="rect">
                      <a:avLst/>
                    </a:prstGeom>
                  </pic:spPr>
                </pic:pic>
              </a:graphicData>
            </a:graphic>
          </wp:inline>
        </w:drawing>
      </w:r>
    </w:p>
    <w:p w14:paraId="24FB02F4" w14:textId="77777777" w:rsidR="009E2F9D" w:rsidRPr="004979D2" w:rsidRDefault="009E2F9D" w:rsidP="002B1BC6">
      <w:pPr>
        <w:spacing w:line="360" w:lineRule="auto"/>
        <w:rPr>
          <w:rFonts w:ascii="Times New Roman" w:hAnsi="Times New Roman" w:cs="Times New Roman"/>
          <w:sz w:val="24"/>
          <w:szCs w:val="24"/>
        </w:rPr>
      </w:pPr>
    </w:p>
    <w:p w14:paraId="4CAD22D5" w14:textId="77777777" w:rsidR="009E2F9D" w:rsidRPr="004979D2" w:rsidRDefault="009E2F9D" w:rsidP="002B1BC6">
      <w:pPr>
        <w:spacing w:line="360" w:lineRule="auto"/>
        <w:rPr>
          <w:rFonts w:ascii="Times New Roman" w:hAnsi="Times New Roman" w:cs="Times New Roman"/>
          <w:sz w:val="24"/>
          <w:szCs w:val="24"/>
        </w:rPr>
      </w:pPr>
    </w:p>
    <w:p w14:paraId="291E1734" w14:textId="77777777" w:rsidR="006E0FB3" w:rsidRPr="004979D2" w:rsidRDefault="006E0FB3" w:rsidP="002B1BC6">
      <w:pPr>
        <w:spacing w:line="360" w:lineRule="auto"/>
        <w:rPr>
          <w:rFonts w:ascii="Times New Roman" w:hAnsi="Times New Roman" w:cs="Times New Roman"/>
          <w:sz w:val="24"/>
          <w:szCs w:val="24"/>
        </w:rPr>
      </w:pPr>
    </w:p>
    <w:p w14:paraId="026CE6DC" w14:textId="77777777" w:rsidR="006E0FB3" w:rsidRPr="004979D2" w:rsidRDefault="006E0FB3" w:rsidP="002B1BC6">
      <w:pPr>
        <w:spacing w:line="360" w:lineRule="auto"/>
        <w:rPr>
          <w:rFonts w:ascii="Times New Roman" w:hAnsi="Times New Roman" w:cs="Times New Roman"/>
          <w:sz w:val="24"/>
          <w:szCs w:val="24"/>
        </w:rPr>
      </w:pPr>
    </w:p>
    <w:p w14:paraId="26E1258B" w14:textId="77777777" w:rsidR="006E0FB3" w:rsidRPr="004979D2" w:rsidRDefault="006E0FB3" w:rsidP="002B1BC6">
      <w:pPr>
        <w:spacing w:line="360" w:lineRule="auto"/>
        <w:rPr>
          <w:rFonts w:ascii="Times New Roman" w:hAnsi="Times New Roman" w:cs="Times New Roman"/>
          <w:sz w:val="24"/>
          <w:szCs w:val="24"/>
        </w:rPr>
      </w:pPr>
    </w:p>
    <w:p w14:paraId="266A1201" w14:textId="77777777" w:rsidR="006E0FB3" w:rsidRPr="004979D2" w:rsidRDefault="006E0FB3" w:rsidP="002B1BC6">
      <w:pPr>
        <w:spacing w:line="360" w:lineRule="auto"/>
        <w:rPr>
          <w:rFonts w:ascii="Times New Roman" w:hAnsi="Times New Roman" w:cs="Times New Roman"/>
          <w:sz w:val="24"/>
          <w:szCs w:val="24"/>
        </w:rPr>
      </w:pPr>
    </w:p>
    <w:p w14:paraId="4E4165F0" w14:textId="77777777" w:rsidR="006E0FB3" w:rsidRPr="004979D2" w:rsidRDefault="006E0FB3" w:rsidP="002B1BC6">
      <w:pPr>
        <w:spacing w:line="360" w:lineRule="auto"/>
        <w:rPr>
          <w:rFonts w:ascii="Times New Roman" w:hAnsi="Times New Roman" w:cs="Times New Roman"/>
          <w:sz w:val="24"/>
          <w:szCs w:val="24"/>
        </w:rPr>
      </w:pPr>
    </w:p>
    <w:p w14:paraId="3DF07D28" w14:textId="77777777" w:rsidR="006E0FB3" w:rsidRPr="004979D2" w:rsidRDefault="006E0FB3" w:rsidP="002B1BC6">
      <w:pPr>
        <w:spacing w:line="360" w:lineRule="auto"/>
        <w:rPr>
          <w:rFonts w:ascii="Times New Roman" w:hAnsi="Times New Roman" w:cs="Times New Roman"/>
          <w:sz w:val="24"/>
          <w:szCs w:val="24"/>
        </w:rPr>
      </w:pPr>
    </w:p>
    <w:p w14:paraId="4DFE409F" w14:textId="77777777" w:rsidR="006E0FB3" w:rsidRPr="004979D2" w:rsidRDefault="006E0FB3" w:rsidP="002B1BC6">
      <w:pPr>
        <w:spacing w:line="360" w:lineRule="auto"/>
        <w:rPr>
          <w:rFonts w:ascii="Times New Roman" w:hAnsi="Times New Roman" w:cs="Times New Roman"/>
          <w:sz w:val="24"/>
          <w:szCs w:val="24"/>
        </w:rPr>
      </w:pPr>
    </w:p>
    <w:p w14:paraId="2E01EC7A" w14:textId="77777777" w:rsidR="006E0FB3" w:rsidRPr="004979D2" w:rsidRDefault="006E0FB3" w:rsidP="002B1BC6">
      <w:pPr>
        <w:spacing w:line="360" w:lineRule="auto"/>
        <w:rPr>
          <w:rFonts w:ascii="Times New Roman" w:hAnsi="Times New Roman" w:cs="Times New Roman"/>
          <w:sz w:val="24"/>
          <w:szCs w:val="24"/>
        </w:rPr>
      </w:pPr>
    </w:p>
    <w:p w14:paraId="1AD9E08F" w14:textId="77777777" w:rsidR="009E2F9D" w:rsidRPr="004979D2" w:rsidRDefault="009E2F9D" w:rsidP="002B1BC6">
      <w:pPr>
        <w:spacing w:line="360" w:lineRule="auto"/>
        <w:rPr>
          <w:rFonts w:ascii="Times New Roman" w:hAnsi="Times New Roman" w:cs="Times New Roman"/>
          <w:sz w:val="24"/>
          <w:szCs w:val="24"/>
        </w:rPr>
      </w:pPr>
      <w:r w:rsidRPr="004979D2">
        <w:rPr>
          <w:rFonts w:ascii="Times New Roman" w:hAnsi="Times New Roman" w:cs="Times New Roman"/>
          <w:sz w:val="24"/>
          <w:szCs w:val="24"/>
        </w:rPr>
        <w:t xml:space="preserve">Edhe disa media raportuan për këtë takim, siç mund të shihet në </w:t>
      </w:r>
      <w:proofErr w:type="spellStart"/>
      <w:r w:rsidRPr="004979D2">
        <w:rPr>
          <w:rFonts w:ascii="Times New Roman" w:hAnsi="Times New Roman" w:cs="Times New Roman"/>
          <w:sz w:val="24"/>
          <w:szCs w:val="24"/>
        </w:rPr>
        <w:t>webfaqen</w:t>
      </w:r>
      <w:proofErr w:type="spellEnd"/>
      <w:r w:rsidRPr="004979D2">
        <w:rPr>
          <w:rFonts w:ascii="Times New Roman" w:hAnsi="Times New Roman" w:cs="Times New Roman"/>
          <w:sz w:val="24"/>
          <w:szCs w:val="24"/>
        </w:rPr>
        <w:t xml:space="preserve"> e RTK-së</w:t>
      </w:r>
    </w:p>
    <w:p w14:paraId="3388986E" w14:textId="77777777" w:rsidR="009E2F9D" w:rsidRPr="004979D2" w:rsidRDefault="00670515" w:rsidP="002B1BC6">
      <w:pPr>
        <w:spacing w:line="360" w:lineRule="auto"/>
        <w:rPr>
          <w:rStyle w:val="Hyperlink"/>
          <w:rFonts w:ascii="Times New Roman" w:hAnsi="Times New Roman" w:cs="Times New Roman"/>
          <w:sz w:val="24"/>
          <w:szCs w:val="24"/>
        </w:rPr>
      </w:pPr>
      <w:hyperlink r:id="rId41" w:history="1">
        <w:r w:rsidR="009E2F9D" w:rsidRPr="004979D2">
          <w:rPr>
            <w:rStyle w:val="Hyperlink"/>
            <w:rFonts w:ascii="Times New Roman" w:hAnsi="Times New Roman" w:cs="Times New Roman"/>
            <w:sz w:val="24"/>
            <w:szCs w:val="24"/>
          </w:rPr>
          <w:t>https://www.rtklive.com/sq/news-single.php?ID=284392</w:t>
        </w:r>
      </w:hyperlink>
    </w:p>
    <w:p w14:paraId="1A4C7C92" w14:textId="77777777" w:rsidR="001B5602" w:rsidRPr="004979D2" w:rsidRDefault="001B5602" w:rsidP="002B1BC6">
      <w:pPr>
        <w:spacing w:line="360" w:lineRule="auto"/>
        <w:rPr>
          <w:rFonts w:ascii="Times New Roman" w:hAnsi="Times New Roman" w:cs="Times New Roman"/>
          <w:sz w:val="24"/>
          <w:szCs w:val="24"/>
        </w:rPr>
      </w:pPr>
    </w:p>
    <w:p w14:paraId="0353A0E5" w14:textId="77777777" w:rsidR="009E2F9D" w:rsidRPr="004979D2" w:rsidRDefault="009E2F9D" w:rsidP="002B1BC6">
      <w:pPr>
        <w:spacing w:line="360" w:lineRule="auto"/>
        <w:jc w:val="center"/>
        <w:rPr>
          <w:rFonts w:ascii="Times New Roman" w:hAnsi="Times New Roman" w:cs="Times New Roman"/>
          <w:sz w:val="24"/>
          <w:szCs w:val="24"/>
        </w:rPr>
      </w:pPr>
      <w:r w:rsidRPr="004979D2">
        <w:rPr>
          <w:rFonts w:ascii="Times New Roman" w:hAnsi="Times New Roman" w:cs="Times New Roman"/>
          <w:noProof/>
          <w:sz w:val="24"/>
          <w:szCs w:val="24"/>
          <w:lang w:val="en-US"/>
        </w:rPr>
        <w:drawing>
          <wp:inline distT="0" distB="0" distL="0" distR="0" wp14:anchorId="7796C58E" wp14:editId="6E25D27E">
            <wp:extent cx="5877745" cy="3019846"/>
            <wp:effectExtent l="0" t="0" r="889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42">
                      <a:extLst>
                        <a:ext uri="{28A0092B-C50C-407E-A947-70E740481C1C}">
                          <a14:useLocalDpi xmlns:a14="http://schemas.microsoft.com/office/drawing/2010/main" val="0"/>
                        </a:ext>
                      </a:extLst>
                    </a:blip>
                    <a:stretch>
                      <a:fillRect/>
                    </a:stretch>
                  </pic:blipFill>
                  <pic:spPr>
                    <a:xfrm>
                      <a:off x="0" y="0"/>
                      <a:ext cx="5877745" cy="3019846"/>
                    </a:xfrm>
                    <a:prstGeom prst="rect">
                      <a:avLst/>
                    </a:prstGeom>
                  </pic:spPr>
                </pic:pic>
              </a:graphicData>
            </a:graphic>
          </wp:inline>
        </w:drawing>
      </w:r>
    </w:p>
    <w:p w14:paraId="3A5018FB" w14:textId="77777777" w:rsidR="009E2F9D" w:rsidRPr="004979D2" w:rsidRDefault="009E2F9D" w:rsidP="002B1BC6">
      <w:pPr>
        <w:spacing w:line="360" w:lineRule="auto"/>
        <w:jc w:val="center"/>
        <w:rPr>
          <w:rFonts w:ascii="Times New Roman" w:hAnsi="Times New Roman" w:cs="Times New Roman"/>
          <w:sz w:val="24"/>
          <w:szCs w:val="24"/>
        </w:rPr>
      </w:pPr>
      <w:r w:rsidRPr="004979D2">
        <w:rPr>
          <w:rFonts w:ascii="Times New Roman" w:hAnsi="Times New Roman" w:cs="Times New Roman"/>
          <w:noProof/>
          <w:sz w:val="24"/>
          <w:szCs w:val="24"/>
          <w:lang w:val="en-US"/>
        </w:rPr>
        <w:lastRenderedPageBreak/>
        <w:drawing>
          <wp:inline distT="0" distB="0" distL="0" distR="0" wp14:anchorId="3C0919FE" wp14:editId="4437069B">
            <wp:extent cx="5849166" cy="2676899"/>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43">
                      <a:extLst>
                        <a:ext uri="{28A0092B-C50C-407E-A947-70E740481C1C}">
                          <a14:useLocalDpi xmlns:a14="http://schemas.microsoft.com/office/drawing/2010/main" val="0"/>
                        </a:ext>
                      </a:extLst>
                    </a:blip>
                    <a:stretch>
                      <a:fillRect/>
                    </a:stretch>
                  </pic:blipFill>
                  <pic:spPr>
                    <a:xfrm>
                      <a:off x="0" y="0"/>
                      <a:ext cx="5849166" cy="2676899"/>
                    </a:xfrm>
                    <a:prstGeom prst="rect">
                      <a:avLst/>
                    </a:prstGeom>
                  </pic:spPr>
                </pic:pic>
              </a:graphicData>
            </a:graphic>
          </wp:inline>
        </w:drawing>
      </w:r>
    </w:p>
    <w:p w14:paraId="2DDB19F9" w14:textId="77777777" w:rsidR="009E2F9D" w:rsidRPr="004979D2" w:rsidRDefault="009E2F9D" w:rsidP="002B1BC6">
      <w:pPr>
        <w:spacing w:line="360" w:lineRule="auto"/>
        <w:jc w:val="center"/>
        <w:rPr>
          <w:rFonts w:ascii="Times New Roman" w:hAnsi="Times New Roman" w:cs="Times New Roman"/>
          <w:sz w:val="24"/>
          <w:szCs w:val="24"/>
        </w:rPr>
      </w:pPr>
      <w:r w:rsidRPr="004979D2">
        <w:rPr>
          <w:rFonts w:ascii="Times New Roman" w:hAnsi="Times New Roman" w:cs="Times New Roman"/>
          <w:noProof/>
          <w:sz w:val="24"/>
          <w:szCs w:val="24"/>
          <w:lang w:val="en-US"/>
        </w:rPr>
        <w:drawing>
          <wp:inline distT="0" distB="0" distL="0" distR="0" wp14:anchorId="0E054047" wp14:editId="7A7FA0B5">
            <wp:extent cx="5887272" cy="302937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2.png"/>
                    <pic:cNvPicPr/>
                  </pic:nvPicPr>
                  <pic:blipFill>
                    <a:blip r:embed="rId44">
                      <a:extLst>
                        <a:ext uri="{28A0092B-C50C-407E-A947-70E740481C1C}">
                          <a14:useLocalDpi xmlns:a14="http://schemas.microsoft.com/office/drawing/2010/main" val="0"/>
                        </a:ext>
                      </a:extLst>
                    </a:blip>
                    <a:stretch>
                      <a:fillRect/>
                    </a:stretch>
                  </pic:blipFill>
                  <pic:spPr>
                    <a:xfrm>
                      <a:off x="0" y="0"/>
                      <a:ext cx="5887272" cy="3029373"/>
                    </a:xfrm>
                    <a:prstGeom prst="rect">
                      <a:avLst/>
                    </a:prstGeom>
                  </pic:spPr>
                </pic:pic>
              </a:graphicData>
            </a:graphic>
          </wp:inline>
        </w:drawing>
      </w:r>
    </w:p>
    <w:p w14:paraId="49802632" w14:textId="77777777" w:rsidR="009E2F9D" w:rsidRPr="004979D2" w:rsidRDefault="009E2F9D" w:rsidP="002B1BC6">
      <w:pPr>
        <w:spacing w:line="360" w:lineRule="auto"/>
        <w:rPr>
          <w:rFonts w:ascii="Times New Roman" w:hAnsi="Times New Roman" w:cs="Times New Roman"/>
          <w:sz w:val="24"/>
          <w:szCs w:val="24"/>
        </w:rPr>
      </w:pPr>
    </w:p>
    <w:sectPr w:rsidR="009E2F9D" w:rsidRPr="004979D2" w:rsidSect="00DF2517">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002941" w15:done="0"/>
  <w15:commentEx w15:paraId="78F498E6" w15:done="0"/>
  <w15:commentEx w15:paraId="30973FB0" w15:done="0"/>
  <w15:commentEx w15:paraId="35731296" w15:done="0"/>
  <w15:commentEx w15:paraId="1A9CE18E" w15:done="0"/>
  <w15:commentEx w15:paraId="0F85CEFE" w15:done="0"/>
  <w15:commentEx w15:paraId="1B62A7EA" w15:done="0"/>
  <w15:commentEx w15:paraId="01FE31F7" w15:done="0"/>
  <w15:commentEx w15:paraId="0FCF72AD" w15:done="0"/>
  <w15:commentEx w15:paraId="246F1531" w15:done="0"/>
  <w15:commentEx w15:paraId="548CC813" w15:done="0"/>
  <w15:commentEx w15:paraId="37E461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A9EA56" w16cid:durableId="1FE988DF"/>
  <w16cid:commentId w16cid:paraId="4242DDCF" w16cid:durableId="1FE989D2"/>
  <w16cid:commentId w16cid:paraId="7581F326" w16cid:durableId="1FE98A6B"/>
  <w16cid:commentId w16cid:paraId="68F6CE38" w16cid:durableId="1FE98C4B"/>
  <w16cid:commentId w16cid:paraId="02943B23" w16cid:durableId="1FE98CB6"/>
  <w16cid:commentId w16cid:paraId="27E5EECD" w16cid:durableId="1FE98B30"/>
  <w16cid:commentId w16cid:paraId="2E1D8847" w16cid:durableId="1FE98C29"/>
  <w16cid:commentId w16cid:paraId="3D2AEF5A" w16cid:durableId="1FE98CE4"/>
  <w16cid:commentId w16cid:paraId="0D63FB38" w16cid:durableId="1FE988E0"/>
  <w16cid:commentId w16cid:paraId="3E8BEAB5" w16cid:durableId="1FE988E1"/>
  <w16cid:commentId w16cid:paraId="744647AC" w16cid:durableId="1FE988E2"/>
  <w16cid:commentId w16cid:paraId="2271A72D" w16cid:durableId="1FE988E3"/>
  <w16cid:commentId w16cid:paraId="3E1E3E32" w16cid:durableId="1FE988E4"/>
  <w16cid:commentId w16cid:paraId="534F34FA" w16cid:durableId="1FE98D36"/>
  <w16cid:commentId w16cid:paraId="0CA921DC" w16cid:durableId="1FE988E5"/>
  <w16cid:commentId w16cid:paraId="01857C0D" w16cid:durableId="1FE98E29"/>
  <w16cid:commentId w16cid:paraId="48E2367D" w16cid:durableId="1FE988E6"/>
  <w16cid:commentId w16cid:paraId="31B578E0" w16cid:durableId="1FE98E6A"/>
  <w16cid:commentId w16cid:paraId="05CF68CF" w16cid:durableId="1FE988E7"/>
  <w16cid:commentId w16cid:paraId="30E42C74" w16cid:durableId="1FE988E8"/>
  <w16cid:commentId w16cid:paraId="5590CBFC" w16cid:durableId="1FE988E9"/>
  <w16cid:commentId w16cid:paraId="013ADC4F" w16cid:durableId="1FE988EA"/>
  <w16cid:commentId w16cid:paraId="3BCCCB53" w16cid:durableId="1FE988EB"/>
  <w16cid:commentId w16cid:paraId="35C3B8E8" w16cid:durableId="1FE988EC"/>
  <w16cid:commentId w16cid:paraId="41C6CF74" w16cid:durableId="1FE98EDB"/>
  <w16cid:commentId w16cid:paraId="71D6BD1F" w16cid:durableId="1FE988ED"/>
  <w16cid:commentId w16cid:paraId="6DE0C210" w16cid:durableId="1FE988EE"/>
  <w16cid:commentId w16cid:paraId="176443D5" w16cid:durableId="1FE988EF"/>
  <w16cid:commentId w16cid:paraId="4A908DFD" w16cid:durableId="1FE988F0"/>
  <w16cid:commentId w16cid:paraId="4C371E80" w16cid:durableId="1FE988F1"/>
  <w16cid:commentId w16cid:paraId="126DD955" w16cid:durableId="1FE98F71"/>
  <w16cid:commentId w16cid:paraId="182B5720" w16cid:durableId="1FE98FA3"/>
  <w16cid:commentId w16cid:paraId="0B884E7F" w16cid:durableId="1FE988F2"/>
  <w16cid:commentId w16cid:paraId="6A129848" w16cid:durableId="1FE98F20"/>
  <w16cid:commentId w16cid:paraId="34CCD699" w16cid:durableId="1FE988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EAE31" w14:textId="77777777" w:rsidR="00670515" w:rsidRDefault="00670515" w:rsidP="0075339D">
      <w:pPr>
        <w:spacing w:after="0" w:line="240" w:lineRule="auto"/>
      </w:pPr>
      <w:r>
        <w:separator/>
      </w:r>
    </w:p>
  </w:endnote>
  <w:endnote w:type="continuationSeparator" w:id="0">
    <w:p w14:paraId="4CF5F37C" w14:textId="77777777" w:rsidR="00670515" w:rsidRDefault="00670515" w:rsidP="0075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14042299"/>
      <w:docPartObj>
        <w:docPartGallery w:val="Page Numbers (Bottom of Page)"/>
        <w:docPartUnique/>
      </w:docPartObj>
    </w:sdtPr>
    <w:sdtEndPr>
      <w:rPr>
        <w:noProof/>
      </w:rPr>
    </w:sdtEndPr>
    <w:sdtContent>
      <w:p w14:paraId="16F4CAF5" w14:textId="77777777" w:rsidR="00DA1727" w:rsidRPr="00B11DC4" w:rsidRDefault="00DA1727">
        <w:pPr>
          <w:pStyle w:val="Footer"/>
          <w:jc w:val="right"/>
          <w:rPr>
            <w:rFonts w:ascii="Times New Roman" w:hAnsi="Times New Roman" w:cs="Times New Roman"/>
          </w:rPr>
        </w:pPr>
        <w:r w:rsidRPr="00B11DC4">
          <w:rPr>
            <w:rFonts w:ascii="Times New Roman" w:hAnsi="Times New Roman" w:cs="Times New Roman"/>
          </w:rPr>
          <w:fldChar w:fldCharType="begin"/>
        </w:r>
        <w:r w:rsidRPr="00B11DC4">
          <w:rPr>
            <w:rFonts w:ascii="Times New Roman" w:hAnsi="Times New Roman" w:cs="Times New Roman"/>
          </w:rPr>
          <w:instrText xml:space="preserve"> PAGE   \* MERGEFORMAT </w:instrText>
        </w:r>
        <w:r w:rsidRPr="00B11DC4">
          <w:rPr>
            <w:rFonts w:ascii="Times New Roman" w:hAnsi="Times New Roman" w:cs="Times New Roman"/>
          </w:rPr>
          <w:fldChar w:fldCharType="separate"/>
        </w:r>
        <w:r w:rsidR="009C1235">
          <w:rPr>
            <w:rFonts w:ascii="Times New Roman" w:hAnsi="Times New Roman" w:cs="Times New Roman"/>
            <w:noProof/>
          </w:rPr>
          <w:t>1</w:t>
        </w:r>
        <w:r w:rsidRPr="00B11DC4">
          <w:rPr>
            <w:rFonts w:ascii="Times New Roman" w:hAnsi="Times New Roman" w:cs="Times New Roman"/>
            <w:noProof/>
          </w:rPr>
          <w:fldChar w:fldCharType="end"/>
        </w:r>
      </w:p>
    </w:sdtContent>
  </w:sdt>
  <w:p w14:paraId="481AE26F" w14:textId="77777777" w:rsidR="00DA1727" w:rsidRPr="00B11DC4" w:rsidRDefault="00DA172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E2E7D" w14:textId="77777777" w:rsidR="00670515" w:rsidRDefault="00670515" w:rsidP="0075339D">
      <w:pPr>
        <w:spacing w:after="0" w:line="240" w:lineRule="auto"/>
      </w:pPr>
      <w:r>
        <w:separator/>
      </w:r>
    </w:p>
  </w:footnote>
  <w:footnote w:type="continuationSeparator" w:id="0">
    <w:p w14:paraId="08784154" w14:textId="77777777" w:rsidR="00670515" w:rsidRDefault="00670515" w:rsidP="0075339D">
      <w:pPr>
        <w:spacing w:after="0" w:line="240" w:lineRule="auto"/>
      </w:pPr>
      <w:r>
        <w:continuationSeparator/>
      </w:r>
    </w:p>
  </w:footnote>
  <w:footnote w:id="1">
    <w:p w14:paraId="422C1D6A" w14:textId="77777777" w:rsidR="00DA1727" w:rsidRPr="00B11DC4" w:rsidRDefault="00DA1727">
      <w:pPr>
        <w:pStyle w:val="FootnoteText"/>
        <w:rPr>
          <w:rFonts w:ascii="Times New Roman" w:hAnsi="Times New Roman" w:cs="Times New Roman"/>
          <w:lang w:val="en-US"/>
        </w:rPr>
      </w:pPr>
      <w:r w:rsidRPr="00B11DC4">
        <w:rPr>
          <w:rStyle w:val="FootnoteReference"/>
          <w:rFonts w:ascii="Times New Roman" w:hAnsi="Times New Roman" w:cs="Times New Roman"/>
        </w:rPr>
        <w:footnoteRef/>
      </w:r>
      <w:r w:rsidRPr="00B11DC4">
        <w:rPr>
          <w:rFonts w:ascii="Times New Roman" w:hAnsi="Times New Roman" w:cs="Times New Roman"/>
        </w:rPr>
        <w:t xml:space="preserve"> </w:t>
      </w:r>
      <w:hyperlink r:id="rId1" w:history="1">
        <w:r w:rsidRPr="00B11DC4">
          <w:rPr>
            <w:rStyle w:val="Hyperlink"/>
            <w:rFonts w:ascii="Times New Roman" w:hAnsi="Times New Roman" w:cs="Times New Roman"/>
          </w:rPr>
          <w:t>https://ak.rks-gov.net/assets/cms/uploads/files/Raporti%20i%20Punes%202017_FINAL_AKK.pdf</w:t>
        </w:r>
      </w:hyperlink>
      <w:r w:rsidRPr="00B11DC4">
        <w:rPr>
          <w:rFonts w:ascii="Times New Roman" w:hAnsi="Times New Roman" w:cs="Times New Roman"/>
        </w:rPr>
        <w:t xml:space="preserve"> </w:t>
      </w:r>
    </w:p>
  </w:footnote>
  <w:footnote w:id="2">
    <w:p w14:paraId="31713B3C" w14:textId="77777777" w:rsidR="00DA1727" w:rsidRPr="00B11DC4" w:rsidRDefault="00DA1727">
      <w:pPr>
        <w:pStyle w:val="FootnoteText"/>
        <w:rPr>
          <w:rFonts w:ascii="Times New Roman" w:hAnsi="Times New Roman" w:cs="Times New Roman"/>
          <w:lang w:val="en-US"/>
        </w:rPr>
      </w:pPr>
      <w:r w:rsidRPr="00B11DC4">
        <w:rPr>
          <w:rStyle w:val="FootnoteReference"/>
          <w:rFonts w:ascii="Times New Roman" w:hAnsi="Times New Roman" w:cs="Times New Roman"/>
        </w:rPr>
        <w:footnoteRef/>
      </w:r>
      <w:r w:rsidRPr="00B11DC4">
        <w:rPr>
          <w:rFonts w:ascii="Times New Roman" w:hAnsi="Times New Roman" w:cs="Times New Roman"/>
        </w:rPr>
        <w:t xml:space="preserve"> </w:t>
      </w:r>
      <w:hyperlink r:id="rId2" w:history="1">
        <w:r w:rsidRPr="00B11DC4">
          <w:rPr>
            <w:rStyle w:val="Hyperlink"/>
            <w:rFonts w:ascii="Times New Roman" w:hAnsi="Times New Roman" w:cs="Times New Roman"/>
          </w:rPr>
          <w:t>http://www.legalpoliticalstudies.org/E9311B63-3FDE-4A84-A059-2C3BD35C0CB9/FinalDownload/DownloadId-B2C06533CAE100109E2CC51E6CD8F5C6/E9311B63-3FDE-4A84-A059-2C3BD35C0CB9/wp-content/uploads/2018/09/GLPS-Policy-Report-04-2018.pdf</w:t>
        </w:r>
      </w:hyperlink>
      <w:r w:rsidRPr="00B11DC4">
        <w:rPr>
          <w:rFonts w:ascii="Times New Roman" w:hAnsi="Times New Roman" w:cs="Times New Roman"/>
        </w:rPr>
        <w:t xml:space="preserve"> </w:t>
      </w:r>
    </w:p>
  </w:footnote>
  <w:footnote w:id="3">
    <w:p w14:paraId="5FFA2A76" w14:textId="77777777" w:rsidR="00DA1727" w:rsidRPr="00B11DC4" w:rsidRDefault="00DA1727">
      <w:pPr>
        <w:pStyle w:val="FootnoteText"/>
        <w:rPr>
          <w:rFonts w:ascii="Times New Roman" w:hAnsi="Times New Roman" w:cs="Times New Roman"/>
          <w:lang w:val="en-US"/>
        </w:rPr>
      </w:pPr>
      <w:r w:rsidRPr="00B11DC4">
        <w:rPr>
          <w:rStyle w:val="FootnoteReference"/>
          <w:rFonts w:ascii="Times New Roman" w:hAnsi="Times New Roman" w:cs="Times New Roman"/>
        </w:rPr>
        <w:footnoteRef/>
      </w:r>
      <w:r w:rsidRPr="00B11DC4">
        <w:rPr>
          <w:rFonts w:ascii="Times New Roman" w:hAnsi="Times New Roman" w:cs="Times New Roman"/>
        </w:rPr>
        <w:t xml:space="preserve"> </w:t>
      </w:r>
      <w:hyperlink r:id="rId3" w:history="1">
        <w:r w:rsidRPr="00B11DC4">
          <w:rPr>
            <w:rStyle w:val="Hyperlink"/>
            <w:rFonts w:ascii="Times New Roman" w:hAnsi="Times New Roman" w:cs="Times New Roman"/>
          </w:rPr>
          <w:t>http://www.mei-ks.net/sq/raporti-i-progresit-585</w:t>
        </w:r>
      </w:hyperlink>
      <w:r w:rsidRPr="0004269A">
        <w:rPr>
          <w:rStyle w:val="Hyperlink"/>
          <w:rFonts w:ascii="Times New Roman" w:hAnsi="Times New Roman" w:cs="Times New Roman"/>
          <w:sz w:val="24"/>
          <w:szCs w:val="24"/>
        </w:rPr>
        <w:t xml:space="preserve"> </w:t>
      </w:r>
    </w:p>
  </w:footnote>
  <w:footnote w:id="4">
    <w:p w14:paraId="1B3BDD84" w14:textId="77777777" w:rsidR="00DA1727" w:rsidRPr="00B11DC4" w:rsidRDefault="00DA1727">
      <w:pPr>
        <w:pStyle w:val="FootnoteText"/>
        <w:rPr>
          <w:rFonts w:ascii="Times New Roman" w:hAnsi="Times New Roman" w:cs="Times New Roman"/>
          <w:lang w:val="en-US"/>
        </w:rPr>
      </w:pPr>
      <w:r w:rsidRPr="00B11DC4">
        <w:rPr>
          <w:rStyle w:val="FootnoteReference"/>
          <w:rFonts w:ascii="Times New Roman" w:hAnsi="Times New Roman" w:cs="Times New Roman"/>
        </w:rPr>
        <w:footnoteRef/>
      </w:r>
      <w:r w:rsidRPr="00B11DC4">
        <w:rPr>
          <w:rFonts w:ascii="Times New Roman" w:hAnsi="Times New Roman" w:cs="Times New Roman"/>
        </w:rPr>
        <w:t xml:space="preserve"> </w:t>
      </w:r>
      <w:hyperlink r:id="rId4" w:history="1">
        <w:r w:rsidRPr="00B11DC4">
          <w:rPr>
            <w:rStyle w:val="Hyperlink"/>
            <w:rFonts w:ascii="Times New Roman" w:hAnsi="Times New Roman" w:cs="Times New Roman"/>
          </w:rPr>
          <w:t>http://konsultimet.rks-gov.net/</w:t>
        </w:r>
      </w:hyperlink>
      <w:r w:rsidRPr="00B11DC4">
        <w:rPr>
          <w:rFonts w:ascii="Times New Roman" w:hAnsi="Times New Roman" w:cs="Times New Roman"/>
        </w:rPr>
        <w:t xml:space="preserve"> </w:t>
      </w:r>
    </w:p>
  </w:footnote>
  <w:footnote w:id="5">
    <w:p w14:paraId="62ADD2F7" w14:textId="77777777" w:rsidR="00DA1727" w:rsidRPr="00B11DC4" w:rsidRDefault="00DA1727" w:rsidP="001622C0">
      <w:pPr>
        <w:pStyle w:val="FootnoteText"/>
        <w:rPr>
          <w:rFonts w:ascii="Times New Roman" w:hAnsi="Times New Roman" w:cs="Times New Roman"/>
          <w:lang w:val="en-US"/>
        </w:rPr>
      </w:pPr>
      <w:r w:rsidRPr="00B11DC4">
        <w:rPr>
          <w:rStyle w:val="FootnoteReference"/>
          <w:rFonts w:ascii="Times New Roman" w:hAnsi="Times New Roman" w:cs="Times New Roman"/>
        </w:rPr>
        <w:footnoteRef/>
      </w:r>
      <w:r w:rsidRPr="00B11DC4">
        <w:rPr>
          <w:rFonts w:ascii="Times New Roman" w:hAnsi="Times New Roman" w:cs="Times New Roman"/>
        </w:rPr>
        <w:t xml:space="preserve"> </w:t>
      </w:r>
      <w:proofErr w:type="spellStart"/>
      <w:r w:rsidRPr="00B11DC4">
        <w:rPr>
          <w:rFonts w:ascii="Times New Roman" w:hAnsi="Times New Roman" w:cs="Times New Roman"/>
        </w:rPr>
        <w:t>Twinning</w:t>
      </w:r>
      <w:proofErr w:type="spellEnd"/>
      <w:r w:rsidRPr="00B11DC4">
        <w:rPr>
          <w:rFonts w:ascii="Times New Roman" w:hAnsi="Times New Roman" w:cs="Times New Roman"/>
        </w:rPr>
        <w:t xml:space="preserve"> Project KS 14 IPA OT 02 16 “</w:t>
      </w:r>
      <w:proofErr w:type="spellStart"/>
      <w:r w:rsidRPr="00B11DC4">
        <w:rPr>
          <w:rFonts w:ascii="Times New Roman" w:hAnsi="Times New Roman" w:cs="Times New Roman"/>
        </w:rPr>
        <w:t>Support</w:t>
      </w:r>
      <w:proofErr w:type="spellEnd"/>
      <w:r w:rsidRPr="00B11DC4">
        <w:rPr>
          <w:rFonts w:ascii="Times New Roman" w:hAnsi="Times New Roman" w:cs="Times New Roman"/>
        </w:rPr>
        <w:t xml:space="preserve"> to </w:t>
      </w:r>
      <w:proofErr w:type="spellStart"/>
      <w:r w:rsidRPr="00B11DC4">
        <w:rPr>
          <w:rFonts w:ascii="Times New Roman" w:hAnsi="Times New Roman" w:cs="Times New Roman"/>
        </w:rPr>
        <w:t>Kosovo</w:t>
      </w:r>
      <w:proofErr w:type="spellEnd"/>
      <w:r w:rsidRPr="00B11DC4">
        <w:rPr>
          <w:rFonts w:ascii="Times New Roman" w:hAnsi="Times New Roman" w:cs="Times New Roman"/>
        </w:rPr>
        <w:t xml:space="preserve"> </w:t>
      </w:r>
      <w:proofErr w:type="spellStart"/>
      <w:r w:rsidRPr="00B11DC4">
        <w:rPr>
          <w:rFonts w:ascii="Times New Roman" w:hAnsi="Times New Roman" w:cs="Times New Roman"/>
        </w:rPr>
        <w:t>Institutions</w:t>
      </w:r>
      <w:proofErr w:type="spellEnd"/>
      <w:r w:rsidRPr="00B11DC4">
        <w:rPr>
          <w:rFonts w:ascii="Times New Roman" w:hAnsi="Times New Roman" w:cs="Times New Roman"/>
        </w:rPr>
        <w:t xml:space="preserve"> </w:t>
      </w:r>
      <w:proofErr w:type="spellStart"/>
      <w:r w:rsidRPr="00B11DC4">
        <w:rPr>
          <w:rFonts w:ascii="Times New Roman" w:hAnsi="Times New Roman" w:cs="Times New Roman"/>
        </w:rPr>
        <w:t>on</w:t>
      </w:r>
      <w:proofErr w:type="spellEnd"/>
      <w:r w:rsidRPr="00B11DC4">
        <w:rPr>
          <w:rFonts w:ascii="Times New Roman" w:hAnsi="Times New Roman" w:cs="Times New Roman"/>
        </w:rPr>
        <w:t xml:space="preserve"> SAA </w:t>
      </w:r>
      <w:proofErr w:type="spellStart"/>
      <w:r w:rsidRPr="00B11DC4">
        <w:rPr>
          <w:rFonts w:ascii="Times New Roman" w:hAnsi="Times New Roman" w:cs="Times New Roman"/>
        </w:rPr>
        <w:t>implementation</w:t>
      </w:r>
      <w:proofErr w:type="spellEnd"/>
      <w:r w:rsidRPr="00B11DC4">
        <w:rPr>
          <w:rFonts w:ascii="Times New Roman" w:hAnsi="Times New Roman" w:cs="Times New Roman"/>
        </w:rPr>
        <w:t>”</w:t>
      </w:r>
    </w:p>
  </w:footnote>
  <w:footnote w:id="6">
    <w:p w14:paraId="4183288B" w14:textId="77777777" w:rsidR="00DA1727" w:rsidRPr="00B11DC4" w:rsidRDefault="00DA1727" w:rsidP="001622C0">
      <w:pPr>
        <w:pStyle w:val="FootnoteText"/>
        <w:rPr>
          <w:rFonts w:ascii="Times New Roman" w:hAnsi="Times New Roman" w:cs="Times New Roman"/>
          <w:lang w:val="en-US"/>
        </w:rPr>
      </w:pPr>
      <w:r w:rsidRPr="00B11DC4">
        <w:rPr>
          <w:rStyle w:val="FootnoteReference"/>
          <w:rFonts w:ascii="Times New Roman" w:hAnsi="Times New Roman" w:cs="Times New Roman"/>
        </w:rPr>
        <w:footnoteRef/>
      </w:r>
      <w:r w:rsidRPr="00B11DC4">
        <w:rPr>
          <w:rFonts w:ascii="Times New Roman" w:hAnsi="Times New Roman" w:cs="Times New Roman"/>
        </w:rPr>
        <w:t xml:space="preserve"> GAP ASSESSMENT REPORT ON CHAPTER 8 – COMPETITION AND STATE AID </w:t>
      </w:r>
    </w:p>
  </w:footnote>
  <w:footnote w:id="7">
    <w:p w14:paraId="5FB73C07" w14:textId="77777777" w:rsidR="00DA1727" w:rsidRPr="00B11DC4" w:rsidRDefault="00DA1727" w:rsidP="001622C0">
      <w:pPr>
        <w:pStyle w:val="FootnoteText"/>
        <w:rPr>
          <w:rFonts w:ascii="Times New Roman" w:hAnsi="Times New Roman" w:cs="Times New Roman"/>
          <w:lang w:val="en-US"/>
        </w:rPr>
      </w:pPr>
      <w:r w:rsidRPr="00B11DC4">
        <w:rPr>
          <w:rStyle w:val="FootnoteReference"/>
          <w:rFonts w:ascii="Times New Roman" w:hAnsi="Times New Roman" w:cs="Times New Roman"/>
        </w:rPr>
        <w:footnoteRef/>
      </w:r>
      <w:r w:rsidRPr="00B11DC4">
        <w:rPr>
          <w:rFonts w:ascii="Times New Roman" w:hAnsi="Times New Roman" w:cs="Times New Roman"/>
        </w:rPr>
        <w:t xml:space="preserve"> </w:t>
      </w:r>
      <w:proofErr w:type="spellStart"/>
      <w:r w:rsidRPr="00B11DC4">
        <w:rPr>
          <w:rFonts w:ascii="Times New Roman" w:hAnsi="Times New Roman" w:cs="Times New Roman"/>
          <w:lang w:val="en-US"/>
        </w:rPr>
        <w:t>Lista</w:t>
      </w:r>
      <w:proofErr w:type="spellEnd"/>
      <w:r w:rsidRPr="00B11DC4">
        <w:rPr>
          <w:rFonts w:ascii="Times New Roman" w:hAnsi="Times New Roman" w:cs="Times New Roman"/>
          <w:lang w:val="en-US"/>
        </w:rPr>
        <w:t xml:space="preserve"> e </w:t>
      </w:r>
      <w:proofErr w:type="spellStart"/>
      <w:r w:rsidRPr="00B11DC4">
        <w:rPr>
          <w:rFonts w:ascii="Times New Roman" w:hAnsi="Times New Roman" w:cs="Times New Roman"/>
          <w:lang w:val="en-US"/>
        </w:rPr>
        <w:t>plotë</w:t>
      </w:r>
      <w:proofErr w:type="spellEnd"/>
      <w:r w:rsidRPr="00B11DC4">
        <w:rPr>
          <w:rFonts w:ascii="Times New Roman" w:hAnsi="Times New Roman" w:cs="Times New Roman"/>
          <w:lang w:val="en-US"/>
        </w:rPr>
        <w:t xml:space="preserve"> </w:t>
      </w:r>
      <w:proofErr w:type="spellStart"/>
      <w:r w:rsidRPr="00B11DC4">
        <w:rPr>
          <w:rFonts w:ascii="Times New Roman" w:hAnsi="Times New Roman" w:cs="Times New Roman"/>
          <w:lang w:val="en-US"/>
        </w:rPr>
        <w:t>është</w:t>
      </w:r>
      <w:proofErr w:type="spellEnd"/>
      <w:r w:rsidRPr="00B11DC4">
        <w:rPr>
          <w:rFonts w:ascii="Times New Roman" w:hAnsi="Times New Roman" w:cs="Times New Roman"/>
          <w:lang w:val="en-US"/>
        </w:rPr>
        <w:t xml:space="preserve"> </w:t>
      </w:r>
      <w:proofErr w:type="spellStart"/>
      <w:r w:rsidRPr="00B11DC4">
        <w:rPr>
          <w:rFonts w:ascii="Times New Roman" w:hAnsi="Times New Roman" w:cs="Times New Roman"/>
          <w:lang w:val="en-US"/>
        </w:rPr>
        <w:t>përfshirë</w:t>
      </w:r>
      <w:proofErr w:type="spellEnd"/>
      <w:r w:rsidRPr="00B11DC4">
        <w:rPr>
          <w:rFonts w:ascii="Times New Roman" w:hAnsi="Times New Roman" w:cs="Times New Roman"/>
          <w:lang w:val="en-US"/>
        </w:rPr>
        <w:t xml:space="preserve"> </w:t>
      </w:r>
      <w:proofErr w:type="spellStart"/>
      <w:r w:rsidRPr="00B11DC4">
        <w:rPr>
          <w:rFonts w:ascii="Times New Roman" w:hAnsi="Times New Roman" w:cs="Times New Roman"/>
          <w:lang w:val="en-US"/>
        </w:rPr>
        <w:t>në</w:t>
      </w:r>
      <w:proofErr w:type="spellEnd"/>
      <w:r w:rsidRPr="00B11DC4">
        <w:rPr>
          <w:rFonts w:ascii="Times New Roman" w:hAnsi="Times New Roman" w:cs="Times New Roman"/>
          <w:lang w:val="en-US"/>
        </w:rPr>
        <w:t xml:space="preserve"> </w:t>
      </w:r>
      <w:proofErr w:type="spellStart"/>
      <w:r w:rsidRPr="00B11DC4">
        <w:rPr>
          <w:rFonts w:ascii="Times New Roman" w:hAnsi="Times New Roman" w:cs="Times New Roman"/>
          <w:lang w:val="en-US"/>
        </w:rPr>
        <w:t>Shtojcën</w:t>
      </w:r>
      <w:proofErr w:type="spellEnd"/>
      <w:r w:rsidRPr="00B11DC4">
        <w:rPr>
          <w:rFonts w:ascii="Times New Roman" w:hAnsi="Times New Roman" w:cs="Times New Roman"/>
          <w:lang w:val="en-US"/>
        </w:rPr>
        <w:t xml:space="preserve"> 5 </w:t>
      </w:r>
      <w:proofErr w:type="spellStart"/>
      <w:r w:rsidRPr="00B11DC4">
        <w:rPr>
          <w:rFonts w:ascii="Times New Roman" w:hAnsi="Times New Roman" w:cs="Times New Roman"/>
          <w:lang w:val="en-US"/>
        </w:rPr>
        <w:t>të</w:t>
      </w:r>
      <w:proofErr w:type="spellEnd"/>
      <w:r w:rsidRPr="00B11DC4">
        <w:rPr>
          <w:rFonts w:ascii="Times New Roman" w:hAnsi="Times New Roman" w:cs="Times New Roman"/>
          <w:lang w:val="en-US"/>
        </w:rPr>
        <w:t xml:space="preserve"> </w:t>
      </w:r>
      <w:proofErr w:type="spellStart"/>
      <w:r w:rsidRPr="00B11DC4">
        <w:rPr>
          <w:rFonts w:ascii="Times New Roman" w:hAnsi="Times New Roman" w:cs="Times New Roman"/>
          <w:lang w:val="en-US"/>
        </w:rPr>
        <w:t>këtij</w:t>
      </w:r>
      <w:proofErr w:type="spellEnd"/>
      <w:r w:rsidRPr="00B11DC4">
        <w:rPr>
          <w:rFonts w:ascii="Times New Roman" w:hAnsi="Times New Roman" w:cs="Times New Roman"/>
          <w:lang w:val="en-US"/>
        </w:rPr>
        <w:t xml:space="preserve"> </w:t>
      </w:r>
      <w:proofErr w:type="spellStart"/>
      <w:r w:rsidRPr="00B11DC4">
        <w:rPr>
          <w:rFonts w:ascii="Times New Roman" w:hAnsi="Times New Roman" w:cs="Times New Roman"/>
          <w:lang w:val="en-US"/>
        </w:rPr>
        <w:t>Koncept</w:t>
      </w:r>
      <w:proofErr w:type="spellEnd"/>
      <w:r w:rsidRPr="00B11DC4">
        <w:rPr>
          <w:rFonts w:ascii="Times New Roman" w:hAnsi="Times New Roman" w:cs="Times New Roman"/>
          <w:lang w:val="en-US"/>
        </w:rPr>
        <w:t xml:space="preserve"> </w:t>
      </w:r>
      <w:proofErr w:type="spellStart"/>
      <w:r w:rsidRPr="00B11DC4">
        <w:rPr>
          <w:rFonts w:ascii="Times New Roman" w:hAnsi="Times New Roman" w:cs="Times New Roman"/>
          <w:lang w:val="en-US"/>
        </w:rPr>
        <w:t>Dokumenti</w:t>
      </w:r>
      <w:proofErr w:type="spellEnd"/>
    </w:p>
  </w:footnote>
  <w:footnote w:id="8">
    <w:p w14:paraId="1386C917" w14:textId="77777777" w:rsidR="00DA1727" w:rsidRPr="00B11DC4" w:rsidRDefault="00DA1727" w:rsidP="001622C0">
      <w:pPr>
        <w:pStyle w:val="FootnoteText"/>
        <w:rPr>
          <w:rFonts w:ascii="Times New Roman" w:hAnsi="Times New Roman" w:cs="Times New Roman"/>
          <w:lang w:val="en-US"/>
        </w:rPr>
      </w:pPr>
      <w:r w:rsidRPr="00B11DC4">
        <w:rPr>
          <w:rStyle w:val="FootnoteReference"/>
          <w:rFonts w:ascii="Times New Roman" w:hAnsi="Times New Roman" w:cs="Times New Roman"/>
        </w:rPr>
        <w:footnoteRef/>
      </w:r>
      <w:r w:rsidRPr="00B11DC4">
        <w:rPr>
          <w:rFonts w:ascii="Times New Roman" w:hAnsi="Times New Roman" w:cs="Times New Roman"/>
        </w:rPr>
        <w:t xml:space="preserve"> </w:t>
      </w:r>
      <w:proofErr w:type="spellStart"/>
      <w:r w:rsidRPr="00B11DC4">
        <w:rPr>
          <w:rFonts w:ascii="Times New Roman" w:hAnsi="Times New Roman" w:cs="Times New Roman"/>
          <w:lang w:val="en-US"/>
        </w:rPr>
        <w:t>Traktati</w:t>
      </w:r>
      <w:proofErr w:type="spellEnd"/>
      <w:r w:rsidRPr="00B11DC4">
        <w:rPr>
          <w:rFonts w:ascii="Times New Roman" w:hAnsi="Times New Roman" w:cs="Times New Roman"/>
          <w:lang w:val="en-US"/>
        </w:rPr>
        <w:t xml:space="preserve"> </w:t>
      </w:r>
      <w:proofErr w:type="spellStart"/>
      <w:r w:rsidRPr="00B11DC4">
        <w:rPr>
          <w:rFonts w:ascii="Times New Roman" w:hAnsi="Times New Roman" w:cs="Times New Roman"/>
          <w:lang w:val="en-US"/>
        </w:rPr>
        <w:t>mbi</w:t>
      </w:r>
      <w:proofErr w:type="spellEnd"/>
      <w:r w:rsidRPr="00B11DC4">
        <w:rPr>
          <w:rFonts w:ascii="Times New Roman" w:hAnsi="Times New Roman" w:cs="Times New Roman"/>
          <w:lang w:val="en-US"/>
        </w:rPr>
        <w:t xml:space="preserve"> </w:t>
      </w:r>
      <w:proofErr w:type="spellStart"/>
      <w:r w:rsidRPr="00B11DC4">
        <w:rPr>
          <w:rFonts w:ascii="Times New Roman" w:hAnsi="Times New Roman" w:cs="Times New Roman"/>
          <w:lang w:val="en-US"/>
        </w:rPr>
        <w:t>Funksionimin</w:t>
      </w:r>
      <w:proofErr w:type="spellEnd"/>
      <w:r w:rsidRPr="00B11DC4">
        <w:rPr>
          <w:rFonts w:ascii="Times New Roman" w:hAnsi="Times New Roman" w:cs="Times New Roman"/>
          <w:lang w:val="en-US"/>
        </w:rPr>
        <w:t xml:space="preserve"> e </w:t>
      </w:r>
      <w:proofErr w:type="spellStart"/>
      <w:r w:rsidRPr="00B11DC4">
        <w:rPr>
          <w:rFonts w:ascii="Times New Roman" w:hAnsi="Times New Roman" w:cs="Times New Roman"/>
          <w:lang w:val="en-US"/>
        </w:rPr>
        <w:t>Bashkimit</w:t>
      </w:r>
      <w:proofErr w:type="spellEnd"/>
      <w:r w:rsidRPr="00B11DC4">
        <w:rPr>
          <w:rFonts w:ascii="Times New Roman" w:hAnsi="Times New Roman" w:cs="Times New Roman"/>
          <w:lang w:val="en-US"/>
        </w:rPr>
        <w:t xml:space="preserve"> </w:t>
      </w:r>
      <w:proofErr w:type="spellStart"/>
      <w:r w:rsidRPr="00B11DC4">
        <w:rPr>
          <w:rFonts w:ascii="Times New Roman" w:hAnsi="Times New Roman" w:cs="Times New Roman"/>
          <w:lang w:val="en-US"/>
        </w:rPr>
        <w:t>Evropian</w:t>
      </w:r>
      <w:proofErr w:type="spellEnd"/>
      <w:r w:rsidRPr="00B11DC4">
        <w:rPr>
          <w:rFonts w:ascii="Times New Roman" w:hAnsi="Times New Roman" w:cs="Times New Roman"/>
          <w:lang w:val="en-US"/>
        </w:rPr>
        <w:t xml:space="preserve">, version </w:t>
      </w:r>
      <w:proofErr w:type="spellStart"/>
      <w:r w:rsidRPr="00B11DC4">
        <w:rPr>
          <w:rFonts w:ascii="Times New Roman" w:hAnsi="Times New Roman" w:cs="Times New Roman"/>
          <w:lang w:val="en-US"/>
        </w:rPr>
        <w:t>në</w:t>
      </w:r>
      <w:proofErr w:type="spellEnd"/>
      <w:r w:rsidRPr="00B11DC4">
        <w:rPr>
          <w:rFonts w:ascii="Times New Roman" w:hAnsi="Times New Roman" w:cs="Times New Roman"/>
          <w:lang w:val="en-US"/>
        </w:rPr>
        <w:t xml:space="preserve"> </w:t>
      </w:r>
      <w:proofErr w:type="spellStart"/>
      <w:r w:rsidRPr="00B11DC4">
        <w:rPr>
          <w:rFonts w:ascii="Times New Roman" w:hAnsi="Times New Roman" w:cs="Times New Roman"/>
          <w:lang w:val="en-US"/>
        </w:rPr>
        <w:t>gjuhën</w:t>
      </w:r>
      <w:proofErr w:type="spellEnd"/>
      <w:r w:rsidRPr="00B11DC4">
        <w:rPr>
          <w:rFonts w:ascii="Times New Roman" w:hAnsi="Times New Roman" w:cs="Times New Roman"/>
          <w:lang w:val="en-US"/>
        </w:rPr>
        <w:t xml:space="preserve"> </w:t>
      </w:r>
      <w:proofErr w:type="spellStart"/>
      <w:r w:rsidRPr="00B11DC4">
        <w:rPr>
          <w:rFonts w:ascii="Times New Roman" w:hAnsi="Times New Roman" w:cs="Times New Roman"/>
          <w:lang w:val="en-US"/>
        </w:rPr>
        <w:t>shqipe</w:t>
      </w:r>
      <w:proofErr w:type="spellEnd"/>
      <w:r w:rsidRPr="00B11DC4">
        <w:rPr>
          <w:rFonts w:ascii="Times New Roman" w:hAnsi="Times New Roman" w:cs="Times New Roman"/>
          <w:lang w:val="en-US"/>
        </w:rPr>
        <w:t xml:space="preserve">: </w:t>
      </w:r>
      <w:hyperlink r:id="rId5" w:history="1">
        <w:r w:rsidRPr="00B11DC4">
          <w:rPr>
            <w:rStyle w:val="Hyperlink"/>
            <w:rFonts w:ascii="Times New Roman" w:hAnsi="Times New Roman" w:cs="Times New Roman"/>
            <w:lang w:val="en-US"/>
          </w:rPr>
          <w:t>https://www.mei-ks.net/repository/docs/Traktati_i_Lisbones_-_Verzioni_i_Konsoliduar.pdf</w:t>
        </w:r>
      </w:hyperlink>
      <w:r w:rsidRPr="00B11DC4">
        <w:rPr>
          <w:rFonts w:ascii="Times New Roman" w:hAnsi="Times New Roman" w:cs="Times New Roman"/>
          <w:lang w:val="en-US"/>
        </w:rPr>
        <w:t xml:space="preserve"> </w:t>
      </w:r>
    </w:p>
  </w:footnote>
  <w:footnote w:id="9">
    <w:p w14:paraId="34DD2417" w14:textId="77777777" w:rsidR="00DA1727" w:rsidRPr="00B11DC4" w:rsidRDefault="00DA1727" w:rsidP="001622C0">
      <w:pPr>
        <w:pStyle w:val="FootnoteText"/>
        <w:rPr>
          <w:rFonts w:ascii="Times New Roman" w:hAnsi="Times New Roman" w:cs="Times New Roman"/>
          <w:lang w:val="en-US"/>
        </w:rPr>
      </w:pPr>
      <w:r w:rsidRPr="00B11DC4">
        <w:rPr>
          <w:rStyle w:val="FootnoteReference"/>
          <w:rFonts w:ascii="Times New Roman" w:hAnsi="Times New Roman" w:cs="Times New Roman"/>
        </w:rPr>
        <w:footnoteRef/>
      </w:r>
      <w:r w:rsidRPr="00B11DC4">
        <w:rPr>
          <w:rFonts w:ascii="Times New Roman" w:hAnsi="Times New Roman" w:cs="Times New Roman"/>
        </w:rPr>
        <w:t xml:space="preserve"> </w:t>
      </w:r>
      <w:proofErr w:type="spellStart"/>
      <w:r w:rsidRPr="00B11DC4">
        <w:rPr>
          <w:rFonts w:ascii="Times New Roman" w:hAnsi="Times New Roman" w:cs="Times New Roman"/>
          <w:lang w:val="en-GB" w:eastAsia="fr-BE"/>
        </w:rPr>
        <w:t>Rregullorja</w:t>
      </w:r>
      <w:proofErr w:type="spellEnd"/>
      <w:r w:rsidRPr="00B11DC4">
        <w:rPr>
          <w:rFonts w:ascii="Times New Roman" w:hAnsi="Times New Roman" w:cs="Times New Roman"/>
          <w:lang w:val="en-GB" w:eastAsia="fr-BE"/>
        </w:rPr>
        <w:t xml:space="preserve"> e </w:t>
      </w:r>
      <w:proofErr w:type="spellStart"/>
      <w:r w:rsidRPr="00B11DC4">
        <w:rPr>
          <w:rFonts w:ascii="Times New Roman" w:hAnsi="Times New Roman" w:cs="Times New Roman"/>
          <w:lang w:val="en-GB" w:eastAsia="fr-BE"/>
        </w:rPr>
        <w:t>Këshillit</w:t>
      </w:r>
      <w:proofErr w:type="spellEnd"/>
      <w:r w:rsidRPr="00B11DC4">
        <w:rPr>
          <w:rFonts w:ascii="Times New Roman" w:hAnsi="Times New Roman" w:cs="Times New Roman"/>
          <w:lang w:val="en-GB" w:eastAsia="fr-BE"/>
        </w:rPr>
        <w:t xml:space="preserve"> (KE) Nr. 1/2003 </w:t>
      </w:r>
      <w:r w:rsidRPr="00B11DC4">
        <w:rPr>
          <w:rFonts w:ascii="Times New Roman" w:hAnsi="Times New Roman" w:cs="Times New Roman"/>
        </w:rPr>
        <w:t>[</w:t>
      </w:r>
      <w:r w:rsidRPr="00B11DC4">
        <w:rPr>
          <w:rFonts w:ascii="Times New Roman" w:hAnsi="Times New Roman" w:cs="Times New Roman"/>
          <w:i/>
          <w:lang w:val="en-GB" w:eastAsia="fr-BE"/>
        </w:rPr>
        <w:t xml:space="preserve">Council Regulation (EC) No 1/2003 of 16 December 2002 on the implementation of the rules on competition laid down in Articles 81 and 82 of the Treaty with amendments (OJ L 1, 04.01.2003, p. 1-25)] </w:t>
      </w:r>
      <w:hyperlink r:id="rId6" w:history="1">
        <w:r w:rsidRPr="00B11DC4">
          <w:rPr>
            <w:rStyle w:val="Hyperlink"/>
            <w:rFonts w:ascii="Times New Roman" w:hAnsi="Times New Roman" w:cs="Times New Roman"/>
            <w:lang w:val="en-GB" w:eastAsia="fr-BE"/>
          </w:rPr>
          <w:t>https://eur-lex.europa.eu/legal-content/EN/TXT/PDF/?uri=CELEX:32003R0001&amp;from=en</w:t>
        </w:r>
      </w:hyperlink>
      <w:r w:rsidRPr="00B11DC4">
        <w:rPr>
          <w:rFonts w:ascii="Times New Roman" w:hAnsi="Times New Roman" w:cs="Times New Roman"/>
          <w:lang w:val="en-GB" w:eastAsia="fr-BE"/>
        </w:rPr>
        <w:t xml:space="preserve"> </w:t>
      </w:r>
    </w:p>
  </w:footnote>
  <w:footnote w:id="10">
    <w:p w14:paraId="22BE4AB1" w14:textId="77777777" w:rsidR="00DA1727" w:rsidRPr="00B11DC4" w:rsidRDefault="00DA1727" w:rsidP="001622C0">
      <w:pPr>
        <w:pStyle w:val="FootnoteText"/>
        <w:rPr>
          <w:rFonts w:ascii="Times New Roman" w:hAnsi="Times New Roman" w:cs="Times New Roman"/>
          <w:lang w:val="en-US"/>
        </w:rPr>
      </w:pPr>
      <w:r w:rsidRPr="00B11DC4">
        <w:rPr>
          <w:rStyle w:val="FootnoteReference"/>
          <w:rFonts w:ascii="Times New Roman" w:hAnsi="Times New Roman" w:cs="Times New Roman"/>
        </w:rPr>
        <w:footnoteRef/>
      </w:r>
      <w:r w:rsidRPr="00B11DC4">
        <w:rPr>
          <w:rFonts w:ascii="Times New Roman" w:hAnsi="Times New Roman" w:cs="Times New Roman"/>
        </w:rPr>
        <w:t xml:space="preserve"> </w:t>
      </w:r>
      <w:proofErr w:type="spellStart"/>
      <w:r w:rsidRPr="00B11DC4">
        <w:rPr>
          <w:rFonts w:ascii="Times New Roman" w:hAnsi="Times New Roman" w:cs="Times New Roman"/>
          <w:lang w:val="en-GB"/>
        </w:rPr>
        <w:t>Rregullorja</w:t>
      </w:r>
      <w:proofErr w:type="spellEnd"/>
      <w:r w:rsidRPr="00B11DC4">
        <w:rPr>
          <w:rFonts w:ascii="Times New Roman" w:hAnsi="Times New Roman" w:cs="Times New Roman"/>
          <w:lang w:val="en-GB"/>
        </w:rPr>
        <w:t xml:space="preserve"> e </w:t>
      </w:r>
      <w:proofErr w:type="spellStart"/>
      <w:r w:rsidRPr="00B11DC4">
        <w:rPr>
          <w:rFonts w:ascii="Times New Roman" w:hAnsi="Times New Roman" w:cs="Times New Roman"/>
          <w:lang w:val="en-GB"/>
        </w:rPr>
        <w:t>Komisionit</w:t>
      </w:r>
      <w:proofErr w:type="spellEnd"/>
      <w:r w:rsidRPr="00B11DC4">
        <w:rPr>
          <w:rFonts w:ascii="Times New Roman" w:hAnsi="Times New Roman" w:cs="Times New Roman"/>
          <w:lang w:val="en-GB"/>
        </w:rPr>
        <w:t xml:space="preserve"> (KE) Nr. 773/2004 [</w:t>
      </w:r>
      <w:r w:rsidRPr="00B11DC4">
        <w:rPr>
          <w:rFonts w:ascii="Times New Roman" w:hAnsi="Times New Roman" w:cs="Times New Roman"/>
          <w:i/>
          <w:lang w:val="en-GB"/>
        </w:rPr>
        <w:t xml:space="preserve">Commission Regulation (EC) No 773/2004 of 7 April 2004 relating to the conduct of proceedings by the Commission pursuant to Articles 81 and 82 of the EC Treaty (OJ L 123, 27.04.2004, p. 18-24)] </w:t>
      </w:r>
      <w:hyperlink r:id="rId7" w:history="1">
        <w:r w:rsidRPr="00B11DC4">
          <w:rPr>
            <w:rStyle w:val="Hyperlink"/>
            <w:rFonts w:ascii="Times New Roman" w:hAnsi="Times New Roman" w:cs="Times New Roman"/>
            <w:lang w:val="en-GB"/>
          </w:rPr>
          <w:t>https://eur-lex.europa.eu/legal-content/EN/TXT/PDF/?uri=CELEX:32004R0773&amp;from=EN</w:t>
        </w:r>
      </w:hyperlink>
      <w:r w:rsidRPr="00B11DC4">
        <w:rPr>
          <w:rFonts w:ascii="Times New Roman" w:hAnsi="Times New Roman" w:cs="Times New Roman"/>
          <w:lang w:val="en-GB"/>
        </w:rPr>
        <w:t xml:space="preserve"> </w:t>
      </w:r>
    </w:p>
  </w:footnote>
  <w:footnote w:id="11">
    <w:p w14:paraId="794434F3" w14:textId="77777777" w:rsidR="00DA1727" w:rsidRPr="00B11DC4" w:rsidRDefault="00DA1727" w:rsidP="001622C0">
      <w:pPr>
        <w:pStyle w:val="FootnoteText"/>
        <w:rPr>
          <w:rFonts w:ascii="Times New Roman" w:hAnsi="Times New Roman" w:cs="Times New Roman"/>
          <w:lang w:val="en-US"/>
        </w:rPr>
      </w:pPr>
      <w:r w:rsidRPr="00B11DC4">
        <w:rPr>
          <w:rStyle w:val="FootnoteReference"/>
          <w:rFonts w:ascii="Times New Roman" w:hAnsi="Times New Roman" w:cs="Times New Roman"/>
        </w:rPr>
        <w:footnoteRef/>
      </w:r>
      <w:r w:rsidRPr="00B11DC4">
        <w:rPr>
          <w:rFonts w:ascii="Times New Roman" w:hAnsi="Times New Roman" w:cs="Times New Roman"/>
        </w:rPr>
        <w:t xml:space="preserve"> </w:t>
      </w:r>
      <w:proofErr w:type="spellStart"/>
      <w:r w:rsidRPr="00B11DC4">
        <w:rPr>
          <w:rFonts w:ascii="Times New Roman" w:hAnsi="Times New Roman" w:cs="Times New Roman"/>
          <w:lang w:val="en-GB"/>
        </w:rPr>
        <w:t>Udhëzime</w:t>
      </w:r>
      <w:proofErr w:type="spellEnd"/>
      <w:r w:rsidRPr="00B11DC4">
        <w:rPr>
          <w:rFonts w:ascii="Times New Roman" w:hAnsi="Times New Roman" w:cs="Times New Roman"/>
          <w:lang w:val="en-GB"/>
        </w:rPr>
        <w:t xml:space="preserve"> </w:t>
      </w:r>
      <w:proofErr w:type="spellStart"/>
      <w:r w:rsidRPr="00B11DC4">
        <w:rPr>
          <w:rFonts w:ascii="Times New Roman" w:hAnsi="Times New Roman" w:cs="Times New Roman"/>
          <w:lang w:val="en-GB"/>
        </w:rPr>
        <w:t>praktike</w:t>
      </w:r>
      <w:proofErr w:type="spellEnd"/>
      <w:r w:rsidRPr="00B11DC4">
        <w:rPr>
          <w:rFonts w:ascii="Times New Roman" w:hAnsi="Times New Roman" w:cs="Times New Roman"/>
          <w:lang w:val="en-GB"/>
        </w:rPr>
        <w:t xml:space="preserve"> </w:t>
      </w:r>
      <w:r w:rsidRPr="00B11DC4">
        <w:rPr>
          <w:rFonts w:ascii="Times New Roman" w:hAnsi="Times New Roman" w:cs="Times New Roman"/>
        </w:rPr>
        <w:t>[</w:t>
      </w:r>
      <w:r w:rsidRPr="00B11DC4">
        <w:rPr>
          <w:rFonts w:ascii="Times New Roman" w:hAnsi="Times New Roman" w:cs="Times New Roman"/>
          <w:i/>
          <w:lang w:val="en-GB"/>
        </w:rPr>
        <w:t>Guidelines on the method of setting fines imposed pursuant to Article 23(2)(a) of Regulation No 1/2003 (OJ C 210, 1.09.2006, p. 2-5)]</w:t>
      </w:r>
      <w:r w:rsidRPr="00B11DC4">
        <w:rPr>
          <w:rFonts w:ascii="Times New Roman" w:hAnsi="Times New Roman" w:cs="Times New Roman"/>
        </w:rPr>
        <w:t xml:space="preserve"> </w:t>
      </w:r>
      <w:hyperlink r:id="rId8" w:history="1">
        <w:r w:rsidRPr="00B11DC4">
          <w:rPr>
            <w:rStyle w:val="Hyperlink"/>
            <w:rFonts w:ascii="Times New Roman" w:hAnsi="Times New Roman" w:cs="Times New Roman"/>
            <w:lang w:val="en-GB"/>
          </w:rPr>
          <w:t>https://eur-lex.europa.eu/legal-content/EN/TXT/PDF/?uri=CELEX:52006XC0901(01)&amp;from=EN</w:t>
        </w:r>
      </w:hyperlink>
      <w:r w:rsidRPr="00B11DC4">
        <w:rPr>
          <w:rFonts w:ascii="Times New Roman" w:hAnsi="Times New Roman" w:cs="Times New Roman"/>
          <w:lang w:val="en-GB"/>
        </w:rPr>
        <w:t xml:space="preserve"> </w:t>
      </w:r>
    </w:p>
  </w:footnote>
  <w:footnote w:id="12">
    <w:p w14:paraId="48B04783" w14:textId="77777777" w:rsidR="00DA1727" w:rsidRPr="00B11DC4" w:rsidRDefault="00DA1727" w:rsidP="001622C0">
      <w:pPr>
        <w:pStyle w:val="FootnoteText"/>
        <w:rPr>
          <w:rFonts w:ascii="Times New Roman" w:hAnsi="Times New Roman" w:cs="Times New Roman"/>
          <w:i/>
          <w:lang w:val="en-GB"/>
        </w:rPr>
      </w:pPr>
      <w:r w:rsidRPr="00B11DC4">
        <w:rPr>
          <w:rStyle w:val="FootnoteReference"/>
          <w:rFonts w:ascii="Times New Roman" w:hAnsi="Times New Roman" w:cs="Times New Roman"/>
        </w:rPr>
        <w:footnoteRef/>
      </w:r>
      <w:r w:rsidRPr="00B11DC4">
        <w:rPr>
          <w:rFonts w:ascii="Times New Roman" w:hAnsi="Times New Roman" w:cs="Times New Roman"/>
        </w:rPr>
        <w:t xml:space="preserve"> </w:t>
      </w:r>
      <w:proofErr w:type="spellStart"/>
      <w:r w:rsidRPr="00B11DC4">
        <w:rPr>
          <w:rFonts w:ascii="Times New Roman" w:hAnsi="Times New Roman" w:cs="Times New Roman"/>
          <w:lang w:val="en-US"/>
        </w:rPr>
        <w:t>Njoftimi</w:t>
      </w:r>
      <w:proofErr w:type="spellEnd"/>
      <w:r w:rsidRPr="00B11DC4">
        <w:rPr>
          <w:rFonts w:ascii="Times New Roman" w:hAnsi="Times New Roman" w:cs="Times New Roman"/>
          <w:lang w:val="en-US"/>
        </w:rPr>
        <w:t xml:space="preserve"> i </w:t>
      </w:r>
      <w:proofErr w:type="spellStart"/>
      <w:r w:rsidRPr="00B11DC4">
        <w:rPr>
          <w:rFonts w:ascii="Times New Roman" w:hAnsi="Times New Roman" w:cs="Times New Roman"/>
          <w:lang w:val="en-US"/>
        </w:rPr>
        <w:t>Komisionit</w:t>
      </w:r>
      <w:proofErr w:type="spellEnd"/>
      <w:r w:rsidRPr="00B11DC4">
        <w:rPr>
          <w:rFonts w:ascii="Times New Roman" w:hAnsi="Times New Roman" w:cs="Times New Roman"/>
          <w:lang w:val="en-US"/>
        </w:rPr>
        <w:t xml:space="preserve"> [</w:t>
      </w:r>
      <w:r w:rsidRPr="00B11DC4">
        <w:rPr>
          <w:rFonts w:ascii="Times New Roman" w:hAnsi="Times New Roman" w:cs="Times New Roman"/>
          <w:i/>
          <w:lang w:val="en-GB"/>
        </w:rPr>
        <w:t xml:space="preserve">Commission Notice on immunity from fines and reduction of fines in cartel cases (OJ C 298, 8.12.2006, p. 17)] </w:t>
      </w:r>
      <w:hyperlink r:id="rId9" w:history="1">
        <w:r w:rsidRPr="00B11DC4">
          <w:rPr>
            <w:rStyle w:val="Hyperlink"/>
            <w:rFonts w:ascii="Times New Roman" w:hAnsi="Times New Roman" w:cs="Times New Roman"/>
            <w:lang w:val="en-GB"/>
          </w:rPr>
          <w:t>https://eur-lex.europa.eu/legal-content/EN/TXT/PDF/?uri=CELEX:52006XC1208(04)&amp;from=EN</w:t>
        </w:r>
      </w:hyperlink>
      <w:r w:rsidRPr="00B11DC4">
        <w:rPr>
          <w:rFonts w:ascii="Times New Roman" w:hAnsi="Times New Roman" w:cs="Times New Roman"/>
          <w:lang w:val="en-GB"/>
        </w:rPr>
        <w:t xml:space="preserve"> </w:t>
      </w:r>
      <w:r w:rsidRPr="00B11DC4">
        <w:rPr>
          <w:rFonts w:ascii="Times New Roman" w:hAnsi="Times New Roman" w:cs="Times New Roman"/>
          <w:i/>
          <w:lang w:val="en-GB"/>
        </w:rPr>
        <w:t xml:space="preserve">amended with a Notice in 2015 (OJ C 256, 5.8.2015, p. 1) </w:t>
      </w:r>
      <w:hyperlink r:id="rId10" w:history="1">
        <w:r w:rsidRPr="00B11DC4">
          <w:rPr>
            <w:rStyle w:val="Hyperlink"/>
            <w:rFonts w:ascii="Times New Roman" w:hAnsi="Times New Roman" w:cs="Times New Roman"/>
            <w:lang w:val="en-GB"/>
          </w:rPr>
          <w:t>https://eur-lex.europa.eu/legal-content/EN/TXT/PDF/?uri=CELEX:02006XC1208(04)-20150805&amp;from=EN</w:t>
        </w:r>
      </w:hyperlink>
    </w:p>
  </w:footnote>
  <w:footnote w:id="13">
    <w:p w14:paraId="2DB44289" w14:textId="77777777" w:rsidR="00DA1727" w:rsidRPr="00B11DC4" w:rsidRDefault="00DA1727" w:rsidP="001622C0">
      <w:pPr>
        <w:pStyle w:val="FootnoteText"/>
        <w:rPr>
          <w:rFonts w:ascii="Times New Roman" w:hAnsi="Times New Roman" w:cs="Times New Roman"/>
          <w:lang w:val="en-US"/>
        </w:rPr>
      </w:pPr>
      <w:r w:rsidRPr="00B11DC4">
        <w:rPr>
          <w:rStyle w:val="FootnoteReference"/>
          <w:rFonts w:ascii="Times New Roman" w:hAnsi="Times New Roman" w:cs="Times New Roman"/>
        </w:rPr>
        <w:footnoteRef/>
      </w:r>
      <w:r w:rsidRPr="00B11DC4">
        <w:rPr>
          <w:rFonts w:ascii="Times New Roman" w:hAnsi="Times New Roman" w:cs="Times New Roman"/>
        </w:rPr>
        <w:t xml:space="preserve"> Njoftimi i Komisionit, [</w:t>
      </w:r>
      <w:r w:rsidRPr="00B11DC4">
        <w:rPr>
          <w:rFonts w:ascii="Times New Roman" w:hAnsi="Times New Roman" w:cs="Times New Roman"/>
          <w:i/>
          <w:lang w:val="en-GB"/>
        </w:rPr>
        <w:t xml:space="preserve">Commission Notice on the definition of relevant market for the purposes of Community competition law (OJ C 372, 9.12.1997, p. 5-13)] </w:t>
      </w:r>
      <w:hyperlink r:id="rId11" w:history="1">
        <w:r w:rsidRPr="00B11DC4">
          <w:rPr>
            <w:rStyle w:val="Hyperlink"/>
            <w:rFonts w:ascii="Times New Roman" w:hAnsi="Times New Roman" w:cs="Times New Roman"/>
            <w:lang w:val="en-GB"/>
          </w:rPr>
          <w:t>https://eur-lex.europa.eu/legal-content/EN/TXT/PDF/?uri=CELEX:31997Y1209(01)&amp;from=EN</w:t>
        </w:r>
      </w:hyperlink>
      <w:r w:rsidRPr="00B11DC4">
        <w:rPr>
          <w:rFonts w:ascii="Times New Roman" w:hAnsi="Times New Roman" w:cs="Times New Roman"/>
          <w:lang w:val="en-GB"/>
        </w:rPr>
        <w:t xml:space="preserve"> </w:t>
      </w:r>
    </w:p>
  </w:footnote>
  <w:footnote w:id="14">
    <w:p w14:paraId="7769425B" w14:textId="77777777" w:rsidR="00321590" w:rsidRPr="00B11DC4" w:rsidRDefault="00321590" w:rsidP="001622C0">
      <w:pPr>
        <w:pStyle w:val="FootnoteText"/>
        <w:rPr>
          <w:rFonts w:ascii="Times New Roman" w:hAnsi="Times New Roman" w:cs="Times New Roman"/>
          <w:lang w:val="en-US"/>
        </w:rPr>
      </w:pPr>
      <w:r w:rsidRPr="00B11DC4">
        <w:rPr>
          <w:rStyle w:val="FootnoteReference"/>
          <w:rFonts w:ascii="Times New Roman" w:hAnsi="Times New Roman" w:cs="Times New Roman"/>
        </w:rPr>
        <w:footnoteRef/>
      </w:r>
      <w:r w:rsidRPr="00B11DC4">
        <w:rPr>
          <w:rFonts w:ascii="Times New Roman" w:hAnsi="Times New Roman" w:cs="Times New Roman"/>
        </w:rPr>
        <w:t xml:space="preserve"> Njoftimi i Komisionit </w:t>
      </w:r>
      <w:r w:rsidRPr="00B11DC4">
        <w:rPr>
          <w:rFonts w:ascii="Times New Roman" w:hAnsi="Times New Roman" w:cs="Times New Roman"/>
          <w:i/>
        </w:rPr>
        <w:t>[C</w:t>
      </w:r>
      <w:proofErr w:type="spellStart"/>
      <w:r w:rsidRPr="00B11DC4">
        <w:rPr>
          <w:rFonts w:ascii="Times New Roman" w:hAnsi="Times New Roman" w:cs="Times New Roman"/>
          <w:i/>
          <w:lang w:val="en-GB"/>
        </w:rPr>
        <w:t>ommission</w:t>
      </w:r>
      <w:proofErr w:type="spellEnd"/>
      <w:r w:rsidRPr="00B11DC4">
        <w:rPr>
          <w:rFonts w:ascii="Times New Roman" w:hAnsi="Times New Roman" w:cs="Times New Roman"/>
          <w:i/>
          <w:lang w:val="en-GB"/>
        </w:rPr>
        <w:t xml:space="preserve"> Notice on   the best practices for the   conduct of proceedings concerning Articles 101 and 102 TFEU (OJ C 308, 20.10.2011, p. 6-32)] </w:t>
      </w:r>
    </w:p>
  </w:footnote>
  <w:footnote w:id="15">
    <w:p w14:paraId="1C238CEE" w14:textId="77777777" w:rsidR="00321590" w:rsidRPr="00B11DC4" w:rsidRDefault="00321590" w:rsidP="001622C0">
      <w:pPr>
        <w:pStyle w:val="FootnoteText"/>
        <w:rPr>
          <w:rFonts w:ascii="Times New Roman" w:hAnsi="Times New Roman" w:cs="Times New Roman"/>
          <w:lang w:val="en-US"/>
        </w:rPr>
      </w:pPr>
      <w:r w:rsidRPr="00B11DC4">
        <w:rPr>
          <w:rStyle w:val="FootnoteReference"/>
          <w:rFonts w:ascii="Times New Roman" w:hAnsi="Times New Roman" w:cs="Times New Roman"/>
        </w:rPr>
        <w:footnoteRef/>
      </w:r>
      <w:r w:rsidRPr="00B11DC4">
        <w:rPr>
          <w:rFonts w:ascii="Times New Roman" w:hAnsi="Times New Roman" w:cs="Times New Roman"/>
        </w:rPr>
        <w:t xml:space="preserve"> Komunikatë nga Komisioni [</w:t>
      </w:r>
      <w:r w:rsidRPr="00B11DC4">
        <w:rPr>
          <w:rFonts w:ascii="Times New Roman" w:hAnsi="Times New Roman" w:cs="Times New Roman"/>
          <w:i/>
          <w:lang w:val="en-GB"/>
        </w:rPr>
        <w:t>Communication from the Commission — Notice on agreements of minor importance which do not appreciably restrict competition under Article 101(1) of the Treaty on the Functioning of the European Union (De Minimis Notice) (OJ C 291, 30.08.2014, p. 1-4)]</w:t>
      </w:r>
      <w:r w:rsidRPr="00B11DC4">
        <w:rPr>
          <w:rFonts w:ascii="Times New Roman" w:hAnsi="Times New Roman" w:cs="Times New Roman"/>
        </w:rPr>
        <w:t xml:space="preserve"> </w:t>
      </w:r>
      <w:hyperlink r:id="rId12" w:history="1">
        <w:r w:rsidRPr="00B11DC4">
          <w:rPr>
            <w:rStyle w:val="Hyperlink"/>
            <w:rFonts w:ascii="Times New Roman" w:hAnsi="Times New Roman" w:cs="Times New Roman"/>
            <w:lang w:val="en-GB"/>
          </w:rPr>
          <w:t>https://eur-lex.europa.eu/legal-content/EN/TXT/PDF/?uri=CELEX:52014XC0830(01)&amp;from=EN</w:t>
        </w:r>
      </w:hyperlink>
      <w:r w:rsidRPr="00B11DC4">
        <w:rPr>
          <w:rFonts w:ascii="Times New Roman" w:hAnsi="Times New Roman" w:cs="Times New Roman"/>
          <w:lang w:val="en-GB"/>
        </w:rPr>
        <w:t xml:space="preserve"> </w:t>
      </w:r>
    </w:p>
  </w:footnote>
  <w:footnote w:id="16">
    <w:p w14:paraId="1AE24148" w14:textId="77777777" w:rsidR="00321590" w:rsidRPr="00B11DC4" w:rsidRDefault="00321590" w:rsidP="001622C0">
      <w:pPr>
        <w:pStyle w:val="FootnoteText"/>
        <w:rPr>
          <w:rFonts w:ascii="Times New Roman" w:hAnsi="Times New Roman" w:cs="Times New Roman"/>
          <w:lang w:val="en-US"/>
        </w:rPr>
      </w:pPr>
      <w:r w:rsidRPr="00B11DC4">
        <w:rPr>
          <w:rStyle w:val="FootnoteReference"/>
          <w:rFonts w:ascii="Times New Roman" w:hAnsi="Times New Roman" w:cs="Times New Roman"/>
        </w:rPr>
        <w:footnoteRef/>
      </w:r>
      <w:r w:rsidRPr="00B11DC4">
        <w:rPr>
          <w:rFonts w:ascii="Times New Roman" w:hAnsi="Times New Roman" w:cs="Times New Roman"/>
        </w:rPr>
        <w:t xml:space="preserve"> Rregullorja e Komisioni (BE) 330/2010 [</w:t>
      </w:r>
      <w:r w:rsidRPr="00B11DC4">
        <w:rPr>
          <w:rFonts w:ascii="Times New Roman" w:hAnsi="Times New Roman" w:cs="Times New Roman"/>
          <w:i/>
          <w:lang w:val="en-GB"/>
        </w:rPr>
        <w:t>Commission Regulation (EU) 330/2010 of 20 April 2010 on the application of Article 101(3) of the Treaty on the Functioning of the European Union to categories of vertical agreements and concerted practices (OJ L 102, 23.04.2010, p. 1-7)]</w:t>
      </w:r>
      <w:r w:rsidRPr="00B11DC4">
        <w:rPr>
          <w:rFonts w:ascii="Times New Roman" w:hAnsi="Times New Roman" w:cs="Times New Roman"/>
          <w:lang w:val="en-GB"/>
        </w:rPr>
        <w:t xml:space="preserve"> </w:t>
      </w:r>
      <w:hyperlink r:id="rId13" w:history="1">
        <w:r w:rsidRPr="00B11DC4">
          <w:rPr>
            <w:rStyle w:val="Hyperlink"/>
            <w:rFonts w:ascii="Times New Roman" w:hAnsi="Times New Roman" w:cs="Times New Roman"/>
            <w:lang w:val="en-GB"/>
          </w:rPr>
          <w:t>https://eur-lex.europa.eu/legal-content/EN/TXT/PDF/?uri=CELEX:32010R0330&amp;from=EN</w:t>
        </w:r>
      </w:hyperlink>
      <w:r w:rsidRPr="00B11DC4">
        <w:rPr>
          <w:rFonts w:ascii="Times New Roman" w:hAnsi="Times New Roman" w:cs="Times New Roman"/>
          <w:lang w:val="en-GB"/>
        </w:rPr>
        <w:t xml:space="preserve"> </w:t>
      </w:r>
    </w:p>
  </w:footnote>
  <w:footnote w:id="17">
    <w:p w14:paraId="74EF312F" w14:textId="77777777" w:rsidR="00321590" w:rsidRPr="00B11DC4" w:rsidRDefault="00321590" w:rsidP="001622C0">
      <w:pPr>
        <w:pStyle w:val="FootnoteText"/>
        <w:rPr>
          <w:rFonts w:ascii="Times New Roman" w:hAnsi="Times New Roman" w:cs="Times New Roman"/>
          <w:lang w:val="en-US"/>
        </w:rPr>
      </w:pPr>
      <w:r w:rsidRPr="00B11DC4">
        <w:rPr>
          <w:rStyle w:val="FootnoteReference"/>
          <w:rFonts w:ascii="Times New Roman" w:hAnsi="Times New Roman" w:cs="Times New Roman"/>
        </w:rPr>
        <w:footnoteRef/>
      </w:r>
      <w:r w:rsidRPr="00B11DC4">
        <w:rPr>
          <w:rFonts w:ascii="Times New Roman" w:hAnsi="Times New Roman" w:cs="Times New Roman"/>
        </w:rPr>
        <w:t xml:space="preserve"> Rregullorja e Komisionit (BE) Nr. 461/2010 [</w:t>
      </w:r>
      <w:r w:rsidRPr="00B11DC4">
        <w:rPr>
          <w:rFonts w:ascii="Times New Roman" w:hAnsi="Times New Roman" w:cs="Times New Roman"/>
          <w:i/>
          <w:lang w:val="en-GB"/>
        </w:rPr>
        <w:t>Commission Regulation (EU) No 461/2010 of 27 May 2010 on the application of Article 101(3) of the Treaty on the Functioning of the European Union to categories of vertical agreements and concerted practices in the motor vehicle sector (OJ L 129, 28.05.2010, p. 52-57)]</w:t>
      </w:r>
      <w:r w:rsidRPr="00B11DC4">
        <w:rPr>
          <w:rFonts w:ascii="Times New Roman" w:hAnsi="Times New Roman" w:cs="Times New Roman"/>
        </w:rPr>
        <w:t xml:space="preserve"> </w:t>
      </w:r>
      <w:hyperlink r:id="rId14" w:history="1">
        <w:r w:rsidRPr="00B11DC4">
          <w:rPr>
            <w:rStyle w:val="Hyperlink"/>
            <w:rFonts w:ascii="Times New Roman" w:hAnsi="Times New Roman" w:cs="Times New Roman"/>
            <w:lang w:val="en-GB"/>
          </w:rPr>
          <w:t>https://eur-lex.europa.eu/legal-content/EN/TXT/PDF/?uri=CELEX:32010R0461&amp;from=EN</w:t>
        </w:r>
      </w:hyperlink>
      <w:r w:rsidRPr="00B11DC4">
        <w:rPr>
          <w:rFonts w:ascii="Times New Roman" w:hAnsi="Times New Roman" w:cs="Times New Roman"/>
          <w:lang w:val="en-GB"/>
        </w:rPr>
        <w:t xml:space="preserve">  </w:t>
      </w:r>
    </w:p>
  </w:footnote>
  <w:footnote w:id="18">
    <w:p w14:paraId="173EC399" w14:textId="77777777" w:rsidR="00321590" w:rsidRPr="00B11DC4" w:rsidRDefault="00321590" w:rsidP="001622C0">
      <w:pPr>
        <w:pStyle w:val="FootnoteText"/>
        <w:rPr>
          <w:rFonts w:ascii="Times New Roman" w:hAnsi="Times New Roman" w:cs="Times New Roman"/>
          <w:lang w:val="en-US"/>
        </w:rPr>
      </w:pPr>
      <w:r w:rsidRPr="00B11DC4">
        <w:rPr>
          <w:rStyle w:val="FootnoteReference"/>
          <w:rFonts w:ascii="Times New Roman" w:hAnsi="Times New Roman" w:cs="Times New Roman"/>
        </w:rPr>
        <w:footnoteRef/>
      </w:r>
      <w:r w:rsidRPr="00B11DC4">
        <w:rPr>
          <w:rFonts w:ascii="Times New Roman" w:hAnsi="Times New Roman" w:cs="Times New Roman"/>
        </w:rPr>
        <w:t xml:space="preserve"> Udhëzime Praktike, [</w:t>
      </w:r>
      <w:r w:rsidRPr="00B11DC4">
        <w:rPr>
          <w:rFonts w:ascii="Times New Roman" w:hAnsi="Times New Roman" w:cs="Times New Roman"/>
          <w:i/>
          <w:lang w:val="en-GB"/>
        </w:rPr>
        <w:t>Guidelines on the applicability of Article 101 of the Treaty on the Functioning of the European Union to horizontal cooperation agreements (OJ C 11, 14.01.2011, p. 1-72)]</w:t>
      </w:r>
      <w:r w:rsidRPr="00B11DC4">
        <w:rPr>
          <w:rFonts w:ascii="Times New Roman" w:hAnsi="Times New Roman" w:cs="Times New Roman"/>
        </w:rPr>
        <w:t xml:space="preserve"> </w:t>
      </w:r>
      <w:hyperlink r:id="rId15" w:history="1">
        <w:r w:rsidRPr="00B11DC4">
          <w:rPr>
            <w:rStyle w:val="Hyperlink"/>
            <w:rFonts w:ascii="Times New Roman" w:hAnsi="Times New Roman" w:cs="Times New Roman"/>
            <w:lang w:val="en-GB"/>
          </w:rPr>
          <w:t>https://eur-lex.europa.eu/legal-content/EN/TXT/PDF/?uri=CELEX:52011XC0114(04)&amp;from=EN</w:t>
        </w:r>
      </w:hyperlink>
      <w:r w:rsidRPr="00B11DC4">
        <w:rPr>
          <w:rFonts w:ascii="Times New Roman" w:hAnsi="Times New Roman" w:cs="Times New Roman"/>
          <w:lang w:val="en-GB"/>
        </w:rPr>
        <w:t xml:space="preserve"> </w:t>
      </w:r>
    </w:p>
  </w:footnote>
  <w:footnote w:id="19">
    <w:p w14:paraId="5DE2913B" w14:textId="77777777" w:rsidR="00321590" w:rsidRPr="00B11DC4" w:rsidRDefault="00321590" w:rsidP="001622C0">
      <w:pPr>
        <w:pStyle w:val="FootnoteText"/>
        <w:rPr>
          <w:rFonts w:ascii="Times New Roman" w:hAnsi="Times New Roman" w:cs="Times New Roman"/>
          <w:lang w:val="en-US"/>
        </w:rPr>
      </w:pPr>
      <w:r w:rsidRPr="00B11DC4">
        <w:rPr>
          <w:rStyle w:val="FootnoteReference"/>
          <w:rFonts w:ascii="Times New Roman" w:hAnsi="Times New Roman" w:cs="Times New Roman"/>
        </w:rPr>
        <w:footnoteRef/>
      </w:r>
      <w:r w:rsidRPr="00B11DC4">
        <w:rPr>
          <w:rFonts w:ascii="Times New Roman" w:hAnsi="Times New Roman" w:cs="Times New Roman"/>
        </w:rPr>
        <w:t xml:space="preserve"> Rregullore e Komisionit Nr. 267/2010 [</w:t>
      </w:r>
      <w:r w:rsidRPr="00B11DC4">
        <w:rPr>
          <w:rFonts w:ascii="Times New Roman" w:hAnsi="Times New Roman" w:cs="Times New Roman"/>
          <w:i/>
          <w:lang w:val="en-GB"/>
        </w:rPr>
        <w:t>Commission Regulation (EU) No 267/2010 of 24 March 2010 on the application of Article 101(3) of the Treaty on the Functioning of the European Union to certain categories of agreements, decisions and concerted practices in the insurance sector (OJ L 83, 30.03.2010, p. 1-7)]</w:t>
      </w:r>
      <w:r w:rsidRPr="00B11DC4">
        <w:rPr>
          <w:rFonts w:ascii="Times New Roman" w:hAnsi="Times New Roman" w:cs="Times New Roman"/>
        </w:rPr>
        <w:t xml:space="preserve"> </w:t>
      </w:r>
      <w:hyperlink r:id="rId16" w:history="1">
        <w:r w:rsidRPr="00B11DC4">
          <w:rPr>
            <w:rStyle w:val="Hyperlink"/>
            <w:rFonts w:ascii="Times New Roman" w:hAnsi="Times New Roman" w:cs="Times New Roman"/>
            <w:lang w:val="en-GB"/>
          </w:rPr>
          <w:t>https://eur-lex.europa.eu/LexUriServ/LexUriServ.do?uri=OJ:L:2010:083:0001:0007:EN:PDF</w:t>
        </w:r>
      </w:hyperlink>
      <w:r w:rsidRPr="00B11DC4">
        <w:rPr>
          <w:rFonts w:ascii="Times New Roman" w:hAnsi="Times New Roman" w:cs="Times New Roman"/>
          <w:lang w:val="en-GB"/>
        </w:rPr>
        <w:t xml:space="preserve"> </w:t>
      </w:r>
    </w:p>
  </w:footnote>
  <w:footnote w:id="20">
    <w:p w14:paraId="57EA7DAB" w14:textId="77777777" w:rsidR="00321590" w:rsidRPr="00B11DC4" w:rsidRDefault="00321590" w:rsidP="001622C0">
      <w:pPr>
        <w:pStyle w:val="FootnoteText"/>
        <w:rPr>
          <w:rFonts w:ascii="Times New Roman" w:hAnsi="Times New Roman" w:cs="Times New Roman"/>
          <w:lang w:val="en-US"/>
        </w:rPr>
      </w:pPr>
      <w:r w:rsidRPr="00B11DC4">
        <w:rPr>
          <w:rStyle w:val="FootnoteReference"/>
          <w:rFonts w:ascii="Times New Roman" w:hAnsi="Times New Roman" w:cs="Times New Roman"/>
        </w:rPr>
        <w:footnoteRef/>
      </w:r>
      <w:r w:rsidRPr="00B11DC4">
        <w:rPr>
          <w:rFonts w:ascii="Times New Roman" w:hAnsi="Times New Roman" w:cs="Times New Roman"/>
        </w:rPr>
        <w:t xml:space="preserve"> Rregullorja e Komisionit 169/2009 [</w:t>
      </w:r>
      <w:r w:rsidRPr="00B11DC4">
        <w:rPr>
          <w:rFonts w:ascii="Times New Roman" w:hAnsi="Times New Roman" w:cs="Times New Roman"/>
          <w:i/>
          <w:lang w:val="en-GB"/>
        </w:rPr>
        <w:t>Council Regulation (EC) No 169/2009 of 26 February 2009 applying rules of competition to transport by rail, road and inland waterway (OJ L 61, 5.03.2009, p. 1)]</w:t>
      </w:r>
      <w:r w:rsidRPr="00B11DC4">
        <w:rPr>
          <w:rFonts w:ascii="Times New Roman" w:hAnsi="Times New Roman" w:cs="Times New Roman"/>
        </w:rPr>
        <w:t xml:space="preserve"> </w:t>
      </w:r>
      <w:hyperlink r:id="rId17" w:history="1">
        <w:r w:rsidRPr="00B11DC4">
          <w:rPr>
            <w:rStyle w:val="Hyperlink"/>
            <w:rFonts w:ascii="Times New Roman" w:hAnsi="Times New Roman" w:cs="Times New Roman"/>
            <w:lang w:val="en-GB"/>
          </w:rPr>
          <w:t>https://eur-lex.europa.eu/legal-content/EN/TXT/PDF/?uri=CELEX:32009R0169&amp;from=EN</w:t>
        </w:r>
      </w:hyperlink>
      <w:r w:rsidRPr="00B11DC4">
        <w:rPr>
          <w:rFonts w:ascii="Times New Roman" w:hAnsi="Times New Roman" w:cs="Times New Roman"/>
          <w:lang w:val="en-GB"/>
        </w:rPr>
        <w:t xml:space="preserve"> </w:t>
      </w:r>
    </w:p>
  </w:footnote>
  <w:footnote w:id="21">
    <w:p w14:paraId="59E3DEEA" w14:textId="77777777" w:rsidR="00321590" w:rsidRPr="00B11DC4" w:rsidRDefault="00321590" w:rsidP="001622C0">
      <w:pPr>
        <w:pStyle w:val="FootnoteText"/>
        <w:rPr>
          <w:rFonts w:ascii="Times New Roman" w:hAnsi="Times New Roman" w:cs="Times New Roman"/>
          <w:lang w:val="en-US"/>
        </w:rPr>
      </w:pPr>
      <w:r w:rsidRPr="00B11DC4">
        <w:rPr>
          <w:rStyle w:val="FootnoteReference"/>
          <w:rFonts w:ascii="Times New Roman" w:hAnsi="Times New Roman" w:cs="Times New Roman"/>
        </w:rPr>
        <w:footnoteRef/>
      </w:r>
      <w:r w:rsidRPr="00B11DC4">
        <w:rPr>
          <w:rFonts w:ascii="Times New Roman" w:hAnsi="Times New Roman" w:cs="Times New Roman"/>
        </w:rPr>
        <w:t xml:space="preserve"> Rregullorja e Komisionit 139/2004 [</w:t>
      </w:r>
      <w:r w:rsidRPr="00B11DC4">
        <w:rPr>
          <w:rFonts w:ascii="Times New Roman" w:hAnsi="Times New Roman" w:cs="Times New Roman"/>
          <w:i/>
          <w:lang w:val="en-GB"/>
        </w:rPr>
        <w:t xml:space="preserve">Council Regulation (EC) </w:t>
      </w:r>
      <w:bookmarkStart w:id="13" w:name="_Hlk516147614"/>
      <w:r w:rsidRPr="00B11DC4">
        <w:rPr>
          <w:rFonts w:ascii="Times New Roman" w:hAnsi="Times New Roman" w:cs="Times New Roman"/>
          <w:i/>
          <w:lang w:val="en-GB"/>
        </w:rPr>
        <w:t>No 139/2004 of 20 January 2004 on the control of concentrations between undertakings (the EC Merger Regulation)</w:t>
      </w:r>
      <w:bookmarkEnd w:id="13"/>
      <w:r w:rsidRPr="00B11DC4">
        <w:rPr>
          <w:rFonts w:ascii="Times New Roman" w:hAnsi="Times New Roman" w:cs="Times New Roman"/>
          <w:i/>
          <w:lang w:val="en-GB"/>
        </w:rPr>
        <w:t xml:space="preserve"> (OJ L 24, 29.01.2004, p. 1-22), amended by Commission Implementing Regulation No 1269/2013]</w:t>
      </w:r>
      <w:r w:rsidRPr="00B11DC4">
        <w:rPr>
          <w:rFonts w:ascii="Times New Roman" w:hAnsi="Times New Roman" w:cs="Times New Roman"/>
        </w:rPr>
        <w:t xml:space="preserve"> </w:t>
      </w:r>
      <w:hyperlink r:id="rId18" w:history="1">
        <w:r w:rsidRPr="00B11DC4">
          <w:rPr>
            <w:rStyle w:val="Hyperlink"/>
            <w:rFonts w:ascii="Times New Roman" w:hAnsi="Times New Roman" w:cs="Times New Roman"/>
          </w:rPr>
          <w:t>https://eur-lex.europa.eu/legal-content/EN/TXT/PDF/?uri=CELEX:32004R0139&amp;from=EN</w:t>
        </w:r>
      </w:hyperlink>
      <w:r w:rsidRPr="00B11DC4">
        <w:rPr>
          <w:rFonts w:ascii="Times New Roman" w:hAnsi="Times New Roman" w:cs="Times New Roman"/>
        </w:rPr>
        <w:t xml:space="preserve"> </w:t>
      </w:r>
    </w:p>
  </w:footnote>
  <w:footnote w:id="22">
    <w:p w14:paraId="15EB9007" w14:textId="77777777" w:rsidR="00321590" w:rsidRPr="00B11DC4" w:rsidRDefault="00321590" w:rsidP="001622C0">
      <w:pPr>
        <w:pStyle w:val="FootnoteText"/>
        <w:rPr>
          <w:rFonts w:ascii="Times New Roman" w:hAnsi="Times New Roman" w:cs="Times New Roman"/>
          <w:lang w:val="en-US"/>
        </w:rPr>
      </w:pPr>
      <w:r w:rsidRPr="00B11DC4">
        <w:rPr>
          <w:rStyle w:val="FootnoteReference"/>
          <w:rFonts w:ascii="Times New Roman" w:hAnsi="Times New Roman" w:cs="Times New Roman"/>
        </w:rPr>
        <w:footnoteRef/>
      </w:r>
      <w:r w:rsidRPr="00B11DC4">
        <w:rPr>
          <w:rFonts w:ascii="Times New Roman" w:hAnsi="Times New Roman" w:cs="Times New Roman"/>
        </w:rPr>
        <w:t xml:space="preserve"> Rregullorja e Komisionit 802/2004 [</w:t>
      </w:r>
      <w:r w:rsidRPr="00B11DC4">
        <w:rPr>
          <w:rFonts w:ascii="Times New Roman" w:hAnsi="Times New Roman" w:cs="Times New Roman"/>
          <w:i/>
          <w:lang w:val="en-GB"/>
        </w:rPr>
        <w:t>Commission Regulation (EC) No 802/2004 of 21 April 2004 implementing Council Regulation (EC) No 139/2004 of 20 January 2004 on the control of concentrations between undertakings (OJ L 133, 30.04.2004, p. 1-39)</w:t>
      </w:r>
      <w:r w:rsidRPr="00B11DC4">
        <w:rPr>
          <w:rStyle w:val="FootnoteReference"/>
          <w:rFonts w:ascii="Times New Roman" w:hAnsi="Times New Roman" w:cs="Times New Roman"/>
          <w:i/>
          <w:lang w:val="en-GB"/>
        </w:rPr>
        <w:footnoteRef/>
      </w:r>
      <w:r w:rsidRPr="00B11DC4">
        <w:rPr>
          <w:rFonts w:ascii="Times New Roman" w:hAnsi="Times New Roman" w:cs="Times New Roman"/>
          <w:i/>
          <w:lang w:val="en-GB"/>
        </w:rPr>
        <w:t>, amended by Regulation No 1348/2015.]</w:t>
      </w:r>
      <w:r w:rsidRPr="00B11DC4">
        <w:rPr>
          <w:rFonts w:ascii="Times New Roman" w:hAnsi="Times New Roman" w:cs="Times New Roman"/>
        </w:rPr>
        <w:t xml:space="preserve"> </w:t>
      </w:r>
      <w:hyperlink r:id="rId19" w:history="1">
        <w:r w:rsidRPr="00B11DC4">
          <w:rPr>
            <w:rStyle w:val="Hyperlink"/>
            <w:rFonts w:ascii="Times New Roman" w:hAnsi="Times New Roman" w:cs="Times New Roman"/>
            <w:lang w:val="en-GB"/>
          </w:rPr>
          <w:t>https://eur-lex.europa.eu/legal-content/EN/TXT/PDF/?uri=CELEX:32004R0802&amp;from=EN</w:t>
        </w:r>
      </w:hyperlink>
      <w:r w:rsidRPr="00B11DC4">
        <w:rPr>
          <w:rFonts w:ascii="Times New Roman" w:hAnsi="Times New Roman" w:cs="Times New Roman"/>
          <w:lang w:val="en-GB"/>
        </w:rPr>
        <w:t xml:space="preserve"> </w:t>
      </w:r>
    </w:p>
  </w:footnote>
  <w:footnote w:id="23">
    <w:p w14:paraId="090107EE" w14:textId="2AF9171E" w:rsidR="00DA1727" w:rsidRPr="00B11DC4" w:rsidRDefault="00DA1727" w:rsidP="001622C0">
      <w:pPr>
        <w:pStyle w:val="FootnoteText"/>
        <w:rPr>
          <w:rFonts w:ascii="Times New Roman" w:hAnsi="Times New Roman" w:cs="Times New Roman"/>
          <w:lang w:val="en-US"/>
        </w:rPr>
      </w:pPr>
      <w:r w:rsidRPr="00B11DC4">
        <w:rPr>
          <w:rStyle w:val="FootnoteReference"/>
          <w:rFonts w:ascii="Times New Roman" w:hAnsi="Times New Roman" w:cs="Times New Roman"/>
        </w:rPr>
        <w:footnoteRef/>
      </w:r>
      <w:r w:rsidRPr="00B11DC4">
        <w:rPr>
          <w:rFonts w:ascii="Times New Roman" w:hAnsi="Times New Roman" w:cs="Times New Roman"/>
        </w:rPr>
        <w:t xml:space="preserve"> </w:t>
      </w:r>
      <w:proofErr w:type="spellStart"/>
      <w:r w:rsidRPr="00B11DC4">
        <w:rPr>
          <w:rFonts w:ascii="Times New Roman" w:hAnsi="Times New Roman" w:cs="Times New Roman"/>
          <w:lang w:val="en-GB"/>
        </w:rPr>
        <w:t>Rregullorja</w:t>
      </w:r>
      <w:proofErr w:type="spellEnd"/>
      <w:r w:rsidRPr="00B11DC4">
        <w:rPr>
          <w:rFonts w:ascii="Times New Roman" w:hAnsi="Times New Roman" w:cs="Times New Roman"/>
          <w:lang w:val="en-GB"/>
        </w:rPr>
        <w:t xml:space="preserve"> e </w:t>
      </w:r>
      <w:proofErr w:type="spellStart"/>
      <w:r w:rsidRPr="00B11DC4">
        <w:rPr>
          <w:rFonts w:ascii="Times New Roman" w:hAnsi="Times New Roman" w:cs="Times New Roman"/>
          <w:lang w:val="en-GB"/>
        </w:rPr>
        <w:t>Komisionit</w:t>
      </w:r>
      <w:proofErr w:type="spellEnd"/>
      <w:r w:rsidRPr="00B11DC4">
        <w:rPr>
          <w:rFonts w:ascii="Times New Roman" w:hAnsi="Times New Roman" w:cs="Times New Roman"/>
          <w:lang w:val="en-GB"/>
        </w:rPr>
        <w:t xml:space="preserve"> (BE) </w:t>
      </w:r>
      <w:proofErr w:type="spellStart"/>
      <w:r w:rsidRPr="00B11DC4">
        <w:rPr>
          <w:rFonts w:ascii="Times New Roman" w:hAnsi="Times New Roman" w:cs="Times New Roman"/>
          <w:lang w:val="en-GB"/>
        </w:rPr>
        <w:t>Nr</w:t>
      </w:r>
      <w:proofErr w:type="spellEnd"/>
      <w:r w:rsidRPr="00B11DC4">
        <w:rPr>
          <w:rFonts w:ascii="Times New Roman" w:hAnsi="Times New Roman" w:cs="Times New Roman"/>
          <w:lang w:val="en-GB"/>
        </w:rPr>
        <w:t>. 316/2014 [</w:t>
      </w:r>
      <w:r w:rsidRPr="00B11DC4">
        <w:rPr>
          <w:rFonts w:ascii="Times New Roman" w:hAnsi="Times New Roman" w:cs="Times New Roman"/>
          <w:i/>
          <w:lang w:val="en-GB"/>
        </w:rPr>
        <w:t xml:space="preserve">Commission Regulation (EU) No 316/2014 of 21 March 2014 on the application of Article 101(3) of the Treaty on the Functioning of the European Union to categories of technology transfer agreements (OJ L 93, 28.03.2014, p. 17-23)] </w:t>
      </w:r>
      <w:hyperlink r:id="rId20" w:history="1">
        <w:r w:rsidRPr="00B11DC4">
          <w:rPr>
            <w:rStyle w:val="Hyperlink"/>
            <w:rFonts w:ascii="Times New Roman" w:hAnsi="Times New Roman" w:cs="Times New Roman"/>
          </w:rPr>
          <w:t>https://eur-lex.europa.eu/legal-content/EN/TXT/PDF/?uri=CELEX:32014R0316&amp;from=EN</w:t>
        </w:r>
      </w:hyperlink>
      <w:r w:rsidRPr="00B11DC4">
        <w:rPr>
          <w:rFonts w:ascii="Times New Roman" w:hAnsi="Times New Roman" w:cs="Times New Roman"/>
        </w:rPr>
        <w:t xml:space="preserve"> </w:t>
      </w:r>
    </w:p>
  </w:footnote>
  <w:footnote w:id="24">
    <w:p w14:paraId="0799EF76" w14:textId="77777777" w:rsidR="00DA1727" w:rsidRPr="00B11DC4" w:rsidRDefault="00DA1727" w:rsidP="001622C0">
      <w:pPr>
        <w:pStyle w:val="FootnoteText"/>
        <w:rPr>
          <w:rFonts w:ascii="Times New Roman" w:hAnsi="Times New Roman" w:cs="Times New Roman"/>
        </w:rPr>
      </w:pPr>
      <w:r w:rsidRPr="00B11DC4">
        <w:rPr>
          <w:rStyle w:val="FootnoteReference"/>
          <w:rFonts w:ascii="Times New Roman" w:hAnsi="Times New Roman" w:cs="Times New Roman"/>
        </w:rPr>
        <w:footnoteRef/>
      </w:r>
      <w:r w:rsidRPr="00B11DC4">
        <w:rPr>
          <w:rFonts w:ascii="Times New Roman" w:hAnsi="Times New Roman" w:cs="Times New Roman"/>
        </w:rPr>
        <w:t xml:space="preserve"> </w:t>
      </w:r>
      <w:r w:rsidRPr="00B11DC4">
        <w:rPr>
          <w:rFonts w:ascii="Times New Roman" w:hAnsi="Times New Roman" w:cs="Times New Roman"/>
          <w:lang w:eastAsia="pl-PL"/>
        </w:rPr>
        <w:t xml:space="preserve">Direktiva e BE-së 2014/104/BE  </w:t>
      </w:r>
      <w:r w:rsidRPr="00B11DC4">
        <w:rPr>
          <w:rFonts w:ascii="Times New Roman" w:hAnsi="Times New Roman" w:cs="Times New Roman"/>
          <w:i/>
          <w:lang w:eastAsia="pl-PL"/>
        </w:rPr>
        <w:t xml:space="preserve">[EU </w:t>
      </w:r>
      <w:proofErr w:type="spellStart"/>
      <w:r w:rsidRPr="00B11DC4">
        <w:rPr>
          <w:rFonts w:ascii="Times New Roman" w:hAnsi="Times New Roman" w:cs="Times New Roman"/>
          <w:i/>
          <w:lang w:eastAsia="pl-PL"/>
        </w:rPr>
        <w:t>Directive</w:t>
      </w:r>
      <w:proofErr w:type="spellEnd"/>
      <w:r w:rsidRPr="00B11DC4">
        <w:rPr>
          <w:rFonts w:ascii="Times New Roman" w:hAnsi="Times New Roman" w:cs="Times New Roman"/>
          <w:b/>
          <w:i/>
          <w:lang w:eastAsia="pl-PL"/>
        </w:rPr>
        <w:t xml:space="preserve"> </w:t>
      </w:r>
      <w:r w:rsidRPr="00B11DC4">
        <w:rPr>
          <w:rStyle w:val="Strong"/>
          <w:rFonts w:ascii="Times New Roman" w:hAnsi="Times New Roman" w:cs="Times New Roman"/>
          <w:i/>
        </w:rPr>
        <w:t xml:space="preserve">2014/104/EU </w:t>
      </w:r>
      <w:proofErr w:type="spellStart"/>
      <w:r w:rsidRPr="00B11DC4">
        <w:rPr>
          <w:rStyle w:val="Strong"/>
          <w:rFonts w:ascii="Times New Roman" w:hAnsi="Times New Roman" w:cs="Times New Roman"/>
          <w:i/>
        </w:rPr>
        <w:t>of</w:t>
      </w:r>
      <w:proofErr w:type="spellEnd"/>
      <w:r w:rsidRPr="00B11DC4">
        <w:rPr>
          <w:rStyle w:val="Strong"/>
          <w:rFonts w:ascii="Times New Roman" w:hAnsi="Times New Roman" w:cs="Times New Roman"/>
          <w:i/>
        </w:rPr>
        <w:t xml:space="preserve"> the </w:t>
      </w:r>
      <w:proofErr w:type="spellStart"/>
      <w:r w:rsidRPr="00B11DC4">
        <w:rPr>
          <w:rStyle w:val="Strong"/>
          <w:rFonts w:ascii="Times New Roman" w:hAnsi="Times New Roman" w:cs="Times New Roman"/>
          <w:i/>
        </w:rPr>
        <w:t>European</w:t>
      </w:r>
      <w:proofErr w:type="spellEnd"/>
      <w:r w:rsidRPr="00B11DC4">
        <w:rPr>
          <w:rStyle w:val="Strong"/>
          <w:rFonts w:ascii="Times New Roman" w:hAnsi="Times New Roman" w:cs="Times New Roman"/>
          <w:i/>
        </w:rPr>
        <w:t xml:space="preserve"> </w:t>
      </w:r>
      <w:proofErr w:type="spellStart"/>
      <w:r w:rsidRPr="00B11DC4">
        <w:rPr>
          <w:rStyle w:val="Strong"/>
          <w:rFonts w:ascii="Times New Roman" w:hAnsi="Times New Roman" w:cs="Times New Roman"/>
          <w:i/>
        </w:rPr>
        <w:t>Parliament</w:t>
      </w:r>
      <w:proofErr w:type="spellEnd"/>
      <w:r w:rsidRPr="00B11DC4">
        <w:rPr>
          <w:rStyle w:val="Strong"/>
          <w:rFonts w:ascii="Times New Roman" w:hAnsi="Times New Roman" w:cs="Times New Roman"/>
          <w:i/>
        </w:rPr>
        <w:t xml:space="preserve"> </w:t>
      </w:r>
      <w:proofErr w:type="spellStart"/>
      <w:r w:rsidRPr="00B11DC4">
        <w:rPr>
          <w:rStyle w:val="Strong"/>
          <w:rFonts w:ascii="Times New Roman" w:hAnsi="Times New Roman" w:cs="Times New Roman"/>
          <w:i/>
        </w:rPr>
        <w:t>and</w:t>
      </w:r>
      <w:proofErr w:type="spellEnd"/>
      <w:r w:rsidRPr="00B11DC4">
        <w:rPr>
          <w:rStyle w:val="Strong"/>
          <w:rFonts w:ascii="Times New Roman" w:hAnsi="Times New Roman" w:cs="Times New Roman"/>
          <w:i/>
        </w:rPr>
        <w:t xml:space="preserve"> </w:t>
      </w:r>
      <w:proofErr w:type="spellStart"/>
      <w:r w:rsidRPr="00B11DC4">
        <w:rPr>
          <w:rStyle w:val="Strong"/>
          <w:rFonts w:ascii="Times New Roman" w:hAnsi="Times New Roman" w:cs="Times New Roman"/>
          <w:i/>
        </w:rPr>
        <w:t>of</w:t>
      </w:r>
      <w:proofErr w:type="spellEnd"/>
      <w:r w:rsidRPr="00B11DC4">
        <w:rPr>
          <w:rStyle w:val="Strong"/>
          <w:rFonts w:ascii="Times New Roman" w:hAnsi="Times New Roman" w:cs="Times New Roman"/>
          <w:i/>
        </w:rPr>
        <w:t xml:space="preserve"> the Council </w:t>
      </w:r>
      <w:proofErr w:type="spellStart"/>
      <w:r w:rsidRPr="00B11DC4">
        <w:rPr>
          <w:rStyle w:val="Strong"/>
          <w:rFonts w:ascii="Times New Roman" w:hAnsi="Times New Roman" w:cs="Times New Roman"/>
          <w:i/>
        </w:rPr>
        <w:t>of</w:t>
      </w:r>
      <w:proofErr w:type="spellEnd"/>
      <w:r w:rsidRPr="00B11DC4">
        <w:rPr>
          <w:rStyle w:val="Strong"/>
          <w:rFonts w:ascii="Times New Roman" w:hAnsi="Times New Roman" w:cs="Times New Roman"/>
          <w:i/>
        </w:rPr>
        <w:t xml:space="preserve"> 26 </w:t>
      </w:r>
      <w:proofErr w:type="spellStart"/>
      <w:r w:rsidRPr="00B11DC4">
        <w:rPr>
          <w:rStyle w:val="Strong"/>
          <w:rFonts w:ascii="Times New Roman" w:hAnsi="Times New Roman" w:cs="Times New Roman"/>
          <w:i/>
        </w:rPr>
        <w:t>November</w:t>
      </w:r>
      <w:proofErr w:type="spellEnd"/>
      <w:r w:rsidRPr="00B11DC4">
        <w:rPr>
          <w:rStyle w:val="Strong"/>
          <w:rFonts w:ascii="Times New Roman" w:hAnsi="Times New Roman" w:cs="Times New Roman"/>
          <w:i/>
          <w:lang w:eastAsia="pl-PL"/>
        </w:rPr>
        <w:t xml:space="preserve"> </w:t>
      </w:r>
      <w:r w:rsidRPr="00B11DC4">
        <w:rPr>
          <w:rStyle w:val="Strong"/>
          <w:rFonts w:ascii="Times New Roman" w:hAnsi="Times New Roman" w:cs="Times New Roman"/>
          <w:i/>
        </w:rPr>
        <w:t xml:space="preserve">2014 </w:t>
      </w:r>
      <w:proofErr w:type="spellStart"/>
      <w:r w:rsidRPr="00B11DC4">
        <w:rPr>
          <w:rStyle w:val="Strong"/>
          <w:rFonts w:ascii="Times New Roman" w:hAnsi="Times New Roman" w:cs="Times New Roman"/>
          <w:i/>
        </w:rPr>
        <w:t>on</w:t>
      </w:r>
      <w:proofErr w:type="spellEnd"/>
      <w:r w:rsidRPr="00B11DC4">
        <w:rPr>
          <w:rStyle w:val="Strong"/>
          <w:rFonts w:ascii="Times New Roman" w:hAnsi="Times New Roman" w:cs="Times New Roman"/>
          <w:i/>
        </w:rPr>
        <w:t xml:space="preserve"> </w:t>
      </w:r>
      <w:proofErr w:type="spellStart"/>
      <w:r w:rsidRPr="00B11DC4">
        <w:rPr>
          <w:rStyle w:val="Strong"/>
          <w:rFonts w:ascii="Times New Roman" w:hAnsi="Times New Roman" w:cs="Times New Roman"/>
          <w:i/>
        </w:rPr>
        <w:t>certain</w:t>
      </w:r>
      <w:proofErr w:type="spellEnd"/>
      <w:r w:rsidRPr="00B11DC4">
        <w:rPr>
          <w:rStyle w:val="Strong"/>
          <w:rFonts w:ascii="Times New Roman" w:hAnsi="Times New Roman" w:cs="Times New Roman"/>
          <w:i/>
        </w:rPr>
        <w:t xml:space="preserve"> </w:t>
      </w:r>
      <w:proofErr w:type="spellStart"/>
      <w:r w:rsidRPr="00B11DC4">
        <w:rPr>
          <w:rStyle w:val="Strong"/>
          <w:rFonts w:ascii="Times New Roman" w:hAnsi="Times New Roman" w:cs="Times New Roman"/>
          <w:i/>
        </w:rPr>
        <w:t>rules</w:t>
      </w:r>
      <w:proofErr w:type="spellEnd"/>
      <w:r w:rsidRPr="00B11DC4">
        <w:rPr>
          <w:rStyle w:val="Strong"/>
          <w:rFonts w:ascii="Times New Roman" w:hAnsi="Times New Roman" w:cs="Times New Roman"/>
          <w:i/>
        </w:rPr>
        <w:t xml:space="preserve"> </w:t>
      </w:r>
      <w:proofErr w:type="spellStart"/>
      <w:r w:rsidRPr="00B11DC4">
        <w:rPr>
          <w:rStyle w:val="Strong"/>
          <w:rFonts w:ascii="Times New Roman" w:hAnsi="Times New Roman" w:cs="Times New Roman"/>
          <w:i/>
        </w:rPr>
        <w:t>governing</w:t>
      </w:r>
      <w:proofErr w:type="spellEnd"/>
      <w:r w:rsidRPr="00B11DC4">
        <w:rPr>
          <w:rStyle w:val="Strong"/>
          <w:rFonts w:ascii="Times New Roman" w:hAnsi="Times New Roman" w:cs="Times New Roman"/>
          <w:i/>
        </w:rPr>
        <w:t xml:space="preserve"> </w:t>
      </w:r>
      <w:proofErr w:type="spellStart"/>
      <w:r w:rsidRPr="00B11DC4">
        <w:rPr>
          <w:rStyle w:val="Strong"/>
          <w:rFonts w:ascii="Times New Roman" w:hAnsi="Times New Roman" w:cs="Times New Roman"/>
          <w:i/>
        </w:rPr>
        <w:t>actions</w:t>
      </w:r>
      <w:proofErr w:type="spellEnd"/>
      <w:r w:rsidRPr="00B11DC4">
        <w:rPr>
          <w:rStyle w:val="Strong"/>
          <w:rFonts w:ascii="Times New Roman" w:hAnsi="Times New Roman" w:cs="Times New Roman"/>
          <w:i/>
        </w:rPr>
        <w:t xml:space="preserve"> </w:t>
      </w:r>
      <w:proofErr w:type="spellStart"/>
      <w:r w:rsidRPr="00B11DC4">
        <w:rPr>
          <w:rStyle w:val="Strong"/>
          <w:rFonts w:ascii="Times New Roman" w:hAnsi="Times New Roman" w:cs="Times New Roman"/>
          <w:i/>
        </w:rPr>
        <w:t>for</w:t>
      </w:r>
      <w:proofErr w:type="spellEnd"/>
      <w:r w:rsidRPr="00B11DC4">
        <w:rPr>
          <w:rStyle w:val="Strong"/>
          <w:rFonts w:ascii="Times New Roman" w:hAnsi="Times New Roman" w:cs="Times New Roman"/>
          <w:i/>
        </w:rPr>
        <w:t xml:space="preserve"> </w:t>
      </w:r>
      <w:proofErr w:type="spellStart"/>
      <w:r w:rsidRPr="00B11DC4">
        <w:rPr>
          <w:rStyle w:val="Strong"/>
          <w:rFonts w:ascii="Times New Roman" w:hAnsi="Times New Roman" w:cs="Times New Roman"/>
          <w:i/>
        </w:rPr>
        <w:t>damages</w:t>
      </w:r>
      <w:proofErr w:type="spellEnd"/>
      <w:r w:rsidRPr="00B11DC4">
        <w:rPr>
          <w:rStyle w:val="Strong"/>
          <w:rFonts w:ascii="Times New Roman" w:hAnsi="Times New Roman" w:cs="Times New Roman"/>
          <w:i/>
        </w:rPr>
        <w:t xml:space="preserve"> </w:t>
      </w:r>
      <w:proofErr w:type="spellStart"/>
      <w:r w:rsidRPr="00B11DC4">
        <w:rPr>
          <w:rStyle w:val="Strong"/>
          <w:rFonts w:ascii="Times New Roman" w:hAnsi="Times New Roman" w:cs="Times New Roman"/>
          <w:i/>
        </w:rPr>
        <w:t>under</w:t>
      </w:r>
      <w:proofErr w:type="spellEnd"/>
      <w:r w:rsidRPr="00B11DC4">
        <w:rPr>
          <w:rStyle w:val="Strong"/>
          <w:rFonts w:ascii="Times New Roman" w:hAnsi="Times New Roman" w:cs="Times New Roman"/>
          <w:i/>
        </w:rPr>
        <w:t xml:space="preserve"> </w:t>
      </w:r>
      <w:proofErr w:type="spellStart"/>
      <w:r w:rsidRPr="00B11DC4">
        <w:rPr>
          <w:rStyle w:val="Strong"/>
          <w:rFonts w:ascii="Times New Roman" w:hAnsi="Times New Roman" w:cs="Times New Roman"/>
          <w:i/>
        </w:rPr>
        <w:t>national</w:t>
      </w:r>
      <w:proofErr w:type="spellEnd"/>
      <w:r w:rsidRPr="00B11DC4">
        <w:rPr>
          <w:rStyle w:val="Strong"/>
          <w:rFonts w:ascii="Times New Roman" w:hAnsi="Times New Roman" w:cs="Times New Roman"/>
          <w:i/>
        </w:rPr>
        <w:t xml:space="preserve"> </w:t>
      </w:r>
      <w:proofErr w:type="spellStart"/>
      <w:r w:rsidRPr="00B11DC4">
        <w:rPr>
          <w:rStyle w:val="Strong"/>
          <w:rFonts w:ascii="Times New Roman" w:hAnsi="Times New Roman" w:cs="Times New Roman"/>
          <w:i/>
        </w:rPr>
        <w:t>law</w:t>
      </w:r>
      <w:proofErr w:type="spellEnd"/>
      <w:r w:rsidRPr="00B11DC4">
        <w:rPr>
          <w:rStyle w:val="Strong"/>
          <w:rFonts w:ascii="Times New Roman" w:hAnsi="Times New Roman" w:cs="Times New Roman"/>
          <w:i/>
        </w:rPr>
        <w:t xml:space="preserve"> </w:t>
      </w:r>
      <w:proofErr w:type="spellStart"/>
      <w:r w:rsidRPr="00B11DC4">
        <w:rPr>
          <w:rStyle w:val="Strong"/>
          <w:rFonts w:ascii="Times New Roman" w:hAnsi="Times New Roman" w:cs="Times New Roman"/>
          <w:i/>
        </w:rPr>
        <w:t>for</w:t>
      </w:r>
      <w:proofErr w:type="spellEnd"/>
      <w:r w:rsidRPr="00B11DC4">
        <w:rPr>
          <w:rStyle w:val="Strong"/>
          <w:rFonts w:ascii="Times New Roman" w:hAnsi="Times New Roman" w:cs="Times New Roman"/>
          <w:i/>
        </w:rPr>
        <w:t xml:space="preserve"> </w:t>
      </w:r>
      <w:proofErr w:type="spellStart"/>
      <w:r w:rsidRPr="00B11DC4">
        <w:rPr>
          <w:rStyle w:val="Strong"/>
          <w:rFonts w:ascii="Times New Roman" w:hAnsi="Times New Roman" w:cs="Times New Roman"/>
          <w:i/>
        </w:rPr>
        <w:t>infringements</w:t>
      </w:r>
      <w:proofErr w:type="spellEnd"/>
      <w:r w:rsidRPr="00B11DC4">
        <w:rPr>
          <w:rStyle w:val="Strong"/>
          <w:rFonts w:ascii="Times New Roman" w:hAnsi="Times New Roman" w:cs="Times New Roman"/>
          <w:i/>
        </w:rPr>
        <w:t xml:space="preserve"> </w:t>
      </w:r>
      <w:proofErr w:type="spellStart"/>
      <w:r w:rsidRPr="00B11DC4">
        <w:rPr>
          <w:rStyle w:val="Strong"/>
          <w:rFonts w:ascii="Times New Roman" w:hAnsi="Times New Roman" w:cs="Times New Roman"/>
          <w:i/>
        </w:rPr>
        <w:t>of</w:t>
      </w:r>
      <w:proofErr w:type="spellEnd"/>
      <w:r w:rsidRPr="00B11DC4">
        <w:rPr>
          <w:rStyle w:val="Strong"/>
          <w:rFonts w:ascii="Times New Roman" w:hAnsi="Times New Roman" w:cs="Times New Roman"/>
          <w:i/>
        </w:rPr>
        <w:t xml:space="preserve"> the </w:t>
      </w:r>
      <w:proofErr w:type="spellStart"/>
      <w:r w:rsidRPr="00B11DC4">
        <w:rPr>
          <w:rStyle w:val="Strong"/>
          <w:rFonts w:ascii="Times New Roman" w:hAnsi="Times New Roman" w:cs="Times New Roman"/>
          <w:i/>
        </w:rPr>
        <w:t>competition</w:t>
      </w:r>
      <w:proofErr w:type="spellEnd"/>
      <w:r w:rsidRPr="00B11DC4">
        <w:rPr>
          <w:rStyle w:val="Strong"/>
          <w:rFonts w:ascii="Times New Roman" w:hAnsi="Times New Roman" w:cs="Times New Roman"/>
          <w:i/>
        </w:rPr>
        <w:t xml:space="preserve"> </w:t>
      </w:r>
      <w:proofErr w:type="spellStart"/>
      <w:r w:rsidRPr="00B11DC4">
        <w:rPr>
          <w:rStyle w:val="Strong"/>
          <w:rFonts w:ascii="Times New Roman" w:hAnsi="Times New Roman" w:cs="Times New Roman"/>
          <w:i/>
        </w:rPr>
        <w:t>law</w:t>
      </w:r>
      <w:proofErr w:type="spellEnd"/>
      <w:r w:rsidRPr="00B11DC4">
        <w:rPr>
          <w:rStyle w:val="Strong"/>
          <w:rFonts w:ascii="Times New Roman" w:hAnsi="Times New Roman" w:cs="Times New Roman"/>
          <w:i/>
        </w:rPr>
        <w:t xml:space="preserve"> </w:t>
      </w:r>
      <w:proofErr w:type="spellStart"/>
      <w:r w:rsidRPr="00B11DC4">
        <w:rPr>
          <w:rStyle w:val="Strong"/>
          <w:rFonts w:ascii="Times New Roman" w:hAnsi="Times New Roman" w:cs="Times New Roman"/>
          <w:i/>
        </w:rPr>
        <w:t>provisions</w:t>
      </w:r>
      <w:proofErr w:type="spellEnd"/>
      <w:r w:rsidRPr="00B11DC4">
        <w:rPr>
          <w:rStyle w:val="Strong"/>
          <w:rFonts w:ascii="Times New Roman" w:hAnsi="Times New Roman" w:cs="Times New Roman"/>
          <w:i/>
        </w:rPr>
        <w:t xml:space="preserve"> </w:t>
      </w:r>
      <w:proofErr w:type="spellStart"/>
      <w:r w:rsidRPr="00B11DC4">
        <w:rPr>
          <w:rStyle w:val="Strong"/>
          <w:rFonts w:ascii="Times New Roman" w:hAnsi="Times New Roman" w:cs="Times New Roman"/>
          <w:i/>
        </w:rPr>
        <w:t>of</w:t>
      </w:r>
      <w:proofErr w:type="spellEnd"/>
      <w:r w:rsidRPr="00B11DC4">
        <w:rPr>
          <w:rStyle w:val="Strong"/>
          <w:rFonts w:ascii="Times New Roman" w:hAnsi="Times New Roman" w:cs="Times New Roman"/>
          <w:i/>
        </w:rPr>
        <w:t xml:space="preserve"> the </w:t>
      </w:r>
      <w:proofErr w:type="spellStart"/>
      <w:r w:rsidRPr="00B11DC4">
        <w:rPr>
          <w:rStyle w:val="Strong"/>
          <w:rFonts w:ascii="Times New Roman" w:hAnsi="Times New Roman" w:cs="Times New Roman"/>
          <w:i/>
        </w:rPr>
        <w:t>Member</w:t>
      </w:r>
      <w:proofErr w:type="spellEnd"/>
      <w:r w:rsidRPr="00B11DC4">
        <w:rPr>
          <w:rStyle w:val="Strong"/>
          <w:rFonts w:ascii="Times New Roman" w:hAnsi="Times New Roman" w:cs="Times New Roman"/>
          <w:i/>
        </w:rPr>
        <w:t> </w:t>
      </w:r>
      <w:proofErr w:type="spellStart"/>
      <w:r w:rsidRPr="00B11DC4">
        <w:rPr>
          <w:rStyle w:val="Strong"/>
          <w:rFonts w:ascii="Times New Roman" w:hAnsi="Times New Roman" w:cs="Times New Roman"/>
          <w:i/>
        </w:rPr>
        <w:t>States</w:t>
      </w:r>
      <w:proofErr w:type="spellEnd"/>
      <w:r w:rsidRPr="00B11DC4">
        <w:rPr>
          <w:rStyle w:val="Strong"/>
          <w:rFonts w:ascii="Times New Roman" w:hAnsi="Times New Roman" w:cs="Times New Roman"/>
          <w:i/>
        </w:rPr>
        <w:t xml:space="preserve"> </w:t>
      </w:r>
      <w:proofErr w:type="spellStart"/>
      <w:r w:rsidRPr="00B11DC4">
        <w:rPr>
          <w:rStyle w:val="Strong"/>
          <w:rFonts w:ascii="Times New Roman" w:hAnsi="Times New Roman" w:cs="Times New Roman"/>
          <w:i/>
        </w:rPr>
        <w:t>and</w:t>
      </w:r>
      <w:proofErr w:type="spellEnd"/>
      <w:r w:rsidRPr="00B11DC4">
        <w:rPr>
          <w:rStyle w:val="Strong"/>
          <w:rFonts w:ascii="Times New Roman" w:hAnsi="Times New Roman" w:cs="Times New Roman"/>
          <w:i/>
        </w:rPr>
        <w:t xml:space="preserve"> </w:t>
      </w:r>
      <w:proofErr w:type="spellStart"/>
      <w:r w:rsidRPr="00B11DC4">
        <w:rPr>
          <w:rStyle w:val="Strong"/>
          <w:rFonts w:ascii="Times New Roman" w:hAnsi="Times New Roman" w:cs="Times New Roman"/>
          <w:i/>
        </w:rPr>
        <w:t>of</w:t>
      </w:r>
      <w:proofErr w:type="spellEnd"/>
      <w:r w:rsidRPr="00B11DC4">
        <w:rPr>
          <w:rStyle w:val="Strong"/>
          <w:rFonts w:ascii="Times New Roman" w:hAnsi="Times New Roman" w:cs="Times New Roman"/>
          <w:i/>
        </w:rPr>
        <w:t xml:space="preserve"> the </w:t>
      </w:r>
      <w:proofErr w:type="spellStart"/>
      <w:r w:rsidRPr="00B11DC4">
        <w:rPr>
          <w:rStyle w:val="Strong"/>
          <w:rFonts w:ascii="Times New Roman" w:hAnsi="Times New Roman" w:cs="Times New Roman"/>
          <w:i/>
        </w:rPr>
        <w:t>European</w:t>
      </w:r>
      <w:proofErr w:type="spellEnd"/>
      <w:r w:rsidRPr="00B11DC4">
        <w:rPr>
          <w:rStyle w:val="Strong"/>
          <w:rFonts w:ascii="Times New Roman" w:hAnsi="Times New Roman" w:cs="Times New Roman"/>
          <w:i/>
        </w:rPr>
        <w:t xml:space="preserve"> Union (OJ </w:t>
      </w:r>
      <w:r w:rsidRPr="00B11DC4">
        <w:rPr>
          <w:rFonts w:ascii="Times New Roman" w:hAnsi="Times New Roman" w:cs="Times New Roman"/>
          <w:i/>
          <w:iCs/>
        </w:rPr>
        <w:t xml:space="preserve">L 349, 5.12.2014.)] </w:t>
      </w:r>
      <w:hyperlink r:id="rId21" w:history="1">
        <w:r w:rsidRPr="00B11DC4">
          <w:rPr>
            <w:rStyle w:val="Hyperlink"/>
            <w:rFonts w:ascii="Times New Roman" w:hAnsi="Times New Roman" w:cs="Times New Roman"/>
          </w:rPr>
          <w:t>https://eur-lex.europa.eu/legal-content/EN/TXT/PDF/?uri=CELEX:32014L0104&amp;from=EN</w:t>
        </w:r>
      </w:hyperlink>
      <w:r w:rsidRPr="00B11DC4">
        <w:rPr>
          <w:rFonts w:ascii="Times New Roman" w:hAnsi="Times New Roman" w:cs="Times New Roman"/>
        </w:rPr>
        <w:t xml:space="preserve"> </w:t>
      </w:r>
    </w:p>
  </w:footnote>
  <w:footnote w:id="25">
    <w:p w14:paraId="3784259C" w14:textId="77777777" w:rsidR="00DA1727" w:rsidRPr="00B11DC4" w:rsidRDefault="00DA1727" w:rsidP="001622C0">
      <w:pPr>
        <w:pStyle w:val="FootnoteText"/>
        <w:rPr>
          <w:rFonts w:ascii="Times New Roman" w:hAnsi="Times New Roman" w:cs="Times New Roman"/>
          <w:lang w:val="de-CH"/>
        </w:rPr>
      </w:pPr>
      <w:r w:rsidRPr="00B11DC4">
        <w:rPr>
          <w:rStyle w:val="FootnoteReference"/>
          <w:rFonts w:ascii="Times New Roman" w:hAnsi="Times New Roman" w:cs="Times New Roman"/>
        </w:rPr>
        <w:footnoteRef/>
      </w:r>
      <w:r w:rsidRPr="00B11DC4">
        <w:rPr>
          <w:rFonts w:ascii="Times New Roman" w:hAnsi="Times New Roman" w:cs="Times New Roman"/>
        </w:rPr>
        <w:t xml:space="preserve"> ‘Fuqizimi i Autoriteteve Kombëtare të Konkurrencës’ </w:t>
      </w:r>
      <w:hyperlink r:id="rId22" w:history="1">
        <w:r w:rsidRPr="00B11DC4">
          <w:rPr>
            <w:rStyle w:val="Hyperlink"/>
            <w:rFonts w:ascii="Times New Roman" w:hAnsi="Times New Roman" w:cs="Times New Roman"/>
          </w:rPr>
          <w:t>http://ec.europa.eu/competition/antitrust/nca.html</w:t>
        </w:r>
      </w:hyperlink>
      <w:r w:rsidRPr="00B11DC4">
        <w:rPr>
          <w:rFonts w:ascii="Times New Roman" w:hAnsi="Times New Roman" w:cs="Times New Roman"/>
        </w:rPr>
        <w:t xml:space="preserve"> </w:t>
      </w:r>
    </w:p>
  </w:footnote>
  <w:footnote w:id="26">
    <w:p w14:paraId="63A39DCC" w14:textId="77777777" w:rsidR="00DA1727" w:rsidRPr="0004269A" w:rsidRDefault="00DA1727" w:rsidP="003B4E89">
      <w:pPr>
        <w:pStyle w:val="FootnoteText"/>
        <w:rPr>
          <w:rFonts w:ascii="Times New Roman" w:hAnsi="Times New Roman" w:cs="Times New Roman"/>
          <w:lang w:val="en-US"/>
        </w:rPr>
      </w:pPr>
      <w:r w:rsidRPr="0004269A">
        <w:rPr>
          <w:rStyle w:val="FootnoteReference"/>
          <w:rFonts w:ascii="Times New Roman" w:hAnsi="Times New Roman" w:cs="Times New Roman"/>
        </w:rPr>
        <w:footnoteRef/>
      </w:r>
      <w:r w:rsidRPr="0004269A">
        <w:rPr>
          <w:rFonts w:ascii="Times New Roman" w:hAnsi="Times New Roman" w:cs="Times New Roman"/>
        </w:rPr>
        <w:t xml:space="preserve"> Ligji Nr. -5/L-100 për Ndihmën Shtetërore, </w:t>
      </w:r>
      <w:proofErr w:type="spellStart"/>
      <w:r w:rsidRPr="0004269A">
        <w:rPr>
          <w:rFonts w:ascii="Times New Roman" w:hAnsi="Times New Roman" w:cs="Times New Roman"/>
          <w:lang w:val="en-US"/>
        </w:rPr>
        <w:t>Neni</w:t>
      </w:r>
      <w:proofErr w:type="spellEnd"/>
      <w:r w:rsidRPr="0004269A">
        <w:rPr>
          <w:rFonts w:ascii="Times New Roman" w:hAnsi="Times New Roman" w:cs="Times New Roman"/>
          <w:lang w:val="en-US"/>
        </w:rPr>
        <w:t xml:space="preserve"> 3, </w:t>
      </w:r>
      <w:proofErr w:type="spellStart"/>
      <w:r w:rsidRPr="0004269A">
        <w:rPr>
          <w:rFonts w:ascii="Times New Roman" w:hAnsi="Times New Roman" w:cs="Times New Roman"/>
          <w:lang w:val="en-US"/>
        </w:rPr>
        <w:t>paragrafi</w:t>
      </w:r>
      <w:proofErr w:type="spellEnd"/>
      <w:r w:rsidRPr="0004269A">
        <w:rPr>
          <w:rFonts w:ascii="Times New Roman" w:hAnsi="Times New Roman" w:cs="Times New Roman"/>
          <w:lang w:val="en-US"/>
        </w:rPr>
        <w:t xml:space="preserve"> 1, </w:t>
      </w:r>
      <w:proofErr w:type="spellStart"/>
      <w:r w:rsidRPr="0004269A">
        <w:rPr>
          <w:rFonts w:ascii="Times New Roman" w:hAnsi="Times New Roman" w:cs="Times New Roman"/>
          <w:lang w:val="en-US"/>
        </w:rPr>
        <w:t>pika</w:t>
      </w:r>
      <w:proofErr w:type="spellEnd"/>
      <w:r w:rsidRPr="0004269A">
        <w:rPr>
          <w:rFonts w:ascii="Times New Roman" w:hAnsi="Times New Roman" w:cs="Times New Roman"/>
          <w:lang w:val="en-US"/>
        </w:rPr>
        <w:t xml:space="preserve"> 1.1, e </w:t>
      </w:r>
      <w:proofErr w:type="spellStart"/>
      <w:r w:rsidRPr="0004269A">
        <w:rPr>
          <w:rFonts w:ascii="Times New Roman" w:hAnsi="Times New Roman" w:cs="Times New Roman"/>
          <w:lang w:val="en-US"/>
        </w:rPr>
        <w:t>qasshme</w:t>
      </w:r>
      <w:proofErr w:type="spellEnd"/>
      <w:r w:rsidRPr="0004269A">
        <w:rPr>
          <w:rFonts w:ascii="Times New Roman" w:hAnsi="Times New Roman" w:cs="Times New Roman"/>
          <w:lang w:val="en-US"/>
        </w:rPr>
        <w:t xml:space="preserve"> </w:t>
      </w:r>
      <w:proofErr w:type="spellStart"/>
      <w:r w:rsidRPr="0004269A">
        <w:rPr>
          <w:rFonts w:ascii="Times New Roman" w:hAnsi="Times New Roman" w:cs="Times New Roman"/>
          <w:lang w:val="en-US"/>
        </w:rPr>
        <w:t>në</w:t>
      </w:r>
      <w:proofErr w:type="spellEnd"/>
      <w:r w:rsidRPr="0004269A">
        <w:rPr>
          <w:rFonts w:ascii="Times New Roman" w:hAnsi="Times New Roman" w:cs="Times New Roman"/>
          <w:lang w:val="en-US"/>
        </w:rPr>
        <w:t xml:space="preserve">: </w:t>
      </w:r>
      <w:hyperlink r:id="rId23" w:history="1">
        <w:r w:rsidRPr="0004269A">
          <w:rPr>
            <w:rStyle w:val="Hyperlink"/>
            <w:rFonts w:ascii="Times New Roman" w:hAnsi="Times New Roman" w:cs="Times New Roman"/>
            <w:lang w:val="en-US"/>
          </w:rPr>
          <w:t>https://gzk.rks-gov.net/ActDetail.aspx?ActID=13270</w:t>
        </w:r>
      </w:hyperlink>
      <w:r w:rsidRPr="0004269A">
        <w:rPr>
          <w:rFonts w:ascii="Times New Roman" w:hAnsi="Times New Roman" w:cs="Times New Roman"/>
          <w:lang w:val="en-US"/>
        </w:rPr>
        <w:t xml:space="preserve"> </w:t>
      </w:r>
    </w:p>
  </w:footnote>
  <w:footnote w:id="27">
    <w:p w14:paraId="16E989EE" w14:textId="77777777" w:rsidR="00DA1727" w:rsidRPr="00B11DC4" w:rsidRDefault="00DA1727">
      <w:pPr>
        <w:pStyle w:val="FootnoteText"/>
        <w:rPr>
          <w:rFonts w:ascii="Times New Roman" w:hAnsi="Times New Roman" w:cs="Times New Roman"/>
          <w:lang w:val="en-US"/>
        </w:rPr>
      </w:pPr>
      <w:r w:rsidRPr="00B11DC4">
        <w:rPr>
          <w:rStyle w:val="FootnoteReference"/>
          <w:rFonts w:ascii="Times New Roman" w:hAnsi="Times New Roman" w:cs="Times New Roman"/>
        </w:rPr>
        <w:footnoteRef/>
      </w:r>
      <w:r w:rsidRPr="00B11DC4">
        <w:rPr>
          <w:rFonts w:ascii="Times New Roman" w:hAnsi="Times New Roman" w:cs="Times New Roman"/>
        </w:rPr>
        <w:t xml:space="preserve"> Raporti mbi realizimin e detyrave të cilat dalin nga Agjenda për Reforma Evropiane, Dhjetor 2017. Autoriteti Kosovar i Konkurrencës. </w:t>
      </w:r>
      <w:hyperlink r:id="rId24" w:history="1">
        <w:r w:rsidRPr="00B11DC4">
          <w:rPr>
            <w:rStyle w:val="Hyperlink"/>
            <w:rFonts w:ascii="Times New Roman" w:hAnsi="Times New Roman" w:cs="Times New Roman"/>
          </w:rPr>
          <w:t>https://ak.rks-gov.net/assets/cms/uploads/files/Raportet/Raporti%20mbi%20ARE_FINAL.pdf</w:t>
        </w:r>
      </w:hyperlink>
    </w:p>
  </w:footnote>
  <w:footnote w:id="28">
    <w:p w14:paraId="185D3BBE" w14:textId="30F89684" w:rsidR="00DA1727" w:rsidRPr="00B11DC4" w:rsidRDefault="00DA1727">
      <w:pPr>
        <w:pStyle w:val="FootnoteText"/>
        <w:rPr>
          <w:rFonts w:ascii="Times New Roman" w:hAnsi="Times New Roman" w:cs="Times New Roman"/>
          <w:lang w:val="en-US"/>
        </w:rPr>
      </w:pPr>
      <w:r w:rsidRPr="00B11DC4">
        <w:rPr>
          <w:rStyle w:val="FootnoteReference"/>
          <w:rFonts w:ascii="Times New Roman" w:hAnsi="Times New Roman" w:cs="Times New Roman"/>
        </w:rPr>
        <w:footnoteRef/>
      </w:r>
      <w:r w:rsidRPr="00B11DC4">
        <w:rPr>
          <w:rFonts w:ascii="Times New Roman" w:hAnsi="Times New Roman" w:cs="Times New Roman"/>
        </w:rPr>
        <w:t xml:space="preserve"> Treg nuk mund te konsiderohet Prokurimi. Por Autoriteti Kosovar </w:t>
      </w:r>
      <w:r w:rsidRPr="0004269A">
        <w:rPr>
          <w:rFonts w:ascii="Times New Roman" w:hAnsi="Times New Roman" w:cs="Times New Roman"/>
        </w:rPr>
        <w:t>i</w:t>
      </w:r>
      <w:r w:rsidRPr="00B11DC4">
        <w:rPr>
          <w:rFonts w:ascii="Times New Roman" w:hAnsi="Times New Roman" w:cs="Times New Roman"/>
        </w:rPr>
        <w:t xml:space="preserve"> Konkurrencës ka bashkëpunuar për së afërmi me KRPP-ne rreth tenderimeve qe behën nga Organizatat Buxhetore, dhe marrjen e informacioneve te kompanive te cilat kane fituar ne Tenderët Publike.</w:t>
      </w:r>
    </w:p>
  </w:footnote>
  <w:footnote w:id="29">
    <w:p w14:paraId="4BC9980D" w14:textId="77777777" w:rsidR="00DA1727" w:rsidRPr="00B11DC4" w:rsidRDefault="00DA1727" w:rsidP="00FB0CC3">
      <w:pPr>
        <w:pStyle w:val="FootnoteText"/>
        <w:rPr>
          <w:rFonts w:ascii="Times New Roman" w:hAnsi="Times New Roman" w:cs="Times New Roman"/>
          <w:lang w:val="en-US"/>
        </w:rPr>
      </w:pPr>
      <w:r w:rsidRPr="00B11DC4">
        <w:rPr>
          <w:rStyle w:val="FootnoteReference"/>
          <w:rFonts w:ascii="Times New Roman" w:hAnsi="Times New Roman" w:cs="Times New Roman"/>
        </w:rPr>
        <w:footnoteRef/>
      </w:r>
      <w:r w:rsidRPr="00B11DC4">
        <w:rPr>
          <w:rFonts w:ascii="Times New Roman" w:hAnsi="Times New Roman" w:cs="Times New Roman"/>
        </w:rPr>
        <w:t xml:space="preserve"> Qeveria e Republikës së Kosovës, </w:t>
      </w:r>
      <w:r w:rsidRPr="00B11DC4">
        <w:rPr>
          <w:rFonts w:ascii="Times New Roman" w:hAnsi="Times New Roman" w:cs="Times New Roman"/>
          <w:i/>
        </w:rPr>
        <w:t xml:space="preserve">Strategjia Kombëtare për Zhvillim 2016-2021 </w:t>
      </w:r>
      <w:r w:rsidRPr="00B11DC4">
        <w:rPr>
          <w:rFonts w:ascii="Times New Roman" w:hAnsi="Times New Roman" w:cs="Times New Roman"/>
        </w:rPr>
        <w:t xml:space="preserve">(Prishtinë, Janar 2016) f. 6, e qasshme në: </w:t>
      </w:r>
      <w:hyperlink r:id="rId25" w:history="1">
        <w:r w:rsidRPr="00B11DC4">
          <w:rPr>
            <w:rStyle w:val="Hyperlink"/>
            <w:rFonts w:ascii="Times New Roman" w:hAnsi="Times New Roman" w:cs="Times New Roman"/>
          </w:rPr>
          <w:t>http://www.kryeministri-ks.net/repository/docs/Strategjia_Kombetare_per_Zhvillim_2016-2021_Shqip.pdf</w:t>
        </w:r>
      </w:hyperlink>
      <w:r w:rsidRPr="00B11DC4">
        <w:rPr>
          <w:rFonts w:ascii="Times New Roman" w:hAnsi="Times New Roman" w:cs="Times New Roman"/>
        </w:rPr>
        <w:t xml:space="preserve"> </w:t>
      </w:r>
    </w:p>
  </w:footnote>
  <w:footnote w:id="30">
    <w:p w14:paraId="0FDB1520" w14:textId="77777777" w:rsidR="00DA1727" w:rsidRPr="00B11DC4" w:rsidRDefault="00DA1727" w:rsidP="00FB0CC3">
      <w:pPr>
        <w:pStyle w:val="FootnoteText"/>
        <w:rPr>
          <w:rFonts w:ascii="Times New Roman" w:hAnsi="Times New Roman" w:cs="Times New Roman"/>
          <w:lang w:val="en-US"/>
        </w:rPr>
      </w:pPr>
      <w:r w:rsidRPr="00B11DC4">
        <w:rPr>
          <w:rStyle w:val="FootnoteReference"/>
          <w:rFonts w:ascii="Times New Roman" w:hAnsi="Times New Roman" w:cs="Times New Roman"/>
        </w:rPr>
        <w:footnoteRef/>
      </w:r>
      <w:r w:rsidRPr="00B11DC4">
        <w:rPr>
          <w:rFonts w:ascii="Times New Roman" w:hAnsi="Times New Roman" w:cs="Times New Roman"/>
        </w:rPr>
        <w:t xml:space="preserve"> </w:t>
      </w:r>
      <w:proofErr w:type="spellStart"/>
      <w:r w:rsidRPr="00B11DC4">
        <w:rPr>
          <w:rFonts w:ascii="Times New Roman" w:hAnsi="Times New Roman" w:cs="Times New Roman"/>
        </w:rPr>
        <w:t>Ibid</w:t>
      </w:r>
      <w:proofErr w:type="spellEnd"/>
      <w:r w:rsidRPr="00B11DC4">
        <w:rPr>
          <w:rFonts w:ascii="Times New Roman" w:hAnsi="Times New Roman" w:cs="Times New Roman"/>
        </w:rPr>
        <w:t>. f. 7</w:t>
      </w:r>
    </w:p>
  </w:footnote>
  <w:footnote w:id="31">
    <w:p w14:paraId="62C61D67" w14:textId="77777777" w:rsidR="00DA1727" w:rsidRPr="00B11DC4" w:rsidRDefault="00DA1727" w:rsidP="00FB0CC3">
      <w:pPr>
        <w:pStyle w:val="FootnoteText"/>
        <w:rPr>
          <w:rFonts w:ascii="Times New Roman" w:hAnsi="Times New Roman" w:cs="Times New Roman"/>
          <w:lang w:val="en-US"/>
        </w:rPr>
      </w:pPr>
      <w:r w:rsidRPr="00B11DC4">
        <w:rPr>
          <w:rStyle w:val="FootnoteReference"/>
          <w:rFonts w:ascii="Times New Roman" w:hAnsi="Times New Roman" w:cs="Times New Roman"/>
        </w:rPr>
        <w:footnoteRef/>
      </w:r>
      <w:r w:rsidRPr="00B11DC4">
        <w:rPr>
          <w:rFonts w:ascii="Times New Roman" w:hAnsi="Times New Roman" w:cs="Times New Roman"/>
        </w:rPr>
        <w:t xml:space="preserve"> Qeveria e Republikës së Kosovës, </w:t>
      </w:r>
      <w:r w:rsidRPr="00B11DC4">
        <w:rPr>
          <w:rFonts w:ascii="Times New Roman" w:hAnsi="Times New Roman" w:cs="Times New Roman"/>
          <w:i/>
        </w:rPr>
        <w:t xml:space="preserve">Dialogu i Nivelit të Lartë Kosovë – BE për Prioritetet Kyçe – Agjenda për Reforma Evropiane (ARE)  </w:t>
      </w:r>
      <w:r w:rsidRPr="00B11DC4">
        <w:rPr>
          <w:rFonts w:ascii="Times New Roman" w:hAnsi="Times New Roman" w:cs="Times New Roman"/>
        </w:rPr>
        <w:t xml:space="preserve">(Prishtinë, Nëntor 2016), f.8 [shih </w:t>
      </w:r>
      <w:proofErr w:type="spellStart"/>
      <w:r w:rsidRPr="00B11DC4">
        <w:rPr>
          <w:rFonts w:ascii="Times New Roman" w:hAnsi="Times New Roman" w:cs="Times New Roman"/>
        </w:rPr>
        <w:t>poashtu</w:t>
      </w:r>
      <w:proofErr w:type="spellEnd"/>
      <w:r w:rsidRPr="00B11DC4">
        <w:rPr>
          <w:rFonts w:ascii="Times New Roman" w:hAnsi="Times New Roman" w:cs="Times New Roman"/>
        </w:rPr>
        <w:t xml:space="preserve"> tabelën me veprime dhe tregues lidhur me prioritetin 2.2 </w:t>
      </w:r>
      <w:r w:rsidRPr="00B11DC4">
        <w:rPr>
          <w:rFonts w:ascii="Times New Roman" w:hAnsi="Times New Roman" w:cs="Times New Roman"/>
          <w:i/>
        </w:rPr>
        <w:t xml:space="preserve">Përmirësimi i mjedisit </w:t>
      </w:r>
      <w:proofErr w:type="spellStart"/>
      <w:r w:rsidRPr="00B11DC4">
        <w:rPr>
          <w:rFonts w:ascii="Times New Roman" w:hAnsi="Times New Roman" w:cs="Times New Roman"/>
          <w:i/>
        </w:rPr>
        <w:t>bizensor</w:t>
      </w:r>
      <w:proofErr w:type="spellEnd"/>
      <w:r w:rsidRPr="00B11DC4">
        <w:rPr>
          <w:rFonts w:ascii="Times New Roman" w:hAnsi="Times New Roman" w:cs="Times New Roman"/>
        </w:rPr>
        <w:t xml:space="preserve">, f.17], e qasshme në: </w:t>
      </w:r>
      <w:hyperlink r:id="rId26" w:history="1">
        <w:r w:rsidRPr="00B11DC4">
          <w:rPr>
            <w:rStyle w:val="Hyperlink"/>
            <w:rFonts w:ascii="Times New Roman" w:hAnsi="Times New Roman" w:cs="Times New Roman"/>
          </w:rPr>
          <w:t>http://www.mei-ks.net/repository/docs/erafinalsq.pdf</w:t>
        </w:r>
      </w:hyperlink>
    </w:p>
  </w:footnote>
  <w:footnote w:id="32">
    <w:p w14:paraId="6562DBC5" w14:textId="77777777" w:rsidR="00DA1727" w:rsidRPr="00B11DC4" w:rsidRDefault="00DA1727" w:rsidP="00FB0CC3">
      <w:pPr>
        <w:pStyle w:val="FootnoteText"/>
        <w:rPr>
          <w:rFonts w:ascii="Times New Roman" w:hAnsi="Times New Roman" w:cs="Times New Roman"/>
          <w:lang w:val="en-US"/>
        </w:rPr>
      </w:pPr>
      <w:r w:rsidRPr="00B11DC4">
        <w:rPr>
          <w:rStyle w:val="FootnoteReference"/>
          <w:rFonts w:ascii="Times New Roman" w:hAnsi="Times New Roman" w:cs="Times New Roman"/>
        </w:rPr>
        <w:footnoteRef/>
      </w:r>
      <w:r w:rsidRPr="00B11DC4">
        <w:rPr>
          <w:rFonts w:ascii="Times New Roman" w:hAnsi="Times New Roman" w:cs="Times New Roman"/>
        </w:rPr>
        <w:t xml:space="preserve"> Qeveria e Republikës së Kosovës, </w:t>
      </w:r>
      <w:r w:rsidRPr="00B11DC4">
        <w:rPr>
          <w:rFonts w:ascii="Times New Roman" w:hAnsi="Times New Roman" w:cs="Times New Roman"/>
          <w:i/>
        </w:rPr>
        <w:t xml:space="preserve">Plani Kombëtar për Zbatimin e Marrëveshjes së Stabilizim </w:t>
      </w:r>
      <w:proofErr w:type="spellStart"/>
      <w:r w:rsidRPr="00B11DC4">
        <w:rPr>
          <w:rFonts w:ascii="Times New Roman" w:hAnsi="Times New Roman" w:cs="Times New Roman"/>
          <w:i/>
        </w:rPr>
        <w:t>Asociimit</w:t>
      </w:r>
      <w:proofErr w:type="spellEnd"/>
      <w:r w:rsidRPr="00B11DC4">
        <w:rPr>
          <w:rFonts w:ascii="Times New Roman" w:hAnsi="Times New Roman" w:cs="Times New Roman"/>
          <w:i/>
        </w:rPr>
        <w:t xml:space="preserve"> 2017-2021 </w:t>
      </w:r>
      <w:r w:rsidRPr="00B11DC4">
        <w:rPr>
          <w:rFonts w:ascii="Times New Roman" w:hAnsi="Times New Roman" w:cs="Times New Roman"/>
        </w:rPr>
        <w:t xml:space="preserve">(Prishtinë, Mars 2017), f. 143 [shih </w:t>
      </w:r>
      <w:proofErr w:type="spellStart"/>
      <w:r w:rsidRPr="00B11DC4">
        <w:rPr>
          <w:rFonts w:ascii="Times New Roman" w:hAnsi="Times New Roman" w:cs="Times New Roman"/>
        </w:rPr>
        <w:t>poashtu</w:t>
      </w:r>
      <w:proofErr w:type="spellEnd"/>
      <w:r w:rsidRPr="00B11DC4">
        <w:rPr>
          <w:rFonts w:ascii="Times New Roman" w:hAnsi="Times New Roman" w:cs="Times New Roman"/>
        </w:rPr>
        <w:t xml:space="preserve">: Masat legjislative, </w:t>
      </w:r>
      <w:r w:rsidRPr="00B11DC4">
        <w:rPr>
          <w:rFonts w:ascii="Times New Roman" w:hAnsi="Times New Roman" w:cs="Times New Roman"/>
          <w:i/>
        </w:rPr>
        <w:t>veprimi 3.9</w:t>
      </w:r>
      <w:r w:rsidRPr="00B11DC4">
        <w:rPr>
          <w:rFonts w:ascii="Times New Roman" w:hAnsi="Times New Roman" w:cs="Times New Roman"/>
        </w:rPr>
        <w:t xml:space="preserve">, f.356 dhe Masat zbatuese, </w:t>
      </w:r>
      <w:r w:rsidRPr="00B11DC4">
        <w:rPr>
          <w:rFonts w:ascii="Times New Roman" w:hAnsi="Times New Roman" w:cs="Times New Roman"/>
          <w:i/>
        </w:rPr>
        <w:t>veprimi 3.9</w:t>
      </w:r>
      <w:r w:rsidRPr="00B11DC4">
        <w:rPr>
          <w:rFonts w:ascii="Times New Roman" w:hAnsi="Times New Roman" w:cs="Times New Roman"/>
        </w:rPr>
        <w:t xml:space="preserve">, f. 441], e qasshme në: </w:t>
      </w:r>
      <w:hyperlink r:id="rId27" w:history="1">
        <w:r w:rsidRPr="00B11DC4">
          <w:rPr>
            <w:rStyle w:val="Hyperlink"/>
            <w:rFonts w:ascii="Times New Roman" w:hAnsi="Times New Roman" w:cs="Times New Roman"/>
          </w:rPr>
          <w:t>http://www.mei-ks.net/repository/docs/pkzmsa20172021shq.pdf</w:t>
        </w:r>
      </w:hyperlink>
      <w:r w:rsidRPr="00B11DC4">
        <w:rPr>
          <w:rFonts w:ascii="Times New Roman" w:hAnsi="Times New Roman" w:cs="Times New Roman"/>
        </w:rPr>
        <w:t xml:space="preserve"> </w:t>
      </w:r>
    </w:p>
  </w:footnote>
  <w:footnote w:id="33">
    <w:p w14:paraId="1C960F3A" w14:textId="77777777" w:rsidR="00DA1727" w:rsidRPr="00B11DC4" w:rsidRDefault="00DA1727" w:rsidP="00FB0CC3">
      <w:pPr>
        <w:pStyle w:val="FootnoteText"/>
        <w:rPr>
          <w:rFonts w:ascii="Times New Roman" w:hAnsi="Times New Roman" w:cs="Times New Roman"/>
          <w:lang w:val="en-US"/>
        </w:rPr>
      </w:pPr>
      <w:r w:rsidRPr="00B11DC4">
        <w:rPr>
          <w:rStyle w:val="FootnoteReference"/>
          <w:rFonts w:ascii="Times New Roman" w:hAnsi="Times New Roman" w:cs="Times New Roman"/>
        </w:rPr>
        <w:footnoteRef/>
      </w:r>
      <w:r w:rsidRPr="00B11DC4">
        <w:rPr>
          <w:rFonts w:ascii="Times New Roman" w:hAnsi="Times New Roman" w:cs="Times New Roman"/>
        </w:rPr>
        <w:t xml:space="preserve"> </w:t>
      </w:r>
      <w:r w:rsidRPr="00B11DC4">
        <w:rPr>
          <w:rFonts w:ascii="Times New Roman" w:hAnsi="Times New Roman" w:cs="Times New Roman"/>
          <w:lang w:val="en-US"/>
        </w:rPr>
        <w:t xml:space="preserve">Shih: </w:t>
      </w:r>
      <w:proofErr w:type="spellStart"/>
      <w:r w:rsidRPr="00B11DC4">
        <w:rPr>
          <w:rFonts w:ascii="Times New Roman" w:hAnsi="Times New Roman" w:cs="Times New Roman"/>
          <w:lang w:val="en-US"/>
        </w:rPr>
        <w:t>Kapitullin</w:t>
      </w:r>
      <w:proofErr w:type="spellEnd"/>
      <w:r w:rsidRPr="00B11DC4">
        <w:rPr>
          <w:rFonts w:ascii="Times New Roman" w:hAnsi="Times New Roman" w:cs="Times New Roman"/>
          <w:lang w:val="en-US"/>
        </w:rPr>
        <w:t xml:space="preserve"> 6.1: </w:t>
      </w:r>
      <w:r w:rsidRPr="00B11DC4">
        <w:rPr>
          <w:rFonts w:ascii="Times New Roman" w:hAnsi="Times New Roman" w:cs="Times New Roman"/>
          <w:i/>
          <w:lang w:val="en-US"/>
        </w:rPr>
        <w:t xml:space="preserve">Planet e </w:t>
      </w:r>
      <w:proofErr w:type="spellStart"/>
      <w:r w:rsidRPr="00B11DC4">
        <w:rPr>
          <w:rFonts w:ascii="Times New Roman" w:hAnsi="Times New Roman" w:cs="Times New Roman"/>
          <w:i/>
          <w:lang w:val="en-US"/>
        </w:rPr>
        <w:t>zbatimit</w:t>
      </w:r>
      <w:proofErr w:type="spellEnd"/>
      <w:r w:rsidRPr="00B11DC4">
        <w:rPr>
          <w:rFonts w:ascii="Times New Roman" w:hAnsi="Times New Roman" w:cs="Times New Roman"/>
          <w:i/>
          <w:lang w:val="en-US"/>
        </w:rPr>
        <w:t xml:space="preserve"> </w:t>
      </w:r>
      <w:proofErr w:type="spellStart"/>
      <w:r w:rsidRPr="00B11DC4">
        <w:rPr>
          <w:rFonts w:ascii="Times New Roman" w:hAnsi="Times New Roman" w:cs="Times New Roman"/>
          <w:i/>
          <w:lang w:val="en-US"/>
        </w:rPr>
        <w:t>për</w:t>
      </w:r>
      <w:proofErr w:type="spellEnd"/>
      <w:r w:rsidRPr="00B11DC4">
        <w:rPr>
          <w:rFonts w:ascii="Times New Roman" w:hAnsi="Times New Roman" w:cs="Times New Roman"/>
          <w:i/>
          <w:lang w:val="en-US"/>
        </w:rPr>
        <w:t xml:space="preserve"> </w:t>
      </w:r>
      <w:proofErr w:type="spellStart"/>
      <w:r w:rsidRPr="00B11DC4">
        <w:rPr>
          <w:rFonts w:ascii="Times New Roman" w:hAnsi="Times New Roman" w:cs="Times New Roman"/>
          <w:i/>
          <w:lang w:val="en-US"/>
        </w:rPr>
        <w:t>opsionet</w:t>
      </w:r>
      <w:proofErr w:type="spellEnd"/>
      <w:r w:rsidRPr="00B11DC4">
        <w:rPr>
          <w:rFonts w:ascii="Times New Roman" w:hAnsi="Times New Roman" w:cs="Times New Roman"/>
          <w:i/>
          <w:lang w:val="en-US"/>
        </w:rPr>
        <w:t xml:space="preserve"> e </w:t>
      </w:r>
      <w:proofErr w:type="spellStart"/>
      <w:r w:rsidRPr="00B11DC4">
        <w:rPr>
          <w:rFonts w:ascii="Times New Roman" w:hAnsi="Times New Roman" w:cs="Times New Roman"/>
          <w:i/>
          <w:lang w:val="en-US"/>
        </w:rPr>
        <w:t>ndryshme</w:t>
      </w:r>
      <w:proofErr w:type="spellEnd"/>
      <w:r w:rsidRPr="00B11DC4">
        <w:rPr>
          <w:rFonts w:ascii="Times New Roman" w:hAnsi="Times New Roman" w:cs="Times New Roman"/>
          <w:i/>
          <w:lang w:val="en-US"/>
        </w:rPr>
        <w:t xml:space="preserve"> </w:t>
      </w:r>
      <w:proofErr w:type="spellStart"/>
      <w:r w:rsidRPr="00B11DC4">
        <w:rPr>
          <w:rFonts w:ascii="Times New Roman" w:hAnsi="Times New Roman" w:cs="Times New Roman"/>
          <w:lang w:val="en-US"/>
        </w:rPr>
        <w:t>në</w:t>
      </w:r>
      <w:proofErr w:type="spellEnd"/>
      <w:r w:rsidRPr="00B11DC4">
        <w:rPr>
          <w:rFonts w:ascii="Times New Roman" w:hAnsi="Times New Roman" w:cs="Times New Roman"/>
          <w:lang w:val="en-US"/>
        </w:rPr>
        <w:t xml:space="preserve"> </w:t>
      </w:r>
      <w:proofErr w:type="spellStart"/>
      <w:r w:rsidRPr="00B11DC4">
        <w:rPr>
          <w:rFonts w:ascii="Times New Roman" w:hAnsi="Times New Roman" w:cs="Times New Roman"/>
          <w:lang w:val="en-US"/>
        </w:rPr>
        <w:t>vijim</w:t>
      </w:r>
      <w:proofErr w:type="spellEnd"/>
      <w:r w:rsidRPr="00B11DC4">
        <w:rPr>
          <w:rFonts w:ascii="Times New Roman" w:hAnsi="Times New Roman" w:cs="Times New Roman"/>
          <w:lang w:val="en-US"/>
        </w:rPr>
        <w:t xml:space="preserve"> </w:t>
      </w:r>
      <w:proofErr w:type="spellStart"/>
      <w:r w:rsidRPr="00B11DC4">
        <w:rPr>
          <w:rFonts w:ascii="Times New Roman" w:hAnsi="Times New Roman" w:cs="Times New Roman"/>
          <w:lang w:val="en-US"/>
        </w:rPr>
        <w:t>të</w:t>
      </w:r>
      <w:proofErr w:type="spellEnd"/>
      <w:r w:rsidRPr="00B11DC4">
        <w:rPr>
          <w:rFonts w:ascii="Times New Roman" w:hAnsi="Times New Roman" w:cs="Times New Roman"/>
          <w:lang w:val="en-US"/>
        </w:rPr>
        <w:t xml:space="preserve"> </w:t>
      </w:r>
      <w:proofErr w:type="spellStart"/>
      <w:r w:rsidRPr="00B11DC4">
        <w:rPr>
          <w:rFonts w:ascii="Times New Roman" w:hAnsi="Times New Roman" w:cs="Times New Roman"/>
          <w:lang w:val="en-US"/>
        </w:rPr>
        <w:t>këtij</w:t>
      </w:r>
      <w:proofErr w:type="spellEnd"/>
      <w:r w:rsidRPr="00B11DC4">
        <w:rPr>
          <w:rFonts w:ascii="Times New Roman" w:hAnsi="Times New Roman" w:cs="Times New Roman"/>
          <w:lang w:val="en-US"/>
        </w:rPr>
        <w:t xml:space="preserve"> </w:t>
      </w:r>
      <w:proofErr w:type="spellStart"/>
      <w:r w:rsidRPr="00B11DC4">
        <w:rPr>
          <w:rFonts w:ascii="Times New Roman" w:hAnsi="Times New Roman" w:cs="Times New Roman"/>
          <w:lang w:val="en-US"/>
        </w:rPr>
        <w:t>Koncept</w:t>
      </w:r>
      <w:proofErr w:type="spellEnd"/>
      <w:r w:rsidRPr="00B11DC4">
        <w:rPr>
          <w:rFonts w:ascii="Times New Roman" w:hAnsi="Times New Roman" w:cs="Times New Roman"/>
          <w:lang w:val="en-US"/>
        </w:rPr>
        <w:t xml:space="preserve"> </w:t>
      </w:r>
      <w:proofErr w:type="spellStart"/>
      <w:r w:rsidRPr="00B11DC4">
        <w:rPr>
          <w:rFonts w:ascii="Times New Roman" w:hAnsi="Times New Roman" w:cs="Times New Roman"/>
          <w:lang w:val="en-US"/>
        </w:rPr>
        <w:t>Dokumenti</w:t>
      </w:r>
      <w:proofErr w:type="spellEnd"/>
    </w:p>
  </w:footnote>
  <w:footnote w:id="34">
    <w:p w14:paraId="43D2E4CF" w14:textId="77777777" w:rsidR="00DA1727" w:rsidRPr="00B11DC4" w:rsidRDefault="00DA1727" w:rsidP="00494035">
      <w:pPr>
        <w:pStyle w:val="FootnoteText"/>
        <w:rPr>
          <w:rFonts w:ascii="Times New Roman" w:hAnsi="Times New Roman" w:cs="Times New Roman"/>
        </w:rPr>
      </w:pPr>
      <w:r w:rsidRPr="00B11DC4">
        <w:rPr>
          <w:rStyle w:val="FootnoteReference"/>
          <w:rFonts w:ascii="Times New Roman" w:hAnsi="Times New Roman" w:cs="Times New Roman"/>
        </w:rPr>
        <w:footnoteRef/>
      </w:r>
      <w:r w:rsidRPr="00B11DC4">
        <w:rPr>
          <w:rFonts w:ascii="Times New Roman" w:hAnsi="Times New Roman" w:cs="Times New Roman"/>
        </w:rPr>
        <w:t xml:space="preserve"> Kur ndikon në vendet e punës, gjithashtu do të ketë edhe ndikime shoqërore. </w:t>
      </w:r>
    </w:p>
  </w:footnote>
  <w:footnote w:id="35">
    <w:p w14:paraId="0CA0B0A5" w14:textId="77777777" w:rsidR="00DA1727" w:rsidRPr="00B11DC4" w:rsidRDefault="00DA1727" w:rsidP="00F51BA0">
      <w:pPr>
        <w:pStyle w:val="FootnoteText"/>
        <w:rPr>
          <w:rFonts w:ascii="Times New Roman" w:hAnsi="Times New Roman" w:cs="Times New Roman"/>
        </w:rPr>
      </w:pPr>
      <w:r w:rsidRPr="00B11DC4">
        <w:rPr>
          <w:rStyle w:val="FootnoteReference"/>
          <w:rFonts w:ascii="Times New Roman" w:hAnsi="Times New Roman" w:cs="Times New Roman"/>
        </w:rPr>
        <w:footnoteRef/>
      </w:r>
      <w:r w:rsidRPr="00B11DC4">
        <w:rPr>
          <w:rFonts w:ascii="Times New Roman" w:hAnsi="Times New Roman" w:cs="Times New Roman"/>
        </w:rPr>
        <w:t xml:space="preserve"> Kur ndikon në vendet e punës, gjithashtu do të ketë edhe ndikime ekonomike.</w:t>
      </w:r>
    </w:p>
  </w:footnote>
  <w:footnote w:id="36">
    <w:p w14:paraId="0BA55C72" w14:textId="77777777" w:rsidR="00DA1727" w:rsidRPr="00B11DC4" w:rsidRDefault="00DA1727" w:rsidP="007E1B0B">
      <w:pPr>
        <w:pStyle w:val="FootnoteText"/>
        <w:rPr>
          <w:rFonts w:ascii="Times New Roman" w:hAnsi="Times New Roman" w:cs="Times New Roman"/>
        </w:rPr>
      </w:pPr>
      <w:r w:rsidRPr="00B11DC4">
        <w:rPr>
          <w:rStyle w:val="FootnoteReference"/>
          <w:rFonts w:ascii="Times New Roman" w:hAnsi="Times New Roman" w:cs="Times New Roman"/>
        </w:rPr>
        <w:footnoteRef/>
      </w:r>
      <w:r w:rsidRPr="00B11DC4">
        <w:rPr>
          <w:rFonts w:ascii="Times New Roman" w:hAnsi="Times New Roman" w:cs="Times New Roman"/>
        </w:rPr>
        <w:t xml:space="preserve"> Kur ka ndikim në shëndet publik dhe siguri, atëherë rregullisht ka ndikime mjedisore. </w:t>
      </w:r>
    </w:p>
  </w:footnote>
  <w:footnote w:id="37">
    <w:p w14:paraId="61D84539" w14:textId="77777777" w:rsidR="00DA1727" w:rsidRPr="00B11DC4" w:rsidRDefault="00DA1727" w:rsidP="007E1B0B">
      <w:pPr>
        <w:rPr>
          <w:rFonts w:ascii="Times New Roman" w:hAnsi="Times New Roman" w:cs="Times New Roman"/>
          <w:sz w:val="20"/>
          <w:szCs w:val="20"/>
        </w:rPr>
      </w:pPr>
      <w:r w:rsidRPr="00B11DC4">
        <w:rPr>
          <w:rStyle w:val="FootnoteReference"/>
          <w:rFonts w:ascii="Times New Roman" w:hAnsi="Times New Roman" w:cs="Times New Roman"/>
          <w:sz w:val="20"/>
          <w:szCs w:val="20"/>
        </w:rPr>
        <w:footnoteRef/>
      </w:r>
      <w:r w:rsidRPr="00B11DC4">
        <w:rPr>
          <w:rFonts w:ascii="Times New Roman" w:hAnsi="Times New Roman" w:cs="Times New Roman"/>
          <w:sz w:val="20"/>
          <w:szCs w:val="20"/>
        </w:rPr>
        <w:t xml:space="preserve"> Barazia gjinore trajtohet në </w:t>
      </w:r>
      <w:r w:rsidRPr="00B11DC4">
        <w:rPr>
          <w:rFonts w:ascii="Times New Roman" w:hAnsi="Times New Roman" w:cs="Times New Roman"/>
          <w:i/>
          <w:sz w:val="20"/>
          <w:szCs w:val="20"/>
        </w:rPr>
        <w:t>Vlerësimin e Ndikimit Gjinor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7565F" w14:textId="77777777" w:rsidR="00DA1727" w:rsidRPr="00B11DC4" w:rsidRDefault="00DA1727">
    <w:pPr>
      <w:pStyle w:val="Header"/>
      <w:rPr>
        <w:rFonts w:ascii="Times New Roman" w:hAnsi="Times New Roman" w:cs="Times New Roman"/>
      </w:rPr>
    </w:pPr>
    <w:r w:rsidRPr="00B11DC4">
      <w:rPr>
        <w:rFonts w:ascii="Times New Roman" w:hAnsi="Times New Roman" w:cs="Times New Roman"/>
      </w:rPr>
      <w:t xml:space="preserve">Koncept Dokumenti në fushën e Konkurrencës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105"/>
    <w:multiLevelType w:val="hybridMultilevel"/>
    <w:tmpl w:val="149636A8"/>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80459"/>
    <w:multiLevelType w:val="hybridMultilevel"/>
    <w:tmpl w:val="70A02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009AC"/>
    <w:multiLevelType w:val="multilevel"/>
    <w:tmpl w:val="65A25706"/>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596412"/>
    <w:multiLevelType w:val="hybridMultilevel"/>
    <w:tmpl w:val="B6C4EF10"/>
    <w:lvl w:ilvl="0" w:tplc="0409000F">
      <w:start w:val="1"/>
      <w:numFmt w:val="decimal"/>
      <w:lvlText w:val="%1."/>
      <w:lvlJc w:val="left"/>
      <w:pPr>
        <w:ind w:left="36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05FD6AC0"/>
    <w:multiLevelType w:val="hybridMultilevel"/>
    <w:tmpl w:val="231E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2B3B21"/>
    <w:multiLevelType w:val="hybridMultilevel"/>
    <w:tmpl w:val="C09802A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0AFA4C5D"/>
    <w:multiLevelType w:val="hybridMultilevel"/>
    <w:tmpl w:val="9A08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1543DB"/>
    <w:multiLevelType w:val="hybridMultilevel"/>
    <w:tmpl w:val="65FE3BDE"/>
    <w:lvl w:ilvl="0" w:tplc="3948FB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DD351B"/>
    <w:multiLevelType w:val="multilevel"/>
    <w:tmpl w:val="06B005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CEC6E88"/>
    <w:multiLevelType w:val="hybridMultilevel"/>
    <w:tmpl w:val="7736BEDA"/>
    <w:lvl w:ilvl="0" w:tplc="25349F8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D0A61C7"/>
    <w:multiLevelType w:val="multilevel"/>
    <w:tmpl w:val="E98EA5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88A0B38"/>
    <w:multiLevelType w:val="hybridMultilevel"/>
    <w:tmpl w:val="86E21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14526D"/>
    <w:multiLevelType w:val="hybridMultilevel"/>
    <w:tmpl w:val="C204B4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4B7D2B"/>
    <w:multiLevelType w:val="multilevel"/>
    <w:tmpl w:val="38A0A752"/>
    <w:lvl w:ilvl="0">
      <w:start w:val="1"/>
      <w:numFmt w:val="decimal"/>
      <w:lvlText w:val="%1."/>
      <w:lvlJc w:val="left"/>
      <w:pPr>
        <w:ind w:left="540" w:hanging="540"/>
      </w:pPr>
      <w:rPr>
        <w:rFonts w:hint="default"/>
        <w:b/>
        <w:i w:val="0"/>
      </w:rPr>
    </w:lvl>
    <w:lvl w:ilvl="1">
      <w:start w:val="1"/>
      <w:numFmt w:val="decimal"/>
      <w:lvlText w:val="%1.%2."/>
      <w:lvlJc w:val="left"/>
      <w:pPr>
        <w:ind w:left="720" w:hanging="540"/>
      </w:pPr>
      <w:rPr>
        <w:rFonts w:hint="default"/>
        <w:b/>
        <w:i w:val="0"/>
      </w:rPr>
    </w:lvl>
    <w:lvl w:ilvl="2">
      <w:start w:val="1"/>
      <w:numFmt w:val="decimal"/>
      <w:lvlText w:val="%1.%2.%3."/>
      <w:lvlJc w:val="left"/>
      <w:pPr>
        <w:ind w:left="1080" w:hanging="720"/>
      </w:pPr>
      <w:rPr>
        <w:rFonts w:hint="default"/>
        <w:b/>
        <w:i w:val="0"/>
      </w:rPr>
    </w:lvl>
    <w:lvl w:ilvl="3">
      <w:start w:val="1"/>
      <w:numFmt w:val="decimal"/>
      <w:lvlText w:val="%1.%2.%3.%4."/>
      <w:lvlJc w:val="left"/>
      <w:pPr>
        <w:ind w:left="1260" w:hanging="720"/>
      </w:pPr>
      <w:rPr>
        <w:rFonts w:hint="default"/>
        <w:b/>
        <w:i w:val="0"/>
      </w:rPr>
    </w:lvl>
    <w:lvl w:ilvl="4">
      <w:start w:val="1"/>
      <w:numFmt w:val="decimal"/>
      <w:lvlText w:val="%1.%2.%3.%4.%5."/>
      <w:lvlJc w:val="left"/>
      <w:pPr>
        <w:ind w:left="1800" w:hanging="1080"/>
      </w:pPr>
      <w:rPr>
        <w:rFonts w:hint="default"/>
        <w:b/>
        <w:i w:val="0"/>
      </w:rPr>
    </w:lvl>
    <w:lvl w:ilvl="5">
      <w:start w:val="1"/>
      <w:numFmt w:val="decimal"/>
      <w:lvlText w:val="%1.%2.%3.%4.%5.%6."/>
      <w:lvlJc w:val="left"/>
      <w:pPr>
        <w:ind w:left="1980" w:hanging="1080"/>
      </w:pPr>
      <w:rPr>
        <w:rFonts w:hint="default"/>
        <w:b/>
        <w:i w:val="0"/>
      </w:rPr>
    </w:lvl>
    <w:lvl w:ilvl="6">
      <w:start w:val="1"/>
      <w:numFmt w:val="decimal"/>
      <w:lvlText w:val="%1.%2.%3.%4.%5.%6.%7."/>
      <w:lvlJc w:val="left"/>
      <w:pPr>
        <w:ind w:left="2520" w:hanging="1440"/>
      </w:pPr>
      <w:rPr>
        <w:rFonts w:hint="default"/>
        <w:b/>
        <w:i w:val="0"/>
      </w:rPr>
    </w:lvl>
    <w:lvl w:ilvl="7">
      <w:start w:val="1"/>
      <w:numFmt w:val="decimal"/>
      <w:lvlText w:val="%1.%2.%3.%4.%5.%6.%7.%8."/>
      <w:lvlJc w:val="left"/>
      <w:pPr>
        <w:ind w:left="2700" w:hanging="1440"/>
      </w:pPr>
      <w:rPr>
        <w:rFonts w:hint="default"/>
        <w:b/>
        <w:i w:val="0"/>
      </w:rPr>
    </w:lvl>
    <w:lvl w:ilvl="8">
      <w:start w:val="1"/>
      <w:numFmt w:val="decimal"/>
      <w:lvlText w:val="%1.%2.%3.%4.%5.%6.%7.%8.%9."/>
      <w:lvlJc w:val="left"/>
      <w:pPr>
        <w:ind w:left="3240" w:hanging="1800"/>
      </w:pPr>
      <w:rPr>
        <w:rFonts w:hint="default"/>
        <w:b/>
        <w:i w:val="0"/>
      </w:rPr>
    </w:lvl>
  </w:abstractNum>
  <w:abstractNum w:abstractNumId="14">
    <w:nsid w:val="19E115CE"/>
    <w:multiLevelType w:val="hybridMultilevel"/>
    <w:tmpl w:val="D02A7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A4F04F3"/>
    <w:multiLevelType w:val="hybridMultilevel"/>
    <w:tmpl w:val="0BF2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E7106C"/>
    <w:multiLevelType w:val="hybridMultilevel"/>
    <w:tmpl w:val="6776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136FC3"/>
    <w:multiLevelType w:val="hybridMultilevel"/>
    <w:tmpl w:val="99BE9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790C27"/>
    <w:multiLevelType w:val="hybridMultilevel"/>
    <w:tmpl w:val="876A5D86"/>
    <w:lvl w:ilvl="0" w:tplc="C8C8456A">
      <w:numFmt w:val="bullet"/>
      <w:lvlText w:val=""/>
      <w:lvlJc w:val="left"/>
      <w:pPr>
        <w:ind w:left="360" w:hanging="360"/>
      </w:pPr>
      <w:rPr>
        <w:rFonts w:ascii="Symbol" w:eastAsiaTheme="minorHAnsi" w:hAnsi="Symbol" w:cstheme="minorBidi"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9">
    <w:nsid w:val="22931B6C"/>
    <w:multiLevelType w:val="hybridMultilevel"/>
    <w:tmpl w:val="817AB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ED372B"/>
    <w:multiLevelType w:val="hybridMultilevel"/>
    <w:tmpl w:val="6E64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236853"/>
    <w:multiLevelType w:val="multilevel"/>
    <w:tmpl w:val="DD360DC4"/>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
    <w:nsid w:val="2A2804E4"/>
    <w:multiLevelType w:val="hybridMultilevel"/>
    <w:tmpl w:val="AF48F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8A710F"/>
    <w:multiLevelType w:val="hybridMultilevel"/>
    <w:tmpl w:val="787CD068"/>
    <w:lvl w:ilvl="0" w:tplc="AF8C0232">
      <w:start w:val="1"/>
      <w:numFmt w:val="decimal"/>
      <w:lvlText w:val="%1."/>
      <w:lvlJc w:val="left"/>
      <w:pPr>
        <w:ind w:left="360" w:hanging="360"/>
      </w:pPr>
      <w:rPr>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D42713C"/>
    <w:multiLevelType w:val="hybridMultilevel"/>
    <w:tmpl w:val="C862D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000C53"/>
    <w:multiLevelType w:val="hybridMultilevel"/>
    <w:tmpl w:val="0600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83696A"/>
    <w:multiLevelType w:val="hybridMultilevel"/>
    <w:tmpl w:val="9A648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8E7A03"/>
    <w:multiLevelType w:val="hybridMultilevel"/>
    <w:tmpl w:val="BF4433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B365796"/>
    <w:multiLevelType w:val="hybridMultilevel"/>
    <w:tmpl w:val="A1DE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F252AF"/>
    <w:multiLevelType w:val="hybridMultilevel"/>
    <w:tmpl w:val="E70EAE0E"/>
    <w:lvl w:ilvl="0" w:tplc="2738D780">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1C04D9"/>
    <w:multiLevelType w:val="hybridMultilevel"/>
    <w:tmpl w:val="5DC82332"/>
    <w:lvl w:ilvl="0" w:tplc="4B4652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9167B1"/>
    <w:multiLevelType w:val="hybridMultilevel"/>
    <w:tmpl w:val="5EF07ADA"/>
    <w:lvl w:ilvl="0" w:tplc="04090001">
      <w:start w:val="1"/>
      <w:numFmt w:val="bullet"/>
      <w:lvlText w:val=""/>
      <w:lvlJc w:val="left"/>
      <w:pPr>
        <w:ind w:left="720" w:hanging="360"/>
      </w:pPr>
      <w:rPr>
        <w:rFonts w:ascii="Symbol" w:hAnsi="Symbol"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nsid w:val="4739130C"/>
    <w:multiLevelType w:val="hybridMultilevel"/>
    <w:tmpl w:val="FE14F9DC"/>
    <w:lvl w:ilvl="0" w:tplc="1F4E353E">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CF200E"/>
    <w:multiLevelType w:val="hybridMultilevel"/>
    <w:tmpl w:val="E85CA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A0B41F7"/>
    <w:multiLevelType w:val="hybridMultilevel"/>
    <w:tmpl w:val="B94AFF2E"/>
    <w:lvl w:ilvl="0" w:tplc="C9149DDE">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nsid w:val="4B4C7405"/>
    <w:multiLevelType w:val="hybridMultilevel"/>
    <w:tmpl w:val="F9BE9FCA"/>
    <w:lvl w:ilvl="0" w:tplc="C85AA2D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1F3F45"/>
    <w:multiLevelType w:val="hybridMultilevel"/>
    <w:tmpl w:val="BC1E6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234AAA"/>
    <w:multiLevelType w:val="hybridMultilevel"/>
    <w:tmpl w:val="23BAE1AC"/>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8">
    <w:nsid w:val="5B65079B"/>
    <w:multiLevelType w:val="hybridMultilevel"/>
    <w:tmpl w:val="9A648C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B690D6D"/>
    <w:multiLevelType w:val="multilevel"/>
    <w:tmpl w:val="E6E0E590"/>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0A84D78"/>
    <w:multiLevelType w:val="hybridMultilevel"/>
    <w:tmpl w:val="9372FF1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1">
    <w:nsid w:val="61291DFF"/>
    <w:multiLevelType w:val="hybridMultilevel"/>
    <w:tmpl w:val="0B3A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77292A"/>
    <w:multiLevelType w:val="hybridMultilevel"/>
    <w:tmpl w:val="1276BD7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65647C7"/>
    <w:multiLevelType w:val="hybridMultilevel"/>
    <w:tmpl w:val="B17A4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BA2EA6"/>
    <w:multiLevelType w:val="hybridMultilevel"/>
    <w:tmpl w:val="0C82319E"/>
    <w:lvl w:ilvl="0" w:tplc="06EA8232">
      <w:start w:val="1"/>
      <w:numFmt w:val="decimal"/>
      <w:lvlText w:val="%1."/>
      <w:lvlJc w:val="left"/>
      <w:pPr>
        <w:ind w:left="720" w:hanging="360"/>
      </w:pPr>
      <w:rPr>
        <w:rFonts w:asciiTheme="minorHAnsi" w:eastAsiaTheme="minorHAnsi" w:hAnsiTheme="minorHAnsi" w:cstheme="minorBidi"/>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5">
    <w:nsid w:val="6AD53F80"/>
    <w:multiLevelType w:val="hybridMultilevel"/>
    <w:tmpl w:val="D11A591E"/>
    <w:lvl w:ilvl="0" w:tplc="34BEEC46">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6">
    <w:nsid w:val="6C873F62"/>
    <w:multiLevelType w:val="hybridMultilevel"/>
    <w:tmpl w:val="BC0C9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F8224D7"/>
    <w:multiLevelType w:val="hybridMultilevel"/>
    <w:tmpl w:val="F7DC5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5A0462"/>
    <w:multiLevelType w:val="multilevel"/>
    <w:tmpl w:val="8C8EB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73E62B4"/>
    <w:multiLevelType w:val="multilevel"/>
    <w:tmpl w:val="1D98A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8A80EF9"/>
    <w:multiLevelType w:val="hybridMultilevel"/>
    <w:tmpl w:val="BF4433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AB54D47"/>
    <w:multiLevelType w:val="hybridMultilevel"/>
    <w:tmpl w:val="7138F516"/>
    <w:lvl w:ilvl="0" w:tplc="0409000F">
      <w:start w:val="1"/>
      <w:numFmt w:val="decimal"/>
      <w:lvlText w:val="%1."/>
      <w:lvlJc w:val="left"/>
      <w:pPr>
        <w:ind w:left="720" w:hanging="360"/>
      </w:pPr>
      <w:rPr>
        <w:rFonts w:hint="default"/>
      </w:rPr>
    </w:lvl>
    <w:lvl w:ilvl="1" w:tplc="E16A262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0A2A0D"/>
    <w:multiLevelType w:val="hybridMultilevel"/>
    <w:tmpl w:val="69042794"/>
    <w:lvl w:ilvl="0" w:tplc="A9F6DD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11"/>
  </w:num>
  <w:num w:numId="4">
    <w:abstractNumId w:val="51"/>
  </w:num>
  <w:num w:numId="5">
    <w:abstractNumId w:val="49"/>
  </w:num>
  <w:num w:numId="6">
    <w:abstractNumId w:val="1"/>
  </w:num>
  <w:num w:numId="7">
    <w:abstractNumId w:val="22"/>
  </w:num>
  <w:num w:numId="8">
    <w:abstractNumId w:val="36"/>
  </w:num>
  <w:num w:numId="9">
    <w:abstractNumId w:val="15"/>
  </w:num>
  <w:num w:numId="10">
    <w:abstractNumId w:val="18"/>
  </w:num>
  <w:num w:numId="11">
    <w:abstractNumId w:val="26"/>
  </w:num>
  <w:num w:numId="12">
    <w:abstractNumId w:val="21"/>
  </w:num>
  <w:num w:numId="13">
    <w:abstractNumId w:val="4"/>
  </w:num>
  <w:num w:numId="14">
    <w:abstractNumId w:val="14"/>
  </w:num>
  <w:num w:numId="15">
    <w:abstractNumId w:val="33"/>
  </w:num>
  <w:num w:numId="16">
    <w:abstractNumId w:val="48"/>
  </w:num>
  <w:num w:numId="17">
    <w:abstractNumId w:val="23"/>
  </w:num>
  <w:num w:numId="18">
    <w:abstractNumId w:val="46"/>
  </w:num>
  <w:num w:numId="19">
    <w:abstractNumId w:val="9"/>
  </w:num>
  <w:num w:numId="20">
    <w:abstractNumId w:val="43"/>
  </w:num>
  <w:num w:numId="21">
    <w:abstractNumId w:val="41"/>
  </w:num>
  <w:num w:numId="22">
    <w:abstractNumId w:val="27"/>
  </w:num>
  <w:num w:numId="23">
    <w:abstractNumId w:val="24"/>
  </w:num>
  <w:num w:numId="24">
    <w:abstractNumId w:val="50"/>
  </w:num>
  <w:num w:numId="25">
    <w:abstractNumId w:val="16"/>
  </w:num>
  <w:num w:numId="26">
    <w:abstractNumId w:val="25"/>
  </w:num>
  <w:num w:numId="27">
    <w:abstractNumId w:val="5"/>
  </w:num>
  <w:num w:numId="28">
    <w:abstractNumId w:val="34"/>
  </w:num>
  <w:num w:numId="29">
    <w:abstractNumId w:val="42"/>
  </w:num>
  <w:num w:numId="30">
    <w:abstractNumId w:val="44"/>
  </w:num>
  <w:num w:numId="31">
    <w:abstractNumId w:val="32"/>
  </w:num>
  <w:num w:numId="32">
    <w:abstractNumId w:val="29"/>
  </w:num>
  <w:num w:numId="33">
    <w:abstractNumId w:val="37"/>
  </w:num>
  <w:num w:numId="34">
    <w:abstractNumId w:val="40"/>
  </w:num>
  <w:num w:numId="35">
    <w:abstractNumId w:val="19"/>
  </w:num>
  <w:num w:numId="36">
    <w:abstractNumId w:val="7"/>
  </w:num>
  <w:num w:numId="37">
    <w:abstractNumId w:val="31"/>
  </w:num>
  <w:num w:numId="38">
    <w:abstractNumId w:val="45"/>
  </w:num>
  <w:num w:numId="39">
    <w:abstractNumId w:val="3"/>
  </w:num>
  <w:num w:numId="40">
    <w:abstractNumId w:val="52"/>
  </w:num>
  <w:num w:numId="41">
    <w:abstractNumId w:val="10"/>
  </w:num>
  <w:num w:numId="42">
    <w:abstractNumId w:val="2"/>
  </w:num>
  <w:num w:numId="43">
    <w:abstractNumId w:val="6"/>
  </w:num>
  <w:num w:numId="44">
    <w:abstractNumId w:val="35"/>
  </w:num>
  <w:num w:numId="45">
    <w:abstractNumId w:val="13"/>
  </w:num>
  <w:num w:numId="46">
    <w:abstractNumId w:val="30"/>
  </w:num>
  <w:num w:numId="47">
    <w:abstractNumId w:val="39"/>
  </w:num>
  <w:num w:numId="48">
    <w:abstractNumId w:val="47"/>
  </w:num>
  <w:num w:numId="49">
    <w:abstractNumId w:val="12"/>
  </w:num>
  <w:num w:numId="50">
    <w:abstractNumId w:val="8"/>
  </w:num>
  <w:num w:numId="51">
    <w:abstractNumId w:val="17"/>
  </w:num>
  <w:num w:numId="52">
    <w:abstractNumId w:val="20"/>
  </w:num>
  <w:num w:numId="53">
    <w:abstractNumId w:val="28"/>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nor Hoxha">
    <w15:presenceInfo w15:providerId="AD" w15:userId="S-1-5-21-1564102330-1822194793-806436171-3471"/>
  </w15:person>
  <w15:person w15:author="Violeta Hyseni Kelmendi">
    <w15:presenceInfo w15:providerId="AD" w15:userId="S-1-5-21-1564102330-1822194793-806436171-4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0B"/>
    <w:rsid w:val="0000074C"/>
    <w:rsid w:val="00001D73"/>
    <w:rsid w:val="00002C7B"/>
    <w:rsid w:val="00002E47"/>
    <w:rsid w:val="00003FD2"/>
    <w:rsid w:val="00006CA7"/>
    <w:rsid w:val="000070C8"/>
    <w:rsid w:val="00010EFE"/>
    <w:rsid w:val="00011E0A"/>
    <w:rsid w:val="0001211C"/>
    <w:rsid w:val="00012308"/>
    <w:rsid w:val="00013A73"/>
    <w:rsid w:val="000148C1"/>
    <w:rsid w:val="000151AD"/>
    <w:rsid w:val="000153DE"/>
    <w:rsid w:val="0001674E"/>
    <w:rsid w:val="00016C55"/>
    <w:rsid w:val="0002541D"/>
    <w:rsid w:val="00025C62"/>
    <w:rsid w:val="000263A4"/>
    <w:rsid w:val="0003233B"/>
    <w:rsid w:val="000329FA"/>
    <w:rsid w:val="00033B83"/>
    <w:rsid w:val="00036F42"/>
    <w:rsid w:val="0004045F"/>
    <w:rsid w:val="000404C7"/>
    <w:rsid w:val="00041D2C"/>
    <w:rsid w:val="0004269A"/>
    <w:rsid w:val="0004695A"/>
    <w:rsid w:val="00046E9A"/>
    <w:rsid w:val="00046F07"/>
    <w:rsid w:val="000519B2"/>
    <w:rsid w:val="00051DC1"/>
    <w:rsid w:val="00053A6B"/>
    <w:rsid w:val="00053F90"/>
    <w:rsid w:val="0006153E"/>
    <w:rsid w:val="00063448"/>
    <w:rsid w:val="00065264"/>
    <w:rsid w:val="00070520"/>
    <w:rsid w:val="00070605"/>
    <w:rsid w:val="00071C60"/>
    <w:rsid w:val="00075215"/>
    <w:rsid w:val="000767F8"/>
    <w:rsid w:val="00077064"/>
    <w:rsid w:val="0008062E"/>
    <w:rsid w:val="00080D4D"/>
    <w:rsid w:val="00082465"/>
    <w:rsid w:val="000843CF"/>
    <w:rsid w:val="00085A5E"/>
    <w:rsid w:val="000871F6"/>
    <w:rsid w:val="00092BA1"/>
    <w:rsid w:val="000A0006"/>
    <w:rsid w:val="000A0988"/>
    <w:rsid w:val="000A0F07"/>
    <w:rsid w:val="000A4228"/>
    <w:rsid w:val="000A655E"/>
    <w:rsid w:val="000B09D4"/>
    <w:rsid w:val="000B0C8E"/>
    <w:rsid w:val="000B149F"/>
    <w:rsid w:val="000B1DCA"/>
    <w:rsid w:val="000B7E79"/>
    <w:rsid w:val="000C0AF1"/>
    <w:rsid w:val="000C1145"/>
    <w:rsid w:val="000C25D9"/>
    <w:rsid w:val="000C2762"/>
    <w:rsid w:val="000C3740"/>
    <w:rsid w:val="000C6536"/>
    <w:rsid w:val="000C6DC1"/>
    <w:rsid w:val="000D1308"/>
    <w:rsid w:val="000D15B9"/>
    <w:rsid w:val="000D1FEA"/>
    <w:rsid w:val="000D3717"/>
    <w:rsid w:val="000D3726"/>
    <w:rsid w:val="000D79D4"/>
    <w:rsid w:val="000E1566"/>
    <w:rsid w:val="000E249E"/>
    <w:rsid w:val="000F1910"/>
    <w:rsid w:val="000F266E"/>
    <w:rsid w:val="000F3678"/>
    <w:rsid w:val="000F4211"/>
    <w:rsid w:val="000F7D17"/>
    <w:rsid w:val="001025C9"/>
    <w:rsid w:val="001028BD"/>
    <w:rsid w:val="0010376B"/>
    <w:rsid w:val="00103F05"/>
    <w:rsid w:val="00107B54"/>
    <w:rsid w:val="001110F9"/>
    <w:rsid w:val="001111A3"/>
    <w:rsid w:val="001118E7"/>
    <w:rsid w:val="00111FA1"/>
    <w:rsid w:val="001124A9"/>
    <w:rsid w:val="00112E58"/>
    <w:rsid w:val="00113814"/>
    <w:rsid w:val="001144E5"/>
    <w:rsid w:val="00117147"/>
    <w:rsid w:val="00121004"/>
    <w:rsid w:val="001217BA"/>
    <w:rsid w:val="00121D29"/>
    <w:rsid w:val="00123E34"/>
    <w:rsid w:val="0012503D"/>
    <w:rsid w:val="0012529C"/>
    <w:rsid w:val="00125905"/>
    <w:rsid w:val="00127AE4"/>
    <w:rsid w:val="0013265F"/>
    <w:rsid w:val="00133088"/>
    <w:rsid w:val="00133511"/>
    <w:rsid w:val="00145673"/>
    <w:rsid w:val="00154293"/>
    <w:rsid w:val="00155349"/>
    <w:rsid w:val="001571AA"/>
    <w:rsid w:val="001622C0"/>
    <w:rsid w:val="00162D8C"/>
    <w:rsid w:val="00166EB4"/>
    <w:rsid w:val="00173A97"/>
    <w:rsid w:val="00173E1B"/>
    <w:rsid w:val="0017454F"/>
    <w:rsid w:val="00176499"/>
    <w:rsid w:val="001768A5"/>
    <w:rsid w:val="00180BB0"/>
    <w:rsid w:val="00184392"/>
    <w:rsid w:val="001867B8"/>
    <w:rsid w:val="001869E9"/>
    <w:rsid w:val="00186F15"/>
    <w:rsid w:val="00187C11"/>
    <w:rsid w:val="001907D7"/>
    <w:rsid w:val="0019201A"/>
    <w:rsid w:val="001A0F08"/>
    <w:rsid w:val="001A1B22"/>
    <w:rsid w:val="001A506E"/>
    <w:rsid w:val="001A5688"/>
    <w:rsid w:val="001A7D6D"/>
    <w:rsid w:val="001B2AE8"/>
    <w:rsid w:val="001B5602"/>
    <w:rsid w:val="001C0BEF"/>
    <w:rsid w:val="001C1383"/>
    <w:rsid w:val="001C22EB"/>
    <w:rsid w:val="001C2763"/>
    <w:rsid w:val="001C3D88"/>
    <w:rsid w:val="001C43F5"/>
    <w:rsid w:val="001C7171"/>
    <w:rsid w:val="001D3B23"/>
    <w:rsid w:val="001D4348"/>
    <w:rsid w:val="001D7987"/>
    <w:rsid w:val="001E0943"/>
    <w:rsid w:val="001E35E6"/>
    <w:rsid w:val="001E3DB1"/>
    <w:rsid w:val="001E4F07"/>
    <w:rsid w:val="001E4FF2"/>
    <w:rsid w:val="001E610B"/>
    <w:rsid w:val="001E612D"/>
    <w:rsid w:val="001E6E98"/>
    <w:rsid w:val="001E7C94"/>
    <w:rsid w:val="001F06F5"/>
    <w:rsid w:val="001F0DA2"/>
    <w:rsid w:val="001F4955"/>
    <w:rsid w:val="001F503F"/>
    <w:rsid w:val="001F536A"/>
    <w:rsid w:val="001F57E0"/>
    <w:rsid w:val="00201569"/>
    <w:rsid w:val="00202656"/>
    <w:rsid w:val="00203F5A"/>
    <w:rsid w:val="00204A34"/>
    <w:rsid w:val="002072D2"/>
    <w:rsid w:val="002078ED"/>
    <w:rsid w:val="00213765"/>
    <w:rsid w:val="00216513"/>
    <w:rsid w:val="0021705A"/>
    <w:rsid w:val="0021742B"/>
    <w:rsid w:val="00222075"/>
    <w:rsid w:val="00224433"/>
    <w:rsid w:val="0022461E"/>
    <w:rsid w:val="00232108"/>
    <w:rsid w:val="002359D2"/>
    <w:rsid w:val="0023678C"/>
    <w:rsid w:val="002424F3"/>
    <w:rsid w:val="0024523A"/>
    <w:rsid w:val="00246D7F"/>
    <w:rsid w:val="00246F40"/>
    <w:rsid w:val="00253ADD"/>
    <w:rsid w:val="00253BC3"/>
    <w:rsid w:val="002553E5"/>
    <w:rsid w:val="00255DA0"/>
    <w:rsid w:val="002574BA"/>
    <w:rsid w:val="00261614"/>
    <w:rsid w:val="00262E23"/>
    <w:rsid w:val="00263922"/>
    <w:rsid w:val="00265AA7"/>
    <w:rsid w:val="00265CB4"/>
    <w:rsid w:val="00265F99"/>
    <w:rsid w:val="00266995"/>
    <w:rsid w:val="0026744D"/>
    <w:rsid w:val="00270F79"/>
    <w:rsid w:val="00272062"/>
    <w:rsid w:val="002728B4"/>
    <w:rsid w:val="002771C4"/>
    <w:rsid w:val="002849CC"/>
    <w:rsid w:val="0029067D"/>
    <w:rsid w:val="002906DE"/>
    <w:rsid w:val="002915BF"/>
    <w:rsid w:val="00293B21"/>
    <w:rsid w:val="002958A7"/>
    <w:rsid w:val="002969E3"/>
    <w:rsid w:val="0029763E"/>
    <w:rsid w:val="00297CA2"/>
    <w:rsid w:val="002A0887"/>
    <w:rsid w:val="002A13FF"/>
    <w:rsid w:val="002A3285"/>
    <w:rsid w:val="002A439A"/>
    <w:rsid w:val="002A439E"/>
    <w:rsid w:val="002A62D4"/>
    <w:rsid w:val="002A6AC0"/>
    <w:rsid w:val="002A73ED"/>
    <w:rsid w:val="002B1BC6"/>
    <w:rsid w:val="002B622F"/>
    <w:rsid w:val="002B714B"/>
    <w:rsid w:val="002C36BE"/>
    <w:rsid w:val="002C45B7"/>
    <w:rsid w:val="002D17EC"/>
    <w:rsid w:val="002D58A3"/>
    <w:rsid w:val="002D5AF7"/>
    <w:rsid w:val="002E13C9"/>
    <w:rsid w:val="002E1C11"/>
    <w:rsid w:val="002E4003"/>
    <w:rsid w:val="002F0CAD"/>
    <w:rsid w:val="002F2228"/>
    <w:rsid w:val="002F22E0"/>
    <w:rsid w:val="002F3D76"/>
    <w:rsid w:val="0030194A"/>
    <w:rsid w:val="003077DE"/>
    <w:rsid w:val="00310169"/>
    <w:rsid w:val="00310B5D"/>
    <w:rsid w:val="00314065"/>
    <w:rsid w:val="003161BB"/>
    <w:rsid w:val="00316D1C"/>
    <w:rsid w:val="003205AD"/>
    <w:rsid w:val="003206E0"/>
    <w:rsid w:val="00321590"/>
    <w:rsid w:val="0032167D"/>
    <w:rsid w:val="00323D47"/>
    <w:rsid w:val="0032483A"/>
    <w:rsid w:val="003322BC"/>
    <w:rsid w:val="00332444"/>
    <w:rsid w:val="00332E80"/>
    <w:rsid w:val="00335108"/>
    <w:rsid w:val="00336118"/>
    <w:rsid w:val="00341D3A"/>
    <w:rsid w:val="00345C41"/>
    <w:rsid w:val="0035120C"/>
    <w:rsid w:val="00354784"/>
    <w:rsid w:val="0035622E"/>
    <w:rsid w:val="00356396"/>
    <w:rsid w:val="00356942"/>
    <w:rsid w:val="00357279"/>
    <w:rsid w:val="00357389"/>
    <w:rsid w:val="003645D0"/>
    <w:rsid w:val="003674D7"/>
    <w:rsid w:val="00367A0B"/>
    <w:rsid w:val="00370505"/>
    <w:rsid w:val="00372EFC"/>
    <w:rsid w:val="003735FE"/>
    <w:rsid w:val="00375B0F"/>
    <w:rsid w:val="00375C0A"/>
    <w:rsid w:val="00381397"/>
    <w:rsid w:val="00384463"/>
    <w:rsid w:val="00385C2C"/>
    <w:rsid w:val="003938C8"/>
    <w:rsid w:val="003956AD"/>
    <w:rsid w:val="003959D5"/>
    <w:rsid w:val="00396E86"/>
    <w:rsid w:val="003A178A"/>
    <w:rsid w:val="003A3948"/>
    <w:rsid w:val="003A41D5"/>
    <w:rsid w:val="003A44AC"/>
    <w:rsid w:val="003A606C"/>
    <w:rsid w:val="003A6416"/>
    <w:rsid w:val="003A7470"/>
    <w:rsid w:val="003A7D8D"/>
    <w:rsid w:val="003B0B57"/>
    <w:rsid w:val="003B1511"/>
    <w:rsid w:val="003B22FB"/>
    <w:rsid w:val="003B29E1"/>
    <w:rsid w:val="003B3E28"/>
    <w:rsid w:val="003B480D"/>
    <w:rsid w:val="003B4E89"/>
    <w:rsid w:val="003B7764"/>
    <w:rsid w:val="003C0FF0"/>
    <w:rsid w:val="003C4331"/>
    <w:rsid w:val="003C624A"/>
    <w:rsid w:val="003D0308"/>
    <w:rsid w:val="003D05F4"/>
    <w:rsid w:val="003D1043"/>
    <w:rsid w:val="003D12A4"/>
    <w:rsid w:val="003D134D"/>
    <w:rsid w:val="003D2AF3"/>
    <w:rsid w:val="003D61AC"/>
    <w:rsid w:val="003D739C"/>
    <w:rsid w:val="003E1152"/>
    <w:rsid w:val="003E138C"/>
    <w:rsid w:val="003E1B87"/>
    <w:rsid w:val="003E1E57"/>
    <w:rsid w:val="003E2C4C"/>
    <w:rsid w:val="003E32D4"/>
    <w:rsid w:val="003E43EE"/>
    <w:rsid w:val="003E5585"/>
    <w:rsid w:val="003F125F"/>
    <w:rsid w:val="003F554B"/>
    <w:rsid w:val="00400054"/>
    <w:rsid w:val="004029A1"/>
    <w:rsid w:val="00404589"/>
    <w:rsid w:val="004045E7"/>
    <w:rsid w:val="004048F5"/>
    <w:rsid w:val="00404B99"/>
    <w:rsid w:val="00405BC8"/>
    <w:rsid w:val="0041068B"/>
    <w:rsid w:val="00414E6A"/>
    <w:rsid w:val="00416C8B"/>
    <w:rsid w:val="00417AFF"/>
    <w:rsid w:val="00417B75"/>
    <w:rsid w:val="00420951"/>
    <w:rsid w:val="00420B0D"/>
    <w:rsid w:val="00421043"/>
    <w:rsid w:val="004223CE"/>
    <w:rsid w:val="00422DC6"/>
    <w:rsid w:val="00425577"/>
    <w:rsid w:val="00427755"/>
    <w:rsid w:val="00431BA0"/>
    <w:rsid w:val="00433B80"/>
    <w:rsid w:val="00436CD8"/>
    <w:rsid w:val="00436FFB"/>
    <w:rsid w:val="00437508"/>
    <w:rsid w:val="00440A4F"/>
    <w:rsid w:val="00441F5A"/>
    <w:rsid w:val="00443C47"/>
    <w:rsid w:val="00444BF5"/>
    <w:rsid w:val="0045074B"/>
    <w:rsid w:val="00454FF4"/>
    <w:rsid w:val="00455520"/>
    <w:rsid w:val="0045662E"/>
    <w:rsid w:val="004604F3"/>
    <w:rsid w:val="0046228F"/>
    <w:rsid w:val="00462890"/>
    <w:rsid w:val="00464A72"/>
    <w:rsid w:val="00466D84"/>
    <w:rsid w:val="00467CA4"/>
    <w:rsid w:val="00471F24"/>
    <w:rsid w:val="0047314A"/>
    <w:rsid w:val="00473176"/>
    <w:rsid w:val="004742BF"/>
    <w:rsid w:val="004745BD"/>
    <w:rsid w:val="00474DC5"/>
    <w:rsid w:val="00477006"/>
    <w:rsid w:val="004775E7"/>
    <w:rsid w:val="00477702"/>
    <w:rsid w:val="0048257F"/>
    <w:rsid w:val="00482D7F"/>
    <w:rsid w:val="004840AD"/>
    <w:rsid w:val="004902C3"/>
    <w:rsid w:val="0049054B"/>
    <w:rsid w:val="00492BAF"/>
    <w:rsid w:val="00494035"/>
    <w:rsid w:val="00495DBF"/>
    <w:rsid w:val="004976EC"/>
    <w:rsid w:val="004979D2"/>
    <w:rsid w:val="004A29AA"/>
    <w:rsid w:val="004A4335"/>
    <w:rsid w:val="004A693C"/>
    <w:rsid w:val="004A6E40"/>
    <w:rsid w:val="004A738C"/>
    <w:rsid w:val="004B09FC"/>
    <w:rsid w:val="004B5789"/>
    <w:rsid w:val="004B5F29"/>
    <w:rsid w:val="004B724F"/>
    <w:rsid w:val="004C3C81"/>
    <w:rsid w:val="004D06C0"/>
    <w:rsid w:val="004D3053"/>
    <w:rsid w:val="004D51CB"/>
    <w:rsid w:val="004D550B"/>
    <w:rsid w:val="004D5AB2"/>
    <w:rsid w:val="004D6215"/>
    <w:rsid w:val="004D63E7"/>
    <w:rsid w:val="004E33B6"/>
    <w:rsid w:val="004E3BF2"/>
    <w:rsid w:val="004E4548"/>
    <w:rsid w:val="004E504E"/>
    <w:rsid w:val="004E53E3"/>
    <w:rsid w:val="004E6E7B"/>
    <w:rsid w:val="004E7BE9"/>
    <w:rsid w:val="004F03F5"/>
    <w:rsid w:val="004F114E"/>
    <w:rsid w:val="004F27D0"/>
    <w:rsid w:val="004F37D9"/>
    <w:rsid w:val="004F691C"/>
    <w:rsid w:val="004F71D3"/>
    <w:rsid w:val="0050041F"/>
    <w:rsid w:val="00501ECC"/>
    <w:rsid w:val="005050D1"/>
    <w:rsid w:val="005054BC"/>
    <w:rsid w:val="00511BD4"/>
    <w:rsid w:val="00511DD8"/>
    <w:rsid w:val="005154E6"/>
    <w:rsid w:val="0051674C"/>
    <w:rsid w:val="00522105"/>
    <w:rsid w:val="00522F42"/>
    <w:rsid w:val="00525572"/>
    <w:rsid w:val="0052631B"/>
    <w:rsid w:val="00527A92"/>
    <w:rsid w:val="0053025A"/>
    <w:rsid w:val="00531D7E"/>
    <w:rsid w:val="00535039"/>
    <w:rsid w:val="00536194"/>
    <w:rsid w:val="0054085F"/>
    <w:rsid w:val="005412E3"/>
    <w:rsid w:val="00541488"/>
    <w:rsid w:val="00541F8B"/>
    <w:rsid w:val="00546D83"/>
    <w:rsid w:val="0054715B"/>
    <w:rsid w:val="005509C4"/>
    <w:rsid w:val="00555A1C"/>
    <w:rsid w:val="0055654C"/>
    <w:rsid w:val="00560222"/>
    <w:rsid w:val="00562751"/>
    <w:rsid w:val="00565100"/>
    <w:rsid w:val="00567A8D"/>
    <w:rsid w:val="00572333"/>
    <w:rsid w:val="00573264"/>
    <w:rsid w:val="00573943"/>
    <w:rsid w:val="005754E2"/>
    <w:rsid w:val="005808A0"/>
    <w:rsid w:val="00580983"/>
    <w:rsid w:val="00584818"/>
    <w:rsid w:val="00586C5B"/>
    <w:rsid w:val="00587EDF"/>
    <w:rsid w:val="0059019D"/>
    <w:rsid w:val="0059335B"/>
    <w:rsid w:val="005949DF"/>
    <w:rsid w:val="00595960"/>
    <w:rsid w:val="005A0B47"/>
    <w:rsid w:val="005A111D"/>
    <w:rsid w:val="005A30C9"/>
    <w:rsid w:val="005A3D59"/>
    <w:rsid w:val="005A4320"/>
    <w:rsid w:val="005B0684"/>
    <w:rsid w:val="005B0723"/>
    <w:rsid w:val="005B099D"/>
    <w:rsid w:val="005B3276"/>
    <w:rsid w:val="005B4B78"/>
    <w:rsid w:val="005B5408"/>
    <w:rsid w:val="005B54DA"/>
    <w:rsid w:val="005B6151"/>
    <w:rsid w:val="005B67F5"/>
    <w:rsid w:val="005B6B45"/>
    <w:rsid w:val="005C0019"/>
    <w:rsid w:val="005C44E6"/>
    <w:rsid w:val="005C4DF4"/>
    <w:rsid w:val="005C599F"/>
    <w:rsid w:val="005C65EC"/>
    <w:rsid w:val="005D0CB8"/>
    <w:rsid w:val="005D3D8B"/>
    <w:rsid w:val="005D592D"/>
    <w:rsid w:val="005D63B3"/>
    <w:rsid w:val="005D72ED"/>
    <w:rsid w:val="005E0D6E"/>
    <w:rsid w:val="005E2435"/>
    <w:rsid w:val="005E49AC"/>
    <w:rsid w:val="005E4F93"/>
    <w:rsid w:val="005E7EDB"/>
    <w:rsid w:val="005F08B6"/>
    <w:rsid w:val="005F15A5"/>
    <w:rsid w:val="005F1C8E"/>
    <w:rsid w:val="005F230E"/>
    <w:rsid w:val="005F3F0A"/>
    <w:rsid w:val="006004FB"/>
    <w:rsid w:val="00604B62"/>
    <w:rsid w:val="00605FED"/>
    <w:rsid w:val="00606F67"/>
    <w:rsid w:val="0061035C"/>
    <w:rsid w:val="00615161"/>
    <w:rsid w:val="00616EFF"/>
    <w:rsid w:val="00620113"/>
    <w:rsid w:val="006201C3"/>
    <w:rsid w:val="00621153"/>
    <w:rsid w:val="00622A7F"/>
    <w:rsid w:val="006232D1"/>
    <w:rsid w:val="00623738"/>
    <w:rsid w:val="00623843"/>
    <w:rsid w:val="00623D59"/>
    <w:rsid w:val="006246AD"/>
    <w:rsid w:val="00635704"/>
    <w:rsid w:val="00636D91"/>
    <w:rsid w:val="00637340"/>
    <w:rsid w:val="00640DC6"/>
    <w:rsid w:val="0064305F"/>
    <w:rsid w:val="00643464"/>
    <w:rsid w:val="006442C6"/>
    <w:rsid w:val="0064622A"/>
    <w:rsid w:val="006466FF"/>
    <w:rsid w:val="0065255B"/>
    <w:rsid w:val="00653323"/>
    <w:rsid w:val="0065511C"/>
    <w:rsid w:val="00657F19"/>
    <w:rsid w:val="00662CD0"/>
    <w:rsid w:val="00664472"/>
    <w:rsid w:val="00670515"/>
    <w:rsid w:val="00673690"/>
    <w:rsid w:val="00674773"/>
    <w:rsid w:val="00674E05"/>
    <w:rsid w:val="00675293"/>
    <w:rsid w:val="0067613A"/>
    <w:rsid w:val="00677A05"/>
    <w:rsid w:val="006824F7"/>
    <w:rsid w:val="0068309A"/>
    <w:rsid w:val="00683C55"/>
    <w:rsid w:val="00684396"/>
    <w:rsid w:val="00686E41"/>
    <w:rsid w:val="00687378"/>
    <w:rsid w:val="00693476"/>
    <w:rsid w:val="00694FDE"/>
    <w:rsid w:val="00695548"/>
    <w:rsid w:val="0069575C"/>
    <w:rsid w:val="00695808"/>
    <w:rsid w:val="00696524"/>
    <w:rsid w:val="006A2534"/>
    <w:rsid w:val="006A2DDB"/>
    <w:rsid w:val="006A6341"/>
    <w:rsid w:val="006A6A3B"/>
    <w:rsid w:val="006A6B66"/>
    <w:rsid w:val="006B4B8D"/>
    <w:rsid w:val="006B5B0F"/>
    <w:rsid w:val="006B6734"/>
    <w:rsid w:val="006B7F78"/>
    <w:rsid w:val="006C1D69"/>
    <w:rsid w:val="006C3B4B"/>
    <w:rsid w:val="006C5C64"/>
    <w:rsid w:val="006C6E6E"/>
    <w:rsid w:val="006C77C0"/>
    <w:rsid w:val="006D0435"/>
    <w:rsid w:val="006D4126"/>
    <w:rsid w:val="006D4F74"/>
    <w:rsid w:val="006D5AB3"/>
    <w:rsid w:val="006D75A8"/>
    <w:rsid w:val="006E0FB3"/>
    <w:rsid w:val="006E16F7"/>
    <w:rsid w:val="006E1F04"/>
    <w:rsid w:val="006E2019"/>
    <w:rsid w:val="006E3E48"/>
    <w:rsid w:val="006E701B"/>
    <w:rsid w:val="006E79E5"/>
    <w:rsid w:val="006E7CD4"/>
    <w:rsid w:val="006F11C5"/>
    <w:rsid w:val="006F3089"/>
    <w:rsid w:val="007005FE"/>
    <w:rsid w:val="00701CBB"/>
    <w:rsid w:val="00702954"/>
    <w:rsid w:val="00702BD0"/>
    <w:rsid w:val="007043E3"/>
    <w:rsid w:val="0070543E"/>
    <w:rsid w:val="00706315"/>
    <w:rsid w:val="007075AC"/>
    <w:rsid w:val="007077EC"/>
    <w:rsid w:val="00707E9F"/>
    <w:rsid w:val="007119CE"/>
    <w:rsid w:val="007136DD"/>
    <w:rsid w:val="007136E0"/>
    <w:rsid w:val="00714C04"/>
    <w:rsid w:val="00715002"/>
    <w:rsid w:val="0071506C"/>
    <w:rsid w:val="00717294"/>
    <w:rsid w:val="00717369"/>
    <w:rsid w:val="00721514"/>
    <w:rsid w:val="0072211E"/>
    <w:rsid w:val="007309D2"/>
    <w:rsid w:val="00730CA6"/>
    <w:rsid w:val="007312B9"/>
    <w:rsid w:val="007329BF"/>
    <w:rsid w:val="00733E4D"/>
    <w:rsid w:val="0074400C"/>
    <w:rsid w:val="0074604A"/>
    <w:rsid w:val="00747B49"/>
    <w:rsid w:val="0075339D"/>
    <w:rsid w:val="007602F2"/>
    <w:rsid w:val="00760738"/>
    <w:rsid w:val="007624D8"/>
    <w:rsid w:val="00770129"/>
    <w:rsid w:val="0077080C"/>
    <w:rsid w:val="00772C2B"/>
    <w:rsid w:val="007755F8"/>
    <w:rsid w:val="007760F6"/>
    <w:rsid w:val="00777194"/>
    <w:rsid w:val="00782D46"/>
    <w:rsid w:val="00787E1E"/>
    <w:rsid w:val="0079278C"/>
    <w:rsid w:val="007964A5"/>
    <w:rsid w:val="00797C9C"/>
    <w:rsid w:val="00797F2B"/>
    <w:rsid w:val="007A0BC4"/>
    <w:rsid w:val="007A22F0"/>
    <w:rsid w:val="007A375D"/>
    <w:rsid w:val="007A43DE"/>
    <w:rsid w:val="007A4C24"/>
    <w:rsid w:val="007A4DF6"/>
    <w:rsid w:val="007A73EC"/>
    <w:rsid w:val="007B0E20"/>
    <w:rsid w:val="007B3E00"/>
    <w:rsid w:val="007B53FE"/>
    <w:rsid w:val="007C0743"/>
    <w:rsid w:val="007C1E78"/>
    <w:rsid w:val="007C36E5"/>
    <w:rsid w:val="007C43E3"/>
    <w:rsid w:val="007D0823"/>
    <w:rsid w:val="007D28DF"/>
    <w:rsid w:val="007D2CB6"/>
    <w:rsid w:val="007D47A9"/>
    <w:rsid w:val="007D5BC5"/>
    <w:rsid w:val="007D64D4"/>
    <w:rsid w:val="007E1290"/>
    <w:rsid w:val="007E189D"/>
    <w:rsid w:val="007E1B0B"/>
    <w:rsid w:val="007E5609"/>
    <w:rsid w:val="007E56A6"/>
    <w:rsid w:val="007E669F"/>
    <w:rsid w:val="007F1EDE"/>
    <w:rsid w:val="007F3D7F"/>
    <w:rsid w:val="007F43CB"/>
    <w:rsid w:val="007F6086"/>
    <w:rsid w:val="007F6DED"/>
    <w:rsid w:val="007F7681"/>
    <w:rsid w:val="008003FB"/>
    <w:rsid w:val="0080046F"/>
    <w:rsid w:val="0080324C"/>
    <w:rsid w:val="00803D9A"/>
    <w:rsid w:val="00805DEB"/>
    <w:rsid w:val="00805EC3"/>
    <w:rsid w:val="00806A74"/>
    <w:rsid w:val="00812B24"/>
    <w:rsid w:val="00816775"/>
    <w:rsid w:val="00816943"/>
    <w:rsid w:val="00816D33"/>
    <w:rsid w:val="00817018"/>
    <w:rsid w:val="00817EE0"/>
    <w:rsid w:val="00823C0D"/>
    <w:rsid w:val="00827A96"/>
    <w:rsid w:val="00831708"/>
    <w:rsid w:val="0083432B"/>
    <w:rsid w:val="00835D2A"/>
    <w:rsid w:val="00837DF6"/>
    <w:rsid w:val="0084199F"/>
    <w:rsid w:val="008420CE"/>
    <w:rsid w:val="008437DF"/>
    <w:rsid w:val="00845FBB"/>
    <w:rsid w:val="0084673E"/>
    <w:rsid w:val="00850090"/>
    <w:rsid w:val="00850ABA"/>
    <w:rsid w:val="00853321"/>
    <w:rsid w:val="00855BEA"/>
    <w:rsid w:val="00856C25"/>
    <w:rsid w:val="0086088E"/>
    <w:rsid w:val="00860C51"/>
    <w:rsid w:val="0086590D"/>
    <w:rsid w:val="00870176"/>
    <w:rsid w:val="008709C2"/>
    <w:rsid w:val="00872256"/>
    <w:rsid w:val="008726FE"/>
    <w:rsid w:val="008731D6"/>
    <w:rsid w:val="008753CB"/>
    <w:rsid w:val="0088248B"/>
    <w:rsid w:val="0088254B"/>
    <w:rsid w:val="00882CF9"/>
    <w:rsid w:val="008833C6"/>
    <w:rsid w:val="00883409"/>
    <w:rsid w:val="0088592D"/>
    <w:rsid w:val="008904AB"/>
    <w:rsid w:val="00890B4B"/>
    <w:rsid w:val="008A3160"/>
    <w:rsid w:val="008A5D44"/>
    <w:rsid w:val="008A6E0F"/>
    <w:rsid w:val="008A76D9"/>
    <w:rsid w:val="008A798D"/>
    <w:rsid w:val="008B0AF8"/>
    <w:rsid w:val="008B27D7"/>
    <w:rsid w:val="008B3B4A"/>
    <w:rsid w:val="008B48E4"/>
    <w:rsid w:val="008B6EDC"/>
    <w:rsid w:val="008B6FDB"/>
    <w:rsid w:val="008B7FD7"/>
    <w:rsid w:val="008C0B35"/>
    <w:rsid w:val="008C0BE2"/>
    <w:rsid w:val="008C1D88"/>
    <w:rsid w:val="008C22A0"/>
    <w:rsid w:val="008C26E2"/>
    <w:rsid w:val="008C2A45"/>
    <w:rsid w:val="008C32AD"/>
    <w:rsid w:val="008C4BB5"/>
    <w:rsid w:val="008C5023"/>
    <w:rsid w:val="008C549E"/>
    <w:rsid w:val="008C6811"/>
    <w:rsid w:val="008C7F7F"/>
    <w:rsid w:val="008D0571"/>
    <w:rsid w:val="008D17FC"/>
    <w:rsid w:val="008D7069"/>
    <w:rsid w:val="008E0703"/>
    <w:rsid w:val="008E2877"/>
    <w:rsid w:val="008E599F"/>
    <w:rsid w:val="008E6381"/>
    <w:rsid w:val="008E6672"/>
    <w:rsid w:val="008E7146"/>
    <w:rsid w:val="008F259E"/>
    <w:rsid w:val="008F2BD0"/>
    <w:rsid w:val="008F4670"/>
    <w:rsid w:val="008F76ED"/>
    <w:rsid w:val="009012FA"/>
    <w:rsid w:val="009015B2"/>
    <w:rsid w:val="009024E2"/>
    <w:rsid w:val="009029FE"/>
    <w:rsid w:val="00903534"/>
    <w:rsid w:val="00903540"/>
    <w:rsid w:val="00904A36"/>
    <w:rsid w:val="00907663"/>
    <w:rsid w:val="00912FB6"/>
    <w:rsid w:val="00913598"/>
    <w:rsid w:val="00915A1C"/>
    <w:rsid w:val="00915E7B"/>
    <w:rsid w:val="00916276"/>
    <w:rsid w:val="009178D2"/>
    <w:rsid w:val="00921817"/>
    <w:rsid w:val="00921FCC"/>
    <w:rsid w:val="0092487D"/>
    <w:rsid w:val="009248E0"/>
    <w:rsid w:val="00930349"/>
    <w:rsid w:val="00931AA1"/>
    <w:rsid w:val="00936DEB"/>
    <w:rsid w:val="00937A2C"/>
    <w:rsid w:val="00942339"/>
    <w:rsid w:val="00942D7C"/>
    <w:rsid w:val="009433C6"/>
    <w:rsid w:val="0094410D"/>
    <w:rsid w:val="00945423"/>
    <w:rsid w:val="009459E7"/>
    <w:rsid w:val="0095079F"/>
    <w:rsid w:val="00950C24"/>
    <w:rsid w:val="009516C1"/>
    <w:rsid w:val="00952293"/>
    <w:rsid w:val="0095516B"/>
    <w:rsid w:val="0095778A"/>
    <w:rsid w:val="009579D8"/>
    <w:rsid w:val="00957EA7"/>
    <w:rsid w:val="00961283"/>
    <w:rsid w:val="009635DC"/>
    <w:rsid w:val="009656EC"/>
    <w:rsid w:val="00965EC9"/>
    <w:rsid w:val="009661FE"/>
    <w:rsid w:val="00971346"/>
    <w:rsid w:val="00971BFC"/>
    <w:rsid w:val="00971F86"/>
    <w:rsid w:val="00973B40"/>
    <w:rsid w:val="00973E02"/>
    <w:rsid w:val="00973E9E"/>
    <w:rsid w:val="0097586A"/>
    <w:rsid w:val="00975E29"/>
    <w:rsid w:val="009775AA"/>
    <w:rsid w:val="0098213E"/>
    <w:rsid w:val="00982FE5"/>
    <w:rsid w:val="0098456D"/>
    <w:rsid w:val="00985613"/>
    <w:rsid w:val="00985F1D"/>
    <w:rsid w:val="00986615"/>
    <w:rsid w:val="00990BC6"/>
    <w:rsid w:val="0099131C"/>
    <w:rsid w:val="0099170C"/>
    <w:rsid w:val="00992E4A"/>
    <w:rsid w:val="009955B3"/>
    <w:rsid w:val="0099757A"/>
    <w:rsid w:val="00997AD5"/>
    <w:rsid w:val="00997DFC"/>
    <w:rsid w:val="009A035C"/>
    <w:rsid w:val="009A04F9"/>
    <w:rsid w:val="009A090B"/>
    <w:rsid w:val="009A19F9"/>
    <w:rsid w:val="009A4BAB"/>
    <w:rsid w:val="009A5D66"/>
    <w:rsid w:val="009B0878"/>
    <w:rsid w:val="009B1593"/>
    <w:rsid w:val="009B1D82"/>
    <w:rsid w:val="009B2A7C"/>
    <w:rsid w:val="009B343C"/>
    <w:rsid w:val="009B3507"/>
    <w:rsid w:val="009B4686"/>
    <w:rsid w:val="009C03F6"/>
    <w:rsid w:val="009C04A3"/>
    <w:rsid w:val="009C0CAA"/>
    <w:rsid w:val="009C1235"/>
    <w:rsid w:val="009C432A"/>
    <w:rsid w:val="009C6E79"/>
    <w:rsid w:val="009C77F2"/>
    <w:rsid w:val="009D2D41"/>
    <w:rsid w:val="009D677E"/>
    <w:rsid w:val="009D7B50"/>
    <w:rsid w:val="009E1005"/>
    <w:rsid w:val="009E1A07"/>
    <w:rsid w:val="009E2F9D"/>
    <w:rsid w:val="009E4615"/>
    <w:rsid w:val="009E4977"/>
    <w:rsid w:val="009E7B80"/>
    <w:rsid w:val="009F2A3F"/>
    <w:rsid w:val="009F32E5"/>
    <w:rsid w:val="009F4F40"/>
    <w:rsid w:val="009F625E"/>
    <w:rsid w:val="009F6641"/>
    <w:rsid w:val="009F70BE"/>
    <w:rsid w:val="00A0218C"/>
    <w:rsid w:val="00A02410"/>
    <w:rsid w:val="00A03FC2"/>
    <w:rsid w:val="00A04B19"/>
    <w:rsid w:val="00A065E8"/>
    <w:rsid w:val="00A07D91"/>
    <w:rsid w:val="00A10879"/>
    <w:rsid w:val="00A152F3"/>
    <w:rsid w:val="00A15577"/>
    <w:rsid w:val="00A1671A"/>
    <w:rsid w:val="00A172AC"/>
    <w:rsid w:val="00A174E6"/>
    <w:rsid w:val="00A208DB"/>
    <w:rsid w:val="00A22B1A"/>
    <w:rsid w:val="00A232AD"/>
    <w:rsid w:val="00A27A3C"/>
    <w:rsid w:val="00A320DF"/>
    <w:rsid w:val="00A33976"/>
    <w:rsid w:val="00A33A00"/>
    <w:rsid w:val="00A359A3"/>
    <w:rsid w:val="00A37483"/>
    <w:rsid w:val="00A428C9"/>
    <w:rsid w:val="00A42903"/>
    <w:rsid w:val="00A46D67"/>
    <w:rsid w:val="00A477AE"/>
    <w:rsid w:val="00A503C5"/>
    <w:rsid w:val="00A54508"/>
    <w:rsid w:val="00A5492F"/>
    <w:rsid w:val="00A56362"/>
    <w:rsid w:val="00A56573"/>
    <w:rsid w:val="00A57E4C"/>
    <w:rsid w:val="00A60317"/>
    <w:rsid w:val="00A61465"/>
    <w:rsid w:val="00A61B6E"/>
    <w:rsid w:val="00A66ABC"/>
    <w:rsid w:val="00A673D5"/>
    <w:rsid w:val="00A71A99"/>
    <w:rsid w:val="00A7233D"/>
    <w:rsid w:val="00A75A0B"/>
    <w:rsid w:val="00A772A9"/>
    <w:rsid w:val="00A823D3"/>
    <w:rsid w:val="00A83C55"/>
    <w:rsid w:val="00A8550A"/>
    <w:rsid w:val="00A871D5"/>
    <w:rsid w:val="00A87E7F"/>
    <w:rsid w:val="00A90BD6"/>
    <w:rsid w:val="00A95EA2"/>
    <w:rsid w:val="00A97350"/>
    <w:rsid w:val="00AA0C5A"/>
    <w:rsid w:val="00AA1ECC"/>
    <w:rsid w:val="00AB02A7"/>
    <w:rsid w:val="00AB3A26"/>
    <w:rsid w:val="00AB4281"/>
    <w:rsid w:val="00AB5698"/>
    <w:rsid w:val="00AB789F"/>
    <w:rsid w:val="00AC094B"/>
    <w:rsid w:val="00AC0E3B"/>
    <w:rsid w:val="00AC2A4D"/>
    <w:rsid w:val="00AC4200"/>
    <w:rsid w:val="00AC5E53"/>
    <w:rsid w:val="00AD00CD"/>
    <w:rsid w:val="00AD00F1"/>
    <w:rsid w:val="00AD2245"/>
    <w:rsid w:val="00AD26F8"/>
    <w:rsid w:val="00AD31F3"/>
    <w:rsid w:val="00AD34CC"/>
    <w:rsid w:val="00AD4140"/>
    <w:rsid w:val="00AD4B54"/>
    <w:rsid w:val="00AD55E9"/>
    <w:rsid w:val="00AD6AD7"/>
    <w:rsid w:val="00AE3C4A"/>
    <w:rsid w:val="00AE42D3"/>
    <w:rsid w:val="00AE54FA"/>
    <w:rsid w:val="00AE5FC2"/>
    <w:rsid w:val="00AE6725"/>
    <w:rsid w:val="00AF48D6"/>
    <w:rsid w:val="00AF5274"/>
    <w:rsid w:val="00B03E54"/>
    <w:rsid w:val="00B04C19"/>
    <w:rsid w:val="00B056E7"/>
    <w:rsid w:val="00B11DC4"/>
    <w:rsid w:val="00B1269D"/>
    <w:rsid w:val="00B1424D"/>
    <w:rsid w:val="00B15C8D"/>
    <w:rsid w:val="00B22DB1"/>
    <w:rsid w:val="00B24E1F"/>
    <w:rsid w:val="00B251CF"/>
    <w:rsid w:val="00B30A5B"/>
    <w:rsid w:val="00B3100E"/>
    <w:rsid w:val="00B312E8"/>
    <w:rsid w:val="00B31954"/>
    <w:rsid w:val="00B35E96"/>
    <w:rsid w:val="00B366A4"/>
    <w:rsid w:val="00B3684C"/>
    <w:rsid w:val="00B378CB"/>
    <w:rsid w:val="00B37952"/>
    <w:rsid w:val="00B404A3"/>
    <w:rsid w:val="00B40A0A"/>
    <w:rsid w:val="00B417E9"/>
    <w:rsid w:val="00B43851"/>
    <w:rsid w:val="00B45441"/>
    <w:rsid w:val="00B4591C"/>
    <w:rsid w:val="00B46EE4"/>
    <w:rsid w:val="00B50677"/>
    <w:rsid w:val="00B51DFC"/>
    <w:rsid w:val="00B5459A"/>
    <w:rsid w:val="00B54DD3"/>
    <w:rsid w:val="00B554D8"/>
    <w:rsid w:val="00B55746"/>
    <w:rsid w:val="00B55FED"/>
    <w:rsid w:val="00B60DA7"/>
    <w:rsid w:val="00B610D8"/>
    <w:rsid w:val="00B6132A"/>
    <w:rsid w:val="00B63894"/>
    <w:rsid w:val="00B675A8"/>
    <w:rsid w:val="00B7089B"/>
    <w:rsid w:val="00B710AD"/>
    <w:rsid w:val="00B71FB8"/>
    <w:rsid w:val="00B760C4"/>
    <w:rsid w:val="00B811F4"/>
    <w:rsid w:val="00B825AB"/>
    <w:rsid w:val="00B85BC2"/>
    <w:rsid w:val="00B8612B"/>
    <w:rsid w:val="00B87EA1"/>
    <w:rsid w:val="00B90070"/>
    <w:rsid w:val="00B9124A"/>
    <w:rsid w:val="00B9269F"/>
    <w:rsid w:val="00B9380F"/>
    <w:rsid w:val="00B94763"/>
    <w:rsid w:val="00B96301"/>
    <w:rsid w:val="00B97640"/>
    <w:rsid w:val="00BA1532"/>
    <w:rsid w:val="00BA20AF"/>
    <w:rsid w:val="00BA7280"/>
    <w:rsid w:val="00BB099D"/>
    <w:rsid w:val="00BB18A5"/>
    <w:rsid w:val="00BB1F09"/>
    <w:rsid w:val="00BB2D6C"/>
    <w:rsid w:val="00BB3C6A"/>
    <w:rsid w:val="00BB4EA3"/>
    <w:rsid w:val="00BB5A1E"/>
    <w:rsid w:val="00BB62D5"/>
    <w:rsid w:val="00BB6317"/>
    <w:rsid w:val="00BB6F39"/>
    <w:rsid w:val="00BB6FE5"/>
    <w:rsid w:val="00BB7593"/>
    <w:rsid w:val="00BC0DBE"/>
    <w:rsid w:val="00BC2FED"/>
    <w:rsid w:val="00BC45AC"/>
    <w:rsid w:val="00BC654B"/>
    <w:rsid w:val="00BC7316"/>
    <w:rsid w:val="00BC7DA4"/>
    <w:rsid w:val="00BD1047"/>
    <w:rsid w:val="00BD1624"/>
    <w:rsid w:val="00BD382B"/>
    <w:rsid w:val="00BD69A7"/>
    <w:rsid w:val="00BD69D6"/>
    <w:rsid w:val="00BE232A"/>
    <w:rsid w:val="00BE25F7"/>
    <w:rsid w:val="00BE28DE"/>
    <w:rsid w:val="00BE7F69"/>
    <w:rsid w:val="00BF006C"/>
    <w:rsid w:val="00BF051B"/>
    <w:rsid w:val="00BF1499"/>
    <w:rsid w:val="00BF3277"/>
    <w:rsid w:val="00BF32EC"/>
    <w:rsid w:val="00BF7D20"/>
    <w:rsid w:val="00C0306A"/>
    <w:rsid w:val="00C03204"/>
    <w:rsid w:val="00C04536"/>
    <w:rsid w:val="00C04C03"/>
    <w:rsid w:val="00C06DF4"/>
    <w:rsid w:val="00C10934"/>
    <w:rsid w:val="00C11655"/>
    <w:rsid w:val="00C12F9F"/>
    <w:rsid w:val="00C13D3C"/>
    <w:rsid w:val="00C14D08"/>
    <w:rsid w:val="00C161D9"/>
    <w:rsid w:val="00C17987"/>
    <w:rsid w:val="00C17F8E"/>
    <w:rsid w:val="00C214C5"/>
    <w:rsid w:val="00C216C2"/>
    <w:rsid w:val="00C23A93"/>
    <w:rsid w:val="00C23F56"/>
    <w:rsid w:val="00C25D30"/>
    <w:rsid w:val="00C30F61"/>
    <w:rsid w:val="00C3161C"/>
    <w:rsid w:val="00C31F20"/>
    <w:rsid w:val="00C325AA"/>
    <w:rsid w:val="00C32BF8"/>
    <w:rsid w:val="00C34ED7"/>
    <w:rsid w:val="00C422F0"/>
    <w:rsid w:val="00C42BF2"/>
    <w:rsid w:val="00C4607E"/>
    <w:rsid w:val="00C460FA"/>
    <w:rsid w:val="00C51097"/>
    <w:rsid w:val="00C512FC"/>
    <w:rsid w:val="00C52A65"/>
    <w:rsid w:val="00C56B50"/>
    <w:rsid w:val="00C61042"/>
    <w:rsid w:val="00C6312C"/>
    <w:rsid w:val="00C6377B"/>
    <w:rsid w:val="00C654B3"/>
    <w:rsid w:val="00C66B3A"/>
    <w:rsid w:val="00C705E9"/>
    <w:rsid w:val="00C713EA"/>
    <w:rsid w:val="00C7233F"/>
    <w:rsid w:val="00C756B3"/>
    <w:rsid w:val="00C81D88"/>
    <w:rsid w:val="00C8775B"/>
    <w:rsid w:val="00C9007A"/>
    <w:rsid w:val="00C9096F"/>
    <w:rsid w:val="00C93254"/>
    <w:rsid w:val="00C966E4"/>
    <w:rsid w:val="00C97256"/>
    <w:rsid w:val="00CA01E2"/>
    <w:rsid w:val="00CA0994"/>
    <w:rsid w:val="00CA1A10"/>
    <w:rsid w:val="00CA3BF1"/>
    <w:rsid w:val="00CA5CBA"/>
    <w:rsid w:val="00CA72AF"/>
    <w:rsid w:val="00CB0459"/>
    <w:rsid w:val="00CB0DCF"/>
    <w:rsid w:val="00CB1E7D"/>
    <w:rsid w:val="00CB37AA"/>
    <w:rsid w:val="00CB555C"/>
    <w:rsid w:val="00CB587A"/>
    <w:rsid w:val="00CB6AF1"/>
    <w:rsid w:val="00CB7EB9"/>
    <w:rsid w:val="00CC074D"/>
    <w:rsid w:val="00CC0B95"/>
    <w:rsid w:val="00CC36BE"/>
    <w:rsid w:val="00CC6CD3"/>
    <w:rsid w:val="00CC77E9"/>
    <w:rsid w:val="00CD254E"/>
    <w:rsid w:val="00CD38F6"/>
    <w:rsid w:val="00CD3B6D"/>
    <w:rsid w:val="00CD646C"/>
    <w:rsid w:val="00CD6A65"/>
    <w:rsid w:val="00CD6B5A"/>
    <w:rsid w:val="00CE6119"/>
    <w:rsid w:val="00CE708E"/>
    <w:rsid w:val="00CF1AF6"/>
    <w:rsid w:val="00CF30CE"/>
    <w:rsid w:val="00CF3745"/>
    <w:rsid w:val="00CF5277"/>
    <w:rsid w:val="00CF75F3"/>
    <w:rsid w:val="00CF7C0A"/>
    <w:rsid w:val="00D0017D"/>
    <w:rsid w:val="00D0043E"/>
    <w:rsid w:val="00D0483F"/>
    <w:rsid w:val="00D06E5A"/>
    <w:rsid w:val="00D16A1B"/>
    <w:rsid w:val="00D203E3"/>
    <w:rsid w:val="00D22DB8"/>
    <w:rsid w:val="00D2733C"/>
    <w:rsid w:val="00D30A45"/>
    <w:rsid w:val="00D30B10"/>
    <w:rsid w:val="00D34C39"/>
    <w:rsid w:val="00D36030"/>
    <w:rsid w:val="00D40F10"/>
    <w:rsid w:val="00D416DF"/>
    <w:rsid w:val="00D4488A"/>
    <w:rsid w:val="00D448A6"/>
    <w:rsid w:val="00D450A0"/>
    <w:rsid w:val="00D46618"/>
    <w:rsid w:val="00D506EC"/>
    <w:rsid w:val="00D508E3"/>
    <w:rsid w:val="00D56EF5"/>
    <w:rsid w:val="00D575D3"/>
    <w:rsid w:val="00D60878"/>
    <w:rsid w:val="00D6454E"/>
    <w:rsid w:val="00D73955"/>
    <w:rsid w:val="00D75A58"/>
    <w:rsid w:val="00D76212"/>
    <w:rsid w:val="00D762F8"/>
    <w:rsid w:val="00D76F30"/>
    <w:rsid w:val="00D7786F"/>
    <w:rsid w:val="00D8293B"/>
    <w:rsid w:val="00D83D9C"/>
    <w:rsid w:val="00D85DEE"/>
    <w:rsid w:val="00D87746"/>
    <w:rsid w:val="00D87969"/>
    <w:rsid w:val="00D93FED"/>
    <w:rsid w:val="00D95EAC"/>
    <w:rsid w:val="00D9713A"/>
    <w:rsid w:val="00D975A5"/>
    <w:rsid w:val="00D97DB4"/>
    <w:rsid w:val="00DA1727"/>
    <w:rsid w:val="00DA1EA1"/>
    <w:rsid w:val="00DA1F2F"/>
    <w:rsid w:val="00DA374D"/>
    <w:rsid w:val="00DA48EC"/>
    <w:rsid w:val="00DA57D9"/>
    <w:rsid w:val="00DB1682"/>
    <w:rsid w:val="00DB5E2A"/>
    <w:rsid w:val="00DB653C"/>
    <w:rsid w:val="00DC0706"/>
    <w:rsid w:val="00DC18B5"/>
    <w:rsid w:val="00DC1B17"/>
    <w:rsid w:val="00DC2051"/>
    <w:rsid w:val="00DC2856"/>
    <w:rsid w:val="00DC4FA6"/>
    <w:rsid w:val="00DC6579"/>
    <w:rsid w:val="00DD66FB"/>
    <w:rsid w:val="00DD6C29"/>
    <w:rsid w:val="00DE0A59"/>
    <w:rsid w:val="00DE122B"/>
    <w:rsid w:val="00DE20BB"/>
    <w:rsid w:val="00DE25EA"/>
    <w:rsid w:val="00DE300F"/>
    <w:rsid w:val="00DE3B44"/>
    <w:rsid w:val="00DE6130"/>
    <w:rsid w:val="00DE67FA"/>
    <w:rsid w:val="00DE698D"/>
    <w:rsid w:val="00DE78FF"/>
    <w:rsid w:val="00DF1651"/>
    <w:rsid w:val="00DF2517"/>
    <w:rsid w:val="00DF2ADB"/>
    <w:rsid w:val="00DF497F"/>
    <w:rsid w:val="00DF5EB1"/>
    <w:rsid w:val="00DF6F68"/>
    <w:rsid w:val="00E01D85"/>
    <w:rsid w:val="00E049DE"/>
    <w:rsid w:val="00E069A6"/>
    <w:rsid w:val="00E104EF"/>
    <w:rsid w:val="00E11640"/>
    <w:rsid w:val="00E125C7"/>
    <w:rsid w:val="00E12772"/>
    <w:rsid w:val="00E13795"/>
    <w:rsid w:val="00E152BB"/>
    <w:rsid w:val="00E16C11"/>
    <w:rsid w:val="00E1705D"/>
    <w:rsid w:val="00E2279A"/>
    <w:rsid w:val="00E22DF2"/>
    <w:rsid w:val="00E272AD"/>
    <w:rsid w:val="00E302FB"/>
    <w:rsid w:val="00E30491"/>
    <w:rsid w:val="00E30FBC"/>
    <w:rsid w:val="00E319B9"/>
    <w:rsid w:val="00E31B7B"/>
    <w:rsid w:val="00E31C3E"/>
    <w:rsid w:val="00E32856"/>
    <w:rsid w:val="00E32968"/>
    <w:rsid w:val="00E333B3"/>
    <w:rsid w:val="00E33C4C"/>
    <w:rsid w:val="00E34F97"/>
    <w:rsid w:val="00E35AB2"/>
    <w:rsid w:val="00E37440"/>
    <w:rsid w:val="00E408AD"/>
    <w:rsid w:val="00E40C31"/>
    <w:rsid w:val="00E43229"/>
    <w:rsid w:val="00E56413"/>
    <w:rsid w:val="00E56588"/>
    <w:rsid w:val="00E649C8"/>
    <w:rsid w:val="00E70022"/>
    <w:rsid w:val="00E76CB3"/>
    <w:rsid w:val="00E86C9C"/>
    <w:rsid w:val="00E9027C"/>
    <w:rsid w:val="00E91FD5"/>
    <w:rsid w:val="00E94093"/>
    <w:rsid w:val="00EA042A"/>
    <w:rsid w:val="00EA0C6F"/>
    <w:rsid w:val="00EA304E"/>
    <w:rsid w:val="00EB32F4"/>
    <w:rsid w:val="00EB370A"/>
    <w:rsid w:val="00EB4471"/>
    <w:rsid w:val="00EB4F25"/>
    <w:rsid w:val="00EB5862"/>
    <w:rsid w:val="00EB68E7"/>
    <w:rsid w:val="00EC1F74"/>
    <w:rsid w:val="00EC3663"/>
    <w:rsid w:val="00EC4589"/>
    <w:rsid w:val="00EC6094"/>
    <w:rsid w:val="00EC61A2"/>
    <w:rsid w:val="00EC67F8"/>
    <w:rsid w:val="00EC79AB"/>
    <w:rsid w:val="00ED194C"/>
    <w:rsid w:val="00ED1CFE"/>
    <w:rsid w:val="00ED2DA2"/>
    <w:rsid w:val="00ED78EF"/>
    <w:rsid w:val="00EE0083"/>
    <w:rsid w:val="00EE2866"/>
    <w:rsid w:val="00EE4E9E"/>
    <w:rsid w:val="00EE632D"/>
    <w:rsid w:val="00EF3D1F"/>
    <w:rsid w:val="00EF50B8"/>
    <w:rsid w:val="00EF607F"/>
    <w:rsid w:val="00EF7AF9"/>
    <w:rsid w:val="00F02F04"/>
    <w:rsid w:val="00F038EE"/>
    <w:rsid w:val="00F03AC3"/>
    <w:rsid w:val="00F04F38"/>
    <w:rsid w:val="00F122D8"/>
    <w:rsid w:val="00F125BD"/>
    <w:rsid w:val="00F125FE"/>
    <w:rsid w:val="00F1356F"/>
    <w:rsid w:val="00F211D6"/>
    <w:rsid w:val="00F22258"/>
    <w:rsid w:val="00F224EE"/>
    <w:rsid w:val="00F2305E"/>
    <w:rsid w:val="00F23BDC"/>
    <w:rsid w:val="00F23DBF"/>
    <w:rsid w:val="00F24E52"/>
    <w:rsid w:val="00F3019F"/>
    <w:rsid w:val="00F3431D"/>
    <w:rsid w:val="00F34D65"/>
    <w:rsid w:val="00F34E63"/>
    <w:rsid w:val="00F36449"/>
    <w:rsid w:val="00F3653C"/>
    <w:rsid w:val="00F41BCB"/>
    <w:rsid w:val="00F4350C"/>
    <w:rsid w:val="00F43657"/>
    <w:rsid w:val="00F440BE"/>
    <w:rsid w:val="00F44A5A"/>
    <w:rsid w:val="00F46086"/>
    <w:rsid w:val="00F51226"/>
    <w:rsid w:val="00F51509"/>
    <w:rsid w:val="00F51BA0"/>
    <w:rsid w:val="00F55A14"/>
    <w:rsid w:val="00F6067F"/>
    <w:rsid w:val="00F634DB"/>
    <w:rsid w:val="00F64151"/>
    <w:rsid w:val="00F717DE"/>
    <w:rsid w:val="00F71EF7"/>
    <w:rsid w:val="00F726DD"/>
    <w:rsid w:val="00F778AE"/>
    <w:rsid w:val="00F80394"/>
    <w:rsid w:val="00F8376E"/>
    <w:rsid w:val="00F846DF"/>
    <w:rsid w:val="00F85554"/>
    <w:rsid w:val="00F8655F"/>
    <w:rsid w:val="00F86C59"/>
    <w:rsid w:val="00F9443B"/>
    <w:rsid w:val="00F97781"/>
    <w:rsid w:val="00FA1386"/>
    <w:rsid w:val="00FA240C"/>
    <w:rsid w:val="00FA3EFA"/>
    <w:rsid w:val="00FA456D"/>
    <w:rsid w:val="00FA4C00"/>
    <w:rsid w:val="00FA567C"/>
    <w:rsid w:val="00FA5B87"/>
    <w:rsid w:val="00FA6E36"/>
    <w:rsid w:val="00FB0CC3"/>
    <w:rsid w:val="00FB1294"/>
    <w:rsid w:val="00FB2E82"/>
    <w:rsid w:val="00FC1E39"/>
    <w:rsid w:val="00FC3BC5"/>
    <w:rsid w:val="00FC6084"/>
    <w:rsid w:val="00FC7007"/>
    <w:rsid w:val="00FD359E"/>
    <w:rsid w:val="00FD3687"/>
    <w:rsid w:val="00FD410D"/>
    <w:rsid w:val="00FE2701"/>
    <w:rsid w:val="00FE28C5"/>
    <w:rsid w:val="00FE2C50"/>
    <w:rsid w:val="00FE3449"/>
    <w:rsid w:val="00FE49EB"/>
    <w:rsid w:val="00FE4BCF"/>
    <w:rsid w:val="00FE54AF"/>
    <w:rsid w:val="00FE7A1A"/>
    <w:rsid w:val="00FF269A"/>
    <w:rsid w:val="00FF2F16"/>
    <w:rsid w:val="00FF5F40"/>
    <w:rsid w:val="00FF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paragraph" w:styleId="Heading1">
    <w:name w:val="heading 1"/>
    <w:basedOn w:val="Normal"/>
    <w:next w:val="Normal"/>
    <w:link w:val="Heading1Char"/>
    <w:uiPriority w:val="9"/>
    <w:qFormat/>
    <w:rsid w:val="00A61B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37DF"/>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916276"/>
    <w:pPr>
      <w:keepNext/>
      <w:keepLines/>
      <w:spacing w:before="40" w:after="0"/>
      <w:outlineLvl w:val="2"/>
    </w:pPr>
    <w:rPr>
      <w:rFonts w:ascii="Times New Roman" w:eastAsiaTheme="majorEastAsia" w:hAnsi="Times New Roman"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D05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3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61B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A61B6E"/>
    <w:pPr>
      <w:spacing w:after="100"/>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uiPriority w:val="9"/>
    <w:rsid w:val="008437DF"/>
    <w:rPr>
      <w:rFonts w:ascii="Times New Roman" w:eastAsiaTheme="majorEastAsia" w:hAnsi="Times New Roman" w:cstheme="majorBidi"/>
      <w:b/>
      <w:sz w:val="24"/>
      <w:szCs w:val="26"/>
      <w:lang w:val="sq-AL"/>
    </w:rPr>
  </w:style>
  <w:style w:type="paragraph" w:styleId="TOC2">
    <w:name w:val="toc 2"/>
    <w:basedOn w:val="Normal"/>
    <w:next w:val="Normal"/>
    <w:autoRedefine/>
    <w:uiPriority w:val="39"/>
    <w:unhideWhenUsed/>
    <w:rsid w:val="00580983"/>
    <w:pPr>
      <w:spacing w:after="100"/>
      <w:ind w:left="220"/>
    </w:pPr>
  </w:style>
  <w:style w:type="paragraph" w:styleId="FootnoteText">
    <w:name w:val="footnote text"/>
    <w:basedOn w:val="Normal"/>
    <w:link w:val="FootnoteTextChar"/>
    <w:uiPriority w:val="99"/>
    <w:unhideWhenUsed/>
    <w:rsid w:val="00942D7C"/>
    <w:pPr>
      <w:spacing w:after="0" w:line="240" w:lineRule="auto"/>
    </w:pPr>
    <w:rPr>
      <w:sz w:val="20"/>
      <w:szCs w:val="20"/>
    </w:rPr>
  </w:style>
  <w:style w:type="character" w:customStyle="1" w:styleId="FootnoteTextChar">
    <w:name w:val="Footnote Text Char"/>
    <w:basedOn w:val="DefaultParagraphFont"/>
    <w:link w:val="FootnoteText"/>
    <w:uiPriority w:val="99"/>
    <w:rsid w:val="00942D7C"/>
    <w:rPr>
      <w:sz w:val="20"/>
      <w:szCs w:val="20"/>
    </w:rPr>
  </w:style>
  <w:style w:type="character" w:styleId="FootnoteReference">
    <w:name w:val="footnote reference"/>
    <w:basedOn w:val="DefaultParagraphFont"/>
    <w:uiPriority w:val="99"/>
    <w:unhideWhenUsed/>
    <w:rsid w:val="00942D7C"/>
    <w:rPr>
      <w:vertAlign w:val="superscript"/>
    </w:rPr>
  </w:style>
  <w:style w:type="character" w:customStyle="1" w:styleId="Heading3Char">
    <w:name w:val="Heading 3 Char"/>
    <w:basedOn w:val="DefaultParagraphFont"/>
    <w:link w:val="Heading3"/>
    <w:uiPriority w:val="9"/>
    <w:rsid w:val="00916276"/>
    <w:rPr>
      <w:rFonts w:ascii="Times New Roman" w:eastAsiaTheme="majorEastAsia" w:hAnsi="Times New Roman" w:cstheme="majorBidi"/>
      <w:color w:val="1F4D78" w:themeColor="accent1" w:themeShade="7F"/>
      <w:sz w:val="24"/>
      <w:szCs w:val="24"/>
      <w:lang w:val="sq-AL"/>
    </w:rPr>
  </w:style>
  <w:style w:type="paragraph" w:styleId="ListParagraph">
    <w:name w:val="List Paragraph"/>
    <w:basedOn w:val="Normal"/>
    <w:uiPriority w:val="34"/>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character" w:styleId="CommentReference">
    <w:name w:val="annotation reference"/>
    <w:basedOn w:val="DefaultParagraphFont"/>
    <w:uiPriority w:val="99"/>
    <w:semiHidden/>
    <w:unhideWhenUsed/>
    <w:rsid w:val="005C65EC"/>
    <w:rPr>
      <w:sz w:val="16"/>
      <w:szCs w:val="16"/>
    </w:rPr>
  </w:style>
  <w:style w:type="paragraph" w:styleId="CommentText">
    <w:name w:val="annotation text"/>
    <w:basedOn w:val="Normal"/>
    <w:link w:val="CommentTextChar"/>
    <w:uiPriority w:val="99"/>
    <w:unhideWhenUsed/>
    <w:rsid w:val="005C65EC"/>
    <w:pPr>
      <w:spacing w:line="240" w:lineRule="auto"/>
    </w:pPr>
    <w:rPr>
      <w:sz w:val="20"/>
      <w:szCs w:val="20"/>
    </w:rPr>
  </w:style>
  <w:style w:type="character" w:customStyle="1" w:styleId="CommentTextChar">
    <w:name w:val="Comment Text Char"/>
    <w:basedOn w:val="DefaultParagraphFont"/>
    <w:link w:val="CommentText"/>
    <w:uiPriority w:val="99"/>
    <w:rsid w:val="005C65EC"/>
    <w:rPr>
      <w:sz w:val="20"/>
      <w:szCs w:val="20"/>
    </w:rPr>
  </w:style>
  <w:style w:type="character" w:customStyle="1" w:styleId="Heading4Char">
    <w:name w:val="Heading 4 Char"/>
    <w:basedOn w:val="DefaultParagraphFont"/>
    <w:link w:val="Heading4"/>
    <w:uiPriority w:val="9"/>
    <w:rsid w:val="008D0571"/>
    <w:rPr>
      <w:rFonts w:asciiTheme="majorHAnsi" w:eastAsiaTheme="majorEastAsia" w:hAnsiTheme="majorHAnsi" w:cstheme="majorBidi"/>
      <w:i/>
      <w:iCs/>
      <w:color w:val="2E74B5" w:themeColor="accent1" w:themeShade="BF"/>
      <w:lang w:val="sq-AL"/>
    </w:rPr>
  </w:style>
  <w:style w:type="paragraph" w:styleId="CommentSubject">
    <w:name w:val="annotation subject"/>
    <w:basedOn w:val="CommentText"/>
    <w:next w:val="CommentText"/>
    <w:link w:val="CommentSubjectChar"/>
    <w:uiPriority w:val="99"/>
    <w:semiHidden/>
    <w:unhideWhenUsed/>
    <w:rsid w:val="00622A7F"/>
    <w:rPr>
      <w:b/>
      <w:bCs/>
    </w:rPr>
  </w:style>
  <w:style w:type="character" w:customStyle="1" w:styleId="CommentSubjectChar">
    <w:name w:val="Comment Subject Char"/>
    <w:basedOn w:val="CommentTextChar"/>
    <w:link w:val="CommentSubject"/>
    <w:uiPriority w:val="99"/>
    <w:semiHidden/>
    <w:rsid w:val="00622A7F"/>
    <w:rPr>
      <w:b/>
      <w:bCs/>
      <w:sz w:val="20"/>
      <w:szCs w:val="20"/>
      <w:lang w:val="sq-AL"/>
    </w:rPr>
  </w:style>
  <w:style w:type="paragraph" w:styleId="Revision">
    <w:name w:val="Revision"/>
    <w:hidden/>
    <w:uiPriority w:val="99"/>
    <w:semiHidden/>
    <w:rsid w:val="00622A7F"/>
    <w:pPr>
      <w:spacing w:after="0" w:line="240" w:lineRule="auto"/>
    </w:pPr>
    <w:rPr>
      <w:lang w:val="sq-AL"/>
    </w:rPr>
  </w:style>
  <w:style w:type="paragraph" w:customStyle="1" w:styleId="Default">
    <w:name w:val="Default"/>
    <w:rsid w:val="00BB7593"/>
    <w:pPr>
      <w:autoSpaceDE w:val="0"/>
      <w:autoSpaceDN w:val="0"/>
      <w:adjustRightInd w:val="0"/>
      <w:spacing w:after="0" w:line="240" w:lineRule="auto"/>
    </w:pPr>
    <w:rPr>
      <w:rFonts w:ascii="Book Antiqua" w:hAnsi="Book Antiqua" w:cs="Book Antiqua"/>
      <w:color w:val="000000"/>
      <w:sz w:val="24"/>
      <w:szCs w:val="24"/>
    </w:rPr>
  </w:style>
  <w:style w:type="paragraph" w:styleId="NormalWeb">
    <w:name w:val="Normal (Web)"/>
    <w:basedOn w:val="Normal"/>
    <w:uiPriority w:val="99"/>
    <w:unhideWhenUsed/>
    <w:rsid w:val="0012503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30194A"/>
    <w:pPr>
      <w:spacing w:after="0" w:line="240" w:lineRule="auto"/>
    </w:pPr>
    <w:rPr>
      <w:rFonts w:ascii="Calibri" w:eastAsia="Calibri" w:hAnsi="Calibri" w:cs="Times New Roman"/>
      <w:lang w:val="sq-AL"/>
    </w:rPr>
  </w:style>
  <w:style w:type="paragraph" w:customStyle="1" w:styleId="CharCharChar">
    <w:name w:val="Char Char Char"/>
    <w:basedOn w:val="Normal"/>
    <w:rsid w:val="0030194A"/>
    <w:pPr>
      <w:spacing w:line="240" w:lineRule="exact"/>
    </w:pPr>
    <w:rPr>
      <w:rFonts w:ascii="Tahoma" w:eastAsia="Times New Roman" w:hAnsi="Tahoma" w:cs="Times New Roman"/>
      <w:noProof/>
      <w:sz w:val="20"/>
      <w:szCs w:val="20"/>
    </w:rPr>
  </w:style>
  <w:style w:type="character" w:styleId="Strong">
    <w:name w:val="Strong"/>
    <w:uiPriority w:val="22"/>
    <w:qFormat/>
    <w:rsid w:val="001622C0"/>
    <w:rPr>
      <w:b/>
      <w:bCs/>
    </w:rPr>
  </w:style>
  <w:style w:type="table" w:customStyle="1" w:styleId="TableGrid2">
    <w:name w:val="Table Grid2"/>
    <w:basedOn w:val="TableNormal"/>
    <w:next w:val="TableGrid"/>
    <w:uiPriority w:val="39"/>
    <w:rsid w:val="00E4322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A31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3160"/>
    <w:rPr>
      <w:sz w:val="20"/>
      <w:szCs w:val="20"/>
      <w:lang w:val="sq-AL"/>
    </w:rPr>
  </w:style>
  <w:style w:type="character" w:styleId="EndnoteReference">
    <w:name w:val="endnote reference"/>
    <w:basedOn w:val="DefaultParagraphFont"/>
    <w:uiPriority w:val="99"/>
    <w:semiHidden/>
    <w:unhideWhenUsed/>
    <w:rsid w:val="008A3160"/>
    <w:rPr>
      <w:vertAlign w:val="superscript"/>
    </w:rPr>
  </w:style>
  <w:style w:type="paragraph" w:styleId="BodyText">
    <w:name w:val="Body Text"/>
    <w:basedOn w:val="Normal"/>
    <w:link w:val="BodyTextChar"/>
    <w:uiPriority w:val="99"/>
    <w:unhideWhenUsed/>
    <w:rsid w:val="005C599F"/>
    <w:pPr>
      <w:spacing w:after="0" w:line="240" w:lineRule="auto"/>
    </w:pPr>
    <w:rPr>
      <w:rFonts w:ascii="Times New Roman" w:hAnsi="Times New Roman" w:cs="Times New Roman"/>
      <w:i/>
      <w:sz w:val="24"/>
      <w:szCs w:val="24"/>
    </w:rPr>
  </w:style>
  <w:style w:type="character" w:customStyle="1" w:styleId="BodyTextChar">
    <w:name w:val="Body Text Char"/>
    <w:basedOn w:val="DefaultParagraphFont"/>
    <w:link w:val="BodyText"/>
    <w:uiPriority w:val="99"/>
    <w:rsid w:val="005C599F"/>
    <w:rPr>
      <w:rFonts w:ascii="Times New Roman" w:hAnsi="Times New Roman" w:cs="Times New Roman"/>
      <w:i/>
      <w:sz w:val="24"/>
      <w:szCs w:val="24"/>
      <w:lang w:val="sq-AL"/>
    </w:rPr>
  </w:style>
  <w:style w:type="paragraph" w:styleId="BodyText2">
    <w:name w:val="Body Text 2"/>
    <w:basedOn w:val="Normal"/>
    <w:link w:val="BodyText2Char"/>
    <w:uiPriority w:val="99"/>
    <w:unhideWhenUsed/>
    <w:rsid w:val="00CB7EB9"/>
    <w:pPr>
      <w:spacing w:line="360" w:lineRule="auto"/>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CB7EB9"/>
    <w:rPr>
      <w:rFonts w:ascii="Times New Roman" w:hAnsi="Times New Roman" w:cs="Times New Roman"/>
      <w:sz w:val="24"/>
      <w:szCs w:val="24"/>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paragraph" w:styleId="Heading1">
    <w:name w:val="heading 1"/>
    <w:basedOn w:val="Normal"/>
    <w:next w:val="Normal"/>
    <w:link w:val="Heading1Char"/>
    <w:uiPriority w:val="9"/>
    <w:qFormat/>
    <w:rsid w:val="00A61B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37DF"/>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916276"/>
    <w:pPr>
      <w:keepNext/>
      <w:keepLines/>
      <w:spacing w:before="40" w:after="0"/>
      <w:outlineLvl w:val="2"/>
    </w:pPr>
    <w:rPr>
      <w:rFonts w:ascii="Times New Roman" w:eastAsiaTheme="majorEastAsia" w:hAnsi="Times New Roman"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D05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3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61B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A61B6E"/>
    <w:pPr>
      <w:spacing w:after="100"/>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uiPriority w:val="9"/>
    <w:rsid w:val="008437DF"/>
    <w:rPr>
      <w:rFonts w:ascii="Times New Roman" w:eastAsiaTheme="majorEastAsia" w:hAnsi="Times New Roman" w:cstheme="majorBidi"/>
      <w:b/>
      <w:sz w:val="24"/>
      <w:szCs w:val="26"/>
      <w:lang w:val="sq-AL"/>
    </w:rPr>
  </w:style>
  <w:style w:type="paragraph" w:styleId="TOC2">
    <w:name w:val="toc 2"/>
    <w:basedOn w:val="Normal"/>
    <w:next w:val="Normal"/>
    <w:autoRedefine/>
    <w:uiPriority w:val="39"/>
    <w:unhideWhenUsed/>
    <w:rsid w:val="00580983"/>
    <w:pPr>
      <w:spacing w:after="100"/>
      <w:ind w:left="220"/>
    </w:pPr>
  </w:style>
  <w:style w:type="paragraph" w:styleId="FootnoteText">
    <w:name w:val="footnote text"/>
    <w:basedOn w:val="Normal"/>
    <w:link w:val="FootnoteTextChar"/>
    <w:uiPriority w:val="99"/>
    <w:unhideWhenUsed/>
    <w:rsid w:val="00942D7C"/>
    <w:pPr>
      <w:spacing w:after="0" w:line="240" w:lineRule="auto"/>
    </w:pPr>
    <w:rPr>
      <w:sz w:val="20"/>
      <w:szCs w:val="20"/>
    </w:rPr>
  </w:style>
  <w:style w:type="character" w:customStyle="1" w:styleId="FootnoteTextChar">
    <w:name w:val="Footnote Text Char"/>
    <w:basedOn w:val="DefaultParagraphFont"/>
    <w:link w:val="FootnoteText"/>
    <w:uiPriority w:val="99"/>
    <w:rsid w:val="00942D7C"/>
    <w:rPr>
      <w:sz w:val="20"/>
      <w:szCs w:val="20"/>
    </w:rPr>
  </w:style>
  <w:style w:type="character" w:styleId="FootnoteReference">
    <w:name w:val="footnote reference"/>
    <w:basedOn w:val="DefaultParagraphFont"/>
    <w:uiPriority w:val="99"/>
    <w:unhideWhenUsed/>
    <w:rsid w:val="00942D7C"/>
    <w:rPr>
      <w:vertAlign w:val="superscript"/>
    </w:rPr>
  </w:style>
  <w:style w:type="character" w:customStyle="1" w:styleId="Heading3Char">
    <w:name w:val="Heading 3 Char"/>
    <w:basedOn w:val="DefaultParagraphFont"/>
    <w:link w:val="Heading3"/>
    <w:uiPriority w:val="9"/>
    <w:rsid w:val="00916276"/>
    <w:rPr>
      <w:rFonts w:ascii="Times New Roman" w:eastAsiaTheme="majorEastAsia" w:hAnsi="Times New Roman" w:cstheme="majorBidi"/>
      <w:color w:val="1F4D78" w:themeColor="accent1" w:themeShade="7F"/>
      <w:sz w:val="24"/>
      <w:szCs w:val="24"/>
      <w:lang w:val="sq-AL"/>
    </w:rPr>
  </w:style>
  <w:style w:type="paragraph" w:styleId="ListParagraph">
    <w:name w:val="List Paragraph"/>
    <w:basedOn w:val="Normal"/>
    <w:uiPriority w:val="34"/>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character" w:styleId="CommentReference">
    <w:name w:val="annotation reference"/>
    <w:basedOn w:val="DefaultParagraphFont"/>
    <w:uiPriority w:val="99"/>
    <w:semiHidden/>
    <w:unhideWhenUsed/>
    <w:rsid w:val="005C65EC"/>
    <w:rPr>
      <w:sz w:val="16"/>
      <w:szCs w:val="16"/>
    </w:rPr>
  </w:style>
  <w:style w:type="paragraph" w:styleId="CommentText">
    <w:name w:val="annotation text"/>
    <w:basedOn w:val="Normal"/>
    <w:link w:val="CommentTextChar"/>
    <w:uiPriority w:val="99"/>
    <w:unhideWhenUsed/>
    <w:rsid w:val="005C65EC"/>
    <w:pPr>
      <w:spacing w:line="240" w:lineRule="auto"/>
    </w:pPr>
    <w:rPr>
      <w:sz w:val="20"/>
      <w:szCs w:val="20"/>
    </w:rPr>
  </w:style>
  <w:style w:type="character" w:customStyle="1" w:styleId="CommentTextChar">
    <w:name w:val="Comment Text Char"/>
    <w:basedOn w:val="DefaultParagraphFont"/>
    <w:link w:val="CommentText"/>
    <w:uiPriority w:val="99"/>
    <w:rsid w:val="005C65EC"/>
    <w:rPr>
      <w:sz w:val="20"/>
      <w:szCs w:val="20"/>
    </w:rPr>
  </w:style>
  <w:style w:type="character" w:customStyle="1" w:styleId="Heading4Char">
    <w:name w:val="Heading 4 Char"/>
    <w:basedOn w:val="DefaultParagraphFont"/>
    <w:link w:val="Heading4"/>
    <w:uiPriority w:val="9"/>
    <w:rsid w:val="008D0571"/>
    <w:rPr>
      <w:rFonts w:asciiTheme="majorHAnsi" w:eastAsiaTheme="majorEastAsia" w:hAnsiTheme="majorHAnsi" w:cstheme="majorBidi"/>
      <w:i/>
      <w:iCs/>
      <w:color w:val="2E74B5" w:themeColor="accent1" w:themeShade="BF"/>
      <w:lang w:val="sq-AL"/>
    </w:rPr>
  </w:style>
  <w:style w:type="paragraph" w:styleId="CommentSubject">
    <w:name w:val="annotation subject"/>
    <w:basedOn w:val="CommentText"/>
    <w:next w:val="CommentText"/>
    <w:link w:val="CommentSubjectChar"/>
    <w:uiPriority w:val="99"/>
    <w:semiHidden/>
    <w:unhideWhenUsed/>
    <w:rsid w:val="00622A7F"/>
    <w:rPr>
      <w:b/>
      <w:bCs/>
    </w:rPr>
  </w:style>
  <w:style w:type="character" w:customStyle="1" w:styleId="CommentSubjectChar">
    <w:name w:val="Comment Subject Char"/>
    <w:basedOn w:val="CommentTextChar"/>
    <w:link w:val="CommentSubject"/>
    <w:uiPriority w:val="99"/>
    <w:semiHidden/>
    <w:rsid w:val="00622A7F"/>
    <w:rPr>
      <w:b/>
      <w:bCs/>
      <w:sz w:val="20"/>
      <w:szCs w:val="20"/>
      <w:lang w:val="sq-AL"/>
    </w:rPr>
  </w:style>
  <w:style w:type="paragraph" w:styleId="Revision">
    <w:name w:val="Revision"/>
    <w:hidden/>
    <w:uiPriority w:val="99"/>
    <w:semiHidden/>
    <w:rsid w:val="00622A7F"/>
    <w:pPr>
      <w:spacing w:after="0" w:line="240" w:lineRule="auto"/>
    </w:pPr>
    <w:rPr>
      <w:lang w:val="sq-AL"/>
    </w:rPr>
  </w:style>
  <w:style w:type="paragraph" w:customStyle="1" w:styleId="Default">
    <w:name w:val="Default"/>
    <w:rsid w:val="00BB7593"/>
    <w:pPr>
      <w:autoSpaceDE w:val="0"/>
      <w:autoSpaceDN w:val="0"/>
      <w:adjustRightInd w:val="0"/>
      <w:spacing w:after="0" w:line="240" w:lineRule="auto"/>
    </w:pPr>
    <w:rPr>
      <w:rFonts w:ascii="Book Antiqua" w:hAnsi="Book Antiqua" w:cs="Book Antiqua"/>
      <w:color w:val="000000"/>
      <w:sz w:val="24"/>
      <w:szCs w:val="24"/>
    </w:rPr>
  </w:style>
  <w:style w:type="paragraph" w:styleId="NormalWeb">
    <w:name w:val="Normal (Web)"/>
    <w:basedOn w:val="Normal"/>
    <w:uiPriority w:val="99"/>
    <w:unhideWhenUsed/>
    <w:rsid w:val="0012503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30194A"/>
    <w:pPr>
      <w:spacing w:after="0" w:line="240" w:lineRule="auto"/>
    </w:pPr>
    <w:rPr>
      <w:rFonts w:ascii="Calibri" w:eastAsia="Calibri" w:hAnsi="Calibri" w:cs="Times New Roman"/>
      <w:lang w:val="sq-AL"/>
    </w:rPr>
  </w:style>
  <w:style w:type="paragraph" w:customStyle="1" w:styleId="CharCharChar">
    <w:name w:val="Char Char Char"/>
    <w:basedOn w:val="Normal"/>
    <w:rsid w:val="0030194A"/>
    <w:pPr>
      <w:spacing w:line="240" w:lineRule="exact"/>
    </w:pPr>
    <w:rPr>
      <w:rFonts w:ascii="Tahoma" w:eastAsia="Times New Roman" w:hAnsi="Tahoma" w:cs="Times New Roman"/>
      <w:noProof/>
      <w:sz w:val="20"/>
      <w:szCs w:val="20"/>
    </w:rPr>
  </w:style>
  <w:style w:type="character" w:styleId="Strong">
    <w:name w:val="Strong"/>
    <w:uiPriority w:val="22"/>
    <w:qFormat/>
    <w:rsid w:val="001622C0"/>
    <w:rPr>
      <w:b/>
      <w:bCs/>
    </w:rPr>
  </w:style>
  <w:style w:type="table" w:customStyle="1" w:styleId="TableGrid2">
    <w:name w:val="Table Grid2"/>
    <w:basedOn w:val="TableNormal"/>
    <w:next w:val="TableGrid"/>
    <w:uiPriority w:val="39"/>
    <w:rsid w:val="00E4322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A31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3160"/>
    <w:rPr>
      <w:sz w:val="20"/>
      <w:szCs w:val="20"/>
      <w:lang w:val="sq-AL"/>
    </w:rPr>
  </w:style>
  <w:style w:type="character" w:styleId="EndnoteReference">
    <w:name w:val="endnote reference"/>
    <w:basedOn w:val="DefaultParagraphFont"/>
    <w:uiPriority w:val="99"/>
    <w:semiHidden/>
    <w:unhideWhenUsed/>
    <w:rsid w:val="008A3160"/>
    <w:rPr>
      <w:vertAlign w:val="superscript"/>
    </w:rPr>
  </w:style>
  <w:style w:type="paragraph" w:styleId="BodyText">
    <w:name w:val="Body Text"/>
    <w:basedOn w:val="Normal"/>
    <w:link w:val="BodyTextChar"/>
    <w:uiPriority w:val="99"/>
    <w:unhideWhenUsed/>
    <w:rsid w:val="005C599F"/>
    <w:pPr>
      <w:spacing w:after="0" w:line="240" w:lineRule="auto"/>
    </w:pPr>
    <w:rPr>
      <w:rFonts w:ascii="Times New Roman" w:hAnsi="Times New Roman" w:cs="Times New Roman"/>
      <w:i/>
      <w:sz w:val="24"/>
      <w:szCs w:val="24"/>
    </w:rPr>
  </w:style>
  <w:style w:type="character" w:customStyle="1" w:styleId="BodyTextChar">
    <w:name w:val="Body Text Char"/>
    <w:basedOn w:val="DefaultParagraphFont"/>
    <w:link w:val="BodyText"/>
    <w:uiPriority w:val="99"/>
    <w:rsid w:val="005C599F"/>
    <w:rPr>
      <w:rFonts w:ascii="Times New Roman" w:hAnsi="Times New Roman" w:cs="Times New Roman"/>
      <w:i/>
      <w:sz w:val="24"/>
      <w:szCs w:val="24"/>
      <w:lang w:val="sq-AL"/>
    </w:rPr>
  </w:style>
  <w:style w:type="paragraph" w:styleId="BodyText2">
    <w:name w:val="Body Text 2"/>
    <w:basedOn w:val="Normal"/>
    <w:link w:val="BodyText2Char"/>
    <w:uiPriority w:val="99"/>
    <w:unhideWhenUsed/>
    <w:rsid w:val="00CB7EB9"/>
    <w:pPr>
      <w:spacing w:line="360" w:lineRule="auto"/>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CB7EB9"/>
    <w:rPr>
      <w:rFonts w:ascii="Times New Roman"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3102">
      <w:bodyDiv w:val="1"/>
      <w:marLeft w:val="0"/>
      <w:marRight w:val="0"/>
      <w:marTop w:val="0"/>
      <w:marBottom w:val="0"/>
      <w:divBdr>
        <w:top w:val="none" w:sz="0" w:space="0" w:color="auto"/>
        <w:left w:val="none" w:sz="0" w:space="0" w:color="auto"/>
        <w:bottom w:val="none" w:sz="0" w:space="0" w:color="auto"/>
        <w:right w:val="none" w:sz="0" w:space="0" w:color="auto"/>
      </w:divBdr>
    </w:div>
    <w:div w:id="311519465">
      <w:bodyDiv w:val="1"/>
      <w:marLeft w:val="0"/>
      <w:marRight w:val="0"/>
      <w:marTop w:val="0"/>
      <w:marBottom w:val="0"/>
      <w:divBdr>
        <w:top w:val="none" w:sz="0" w:space="0" w:color="auto"/>
        <w:left w:val="none" w:sz="0" w:space="0" w:color="auto"/>
        <w:bottom w:val="none" w:sz="0" w:space="0" w:color="auto"/>
        <w:right w:val="none" w:sz="0" w:space="0" w:color="auto"/>
      </w:divBdr>
    </w:div>
    <w:div w:id="441994213">
      <w:bodyDiv w:val="1"/>
      <w:marLeft w:val="0"/>
      <w:marRight w:val="0"/>
      <w:marTop w:val="0"/>
      <w:marBottom w:val="0"/>
      <w:divBdr>
        <w:top w:val="none" w:sz="0" w:space="0" w:color="auto"/>
        <w:left w:val="none" w:sz="0" w:space="0" w:color="auto"/>
        <w:bottom w:val="none" w:sz="0" w:space="0" w:color="auto"/>
        <w:right w:val="none" w:sz="0" w:space="0" w:color="auto"/>
      </w:divBdr>
    </w:div>
    <w:div w:id="443231113">
      <w:bodyDiv w:val="1"/>
      <w:marLeft w:val="0"/>
      <w:marRight w:val="0"/>
      <w:marTop w:val="0"/>
      <w:marBottom w:val="0"/>
      <w:divBdr>
        <w:top w:val="none" w:sz="0" w:space="0" w:color="auto"/>
        <w:left w:val="none" w:sz="0" w:space="0" w:color="auto"/>
        <w:bottom w:val="none" w:sz="0" w:space="0" w:color="auto"/>
        <w:right w:val="none" w:sz="0" w:space="0" w:color="auto"/>
      </w:divBdr>
      <w:divsChild>
        <w:div w:id="970940370">
          <w:marLeft w:val="0"/>
          <w:marRight w:val="0"/>
          <w:marTop w:val="0"/>
          <w:marBottom w:val="0"/>
          <w:divBdr>
            <w:top w:val="none" w:sz="0" w:space="0" w:color="auto"/>
            <w:left w:val="none" w:sz="0" w:space="0" w:color="auto"/>
            <w:bottom w:val="none" w:sz="0" w:space="0" w:color="auto"/>
            <w:right w:val="none" w:sz="0" w:space="0" w:color="auto"/>
          </w:divBdr>
          <w:divsChild>
            <w:div w:id="538470710">
              <w:marLeft w:val="0"/>
              <w:marRight w:val="0"/>
              <w:marTop w:val="0"/>
              <w:marBottom w:val="0"/>
              <w:divBdr>
                <w:top w:val="none" w:sz="0" w:space="0" w:color="auto"/>
                <w:left w:val="none" w:sz="0" w:space="0" w:color="auto"/>
                <w:bottom w:val="none" w:sz="0" w:space="0" w:color="auto"/>
                <w:right w:val="none" w:sz="0" w:space="0" w:color="auto"/>
              </w:divBdr>
              <w:divsChild>
                <w:div w:id="1806502944">
                  <w:marLeft w:val="0"/>
                  <w:marRight w:val="0"/>
                  <w:marTop w:val="0"/>
                  <w:marBottom w:val="0"/>
                  <w:divBdr>
                    <w:top w:val="none" w:sz="0" w:space="0" w:color="auto"/>
                    <w:left w:val="none" w:sz="0" w:space="0" w:color="auto"/>
                    <w:bottom w:val="none" w:sz="0" w:space="0" w:color="auto"/>
                    <w:right w:val="none" w:sz="0" w:space="0" w:color="auto"/>
                  </w:divBdr>
                </w:div>
              </w:divsChild>
            </w:div>
            <w:div w:id="1141965083">
              <w:marLeft w:val="0"/>
              <w:marRight w:val="0"/>
              <w:marTop w:val="0"/>
              <w:marBottom w:val="0"/>
              <w:divBdr>
                <w:top w:val="none" w:sz="0" w:space="0" w:color="auto"/>
                <w:left w:val="none" w:sz="0" w:space="0" w:color="auto"/>
                <w:bottom w:val="none" w:sz="0" w:space="0" w:color="auto"/>
                <w:right w:val="none" w:sz="0" w:space="0" w:color="auto"/>
              </w:divBdr>
              <w:divsChild>
                <w:div w:id="13965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844162">
      <w:bodyDiv w:val="1"/>
      <w:marLeft w:val="0"/>
      <w:marRight w:val="0"/>
      <w:marTop w:val="0"/>
      <w:marBottom w:val="0"/>
      <w:divBdr>
        <w:top w:val="none" w:sz="0" w:space="0" w:color="auto"/>
        <w:left w:val="none" w:sz="0" w:space="0" w:color="auto"/>
        <w:bottom w:val="none" w:sz="0" w:space="0" w:color="auto"/>
        <w:right w:val="none" w:sz="0" w:space="0" w:color="auto"/>
      </w:divBdr>
      <w:divsChild>
        <w:div w:id="1405225054">
          <w:marLeft w:val="0"/>
          <w:marRight w:val="0"/>
          <w:marTop w:val="0"/>
          <w:marBottom w:val="0"/>
          <w:divBdr>
            <w:top w:val="none" w:sz="0" w:space="0" w:color="auto"/>
            <w:left w:val="none" w:sz="0" w:space="0" w:color="auto"/>
            <w:bottom w:val="none" w:sz="0" w:space="0" w:color="auto"/>
            <w:right w:val="none" w:sz="0" w:space="0" w:color="auto"/>
          </w:divBdr>
          <w:divsChild>
            <w:div w:id="2060543355">
              <w:marLeft w:val="0"/>
              <w:marRight w:val="0"/>
              <w:marTop w:val="0"/>
              <w:marBottom w:val="0"/>
              <w:divBdr>
                <w:top w:val="none" w:sz="0" w:space="0" w:color="auto"/>
                <w:left w:val="none" w:sz="0" w:space="0" w:color="auto"/>
                <w:bottom w:val="none" w:sz="0" w:space="0" w:color="auto"/>
                <w:right w:val="none" w:sz="0" w:space="0" w:color="auto"/>
              </w:divBdr>
              <w:divsChild>
                <w:div w:id="20764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6500">
      <w:bodyDiv w:val="1"/>
      <w:marLeft w:val="0"/>
      <w:marRight w:val="0"/>
      <w:marTop w:val="0"/>
      <w:marBottom w:val="0"/>
      <w:divBdr>
        <w:top w:val="none" w:sz="0" w:space="0" w:color="auto"/>
        <w:left w:val="none" w:sz="0" w:space="0" w:color="auto"/>
        <w:bottom w:val="none" w:sz="0" w:space="0" w:color="auto"/>
        <w:right w:val="none" w:sz="0" w:space="0" w:color="auto"/>
      </w:divBdr>
      <w:divsChild>
        <w:div w:id="527259224">
          <w:marLeft w:val="0"/>
          <w:marRight w:val="0"/>
          <w:marTop w:val="0"/>
          <w:marBottom w:val="0"/>
          <w:divBdr>
            <w:top w:val="none" w:sz="0" w:space="0" w:color="auto"/>
            <w:left w:val="none" w:sz="0" w:space="0" w:color="auto"/>
            <w:bottom w:val="none" w:sz="0" w:space="0" w:color="auto"/>
            <w:right w:val="none" w:sz="0" w:space="0" w:color="auto"/>
          </w:divBdr>
          <w:divsChild>
            <w:div w:id="1559197225">
              <w:marLeft w:val="0"/>
              <w:marRight w:val="0"/>
              <w:marTop w:val="0"/>
              <w:marBottom w:val="0"/>
              <w:divBdr>
                <w:top w:val="none" w:sz="0" w:space="0" w:color="auto"/>
                <w:left w:val="none" w:sz="0" w:space="0" w:color="auto"/>
                <w:bottom w:val="none" w:sz="0" w:space="0" w:color="auto"/>
                <w:right w:val="none" w:sz="0" w:space="0" w:color="auto"/>
              </w:divBdr>
              <w:divsChild>
                <w:div w:id="136154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9887">
      <w:bodyDiv w:val="1"/>
      <w:marLeft w:val="0"/>
      <w:marRight w:val="0"/>
      <w:marTop w:val="0"/>
      <w:marBottom w:val="0"/>
      <w:divBdr>
        <w:top w:val="none" w:sz="0" w:space="0" w:color="auto"/>
        <w:left w:val="none" w:sz="0" w:space="0" w:color="auto"/>
        <w:bottom w:val="none" w:sz="0" w:space="0" w:color="auto"/>
        <w:right w:val="none" w:sz="0" w:space="0" w:color="auto"/>
      </w:divBdr>
      <w:divsChild>
        <w:div w:id="1482960677">
          <w:marLeft w:val="0"/>
          <w:marRight w:val="0"/>
          <w:marTop w:val="0"/>
          <w:marBottom w:val="0"/>
          <w:divBdr>
            <w:top w:val="none" w:sz="0" w:space="0" w:color="auto"/>
            <w:left w:val="none" w:sz="0" w:space="0" w:color="auto"/>
            <w:bottom w:val="none" w:sz="0" w:space="0" w:color="auto"/>
            <w:right w:val="none" w:sz="0" w:space="0" w:color="auto"/>
          </w:divBdr>
          <w:divsChild>
            <w:div w:id="1844736454">
              <w:marLeft w:val="0"/>
              <w:marRight w:val="0"/>
              <w:marTop w:val="0"/>
              <w:marBottom w:val="0"/>
              <w:divBdr>
                <w:top w:val="none" w:sz="0" w:space="0" w:color="auto"/>
                <w:left w:val="none" w:sz="0" w:space="0" w:color="auto"/>
                <w:bottom w:val="none" w:sz="0" w:space="0" w:color="auto"/>
                <w:right w:val="none" w:sz="0" w:space="0" w:color="auto"/>
              </w:divBdr>
              <w:divsChild>
                <w:div w:id="19027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8938">
      <w:bodyDiv w:val="1"/>
      <w:marLeft w:val="0"/>
      <w:marRight w:val="0"/>
      <w:marTop w:val="0"/>
      <w:marBottom w:val="0"/>
      <w:divBdr>
        <w:top w:val="none" w:sz="0" w:space="0" w:color="auto"/>
        <w:left w:val="none" w:sz="0" w:space="0" w:color="auto"/>
        <w:bottom w:val="none" w:sz="0" w:space="0" w:color="auto"/>
        <w:right w:val="none" w:sz="0" w:space="0" w:color="auto"/>
      </w:divBdr>
    </w:div>
    <w:div w:id="802314737">
      <w:bodyDiv w:val="1"/>
      <w:marLeft w:val="0"/>
      <w:marRight w:val="0"/>
      <w:marTop w:val="0"/>
      <w:marBottom w:val="0"/>
      <w:divBdr>
        <w:top w:val="none" w:sz="0" w:space="0" w:color="auto"/>
        <w:left w:val="none" w:sz="0" w:space="0" w:color="auto"/>
        <w:bottom w:val="none" w:sz="0" w:space="0" w:color="auto"/>
        <w:right w:val="none" w:sz="0" w:space="0" w:color="auto"/>
      </w:divBdr>
      <w:divsChild>
        <w:div w:id="503478699">
          <w:marLeft w:val="0"/>
          <w:marRight w:val="0"/>
          <w:marTop w:val="0"/>
          <w:marBottom w:val="0"/>
          <w:divBdr>
            <w:top w:val="none" w:sz="0" w:space="0" w:color="auto"/>
            <w:left w:val="none" w:sz="0" w:space="0" w:color="auto"/>
            <w:bottom w:val="none" w:sz="0" w:space="0" w:color="auto"/>
            <w:right w:val="none" w:sz="0" w:space="0" w:color="auto"/>
          </w:divBdr>
          <w:divsChild>
            <w:div w:id="266816960">
              <w:marLeft w:val="0"/>
              <w:marRight w:val="0"/>
              <w:marTop w:val="0"/>
              <w:marBottom w:val="0"/>
              <w:divBdr>
                <w:top w:val="none" w:sz="0" w:space="0" w:color="auto"/>
                <w:left w:val="none" w:sz="0" w:space="0" w:color="auto"/>
                <w:bottom w:val="none" w:sz="0" w:space="0" w:color="auto"/>
                <w:right w:val="none" w:sz="0" w:space="0" w:color="auto"/>
              </w:divBdr>
              <w:divsChild>
                <w:div w:id="668481166">
                  <w:marLeft w:val="0"/>
                  <w:marRight w:val="0"/>
                  <w:marTop w:val="0"/>
                  <w:marBottom w:val="0"/>
                  <w:divBdr>
                    <w:top w:val="none" w:sz="0" w:space="0" w:color="auto"/>
                    <w:left w:val="none" w:sz="0" w:space="0" w:color="auto"/>
                    <w:bottom w:val="none" w:sz="0" w:space="0" w:color="auto"/>
                    <w:right w:val="none" w:sz="0" w:space="0" w:color="auto"/>
                  </w:divBdr>
                </w:div>
              </w:divsChild>
            </w:div>
            <w:div w:id="140660427">
              <w:marLeft w:val="0"/>
              <w:marRight w:val="0"/>
              <w:marTop w:val="0"/>
              <w:marBottom w:val="0"/>
              <w:divBdr>
                <w:top w:val="none" w:sz="0" w:space="0" w:color="auto"/>
                <w:left w:val="none" w:sz="0" w:space="0" w:color="auto"/>
                <w:bottom w:val="none" w:sz="0" w:space="0" w:color="auto"/>
                <w:right w:val="none" w:sz="0" w:space="0" w:color="auto"/>
              </w:divBdr>
              <w:divsChild>
                <w:div w:id="14443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92244">
      <w:bodyDiv w:val="1"/>
      <w:marLeft w:val="0"/>
      <w:marRight w:val="0"/>
      <w:marTop w:val="0"/>
      <w:marBottom w:val="0"/>
      <w:divBdr>
        <w:top w:val="none" w:sz="0" w:space="0" w:color="auto"/>
        <w:left w:val="none" w:sz="0" w:space="0" w:color="auto"/>
        <w:bottom w:val="none" w:sz="0" w:space="0" w:color="auto"/>
        <w:right w:val="none" w:sz="0" w:space="0" w:color="auto"/>
      </w:divBdr>
      <w:divsChild>
        <w:div w:id="763116121">
          <w:marLeft w:val="0"/>
          <w:marRight w:val="0"/>
          <w:marTop w:val="225"/>
          <w:marBottom w:val="0"/>
          <w:divBdr>
            <w:top w:val="none" w:sz="0" w:space="0" w:color="auto"/>
            <w:left w:val="none" w:sz="0" w:space="0" w:color="auto"/>
            <w:bottom w:val="none" w:sz="0" w:space="0" w:color="auto"/>
            <w:right w:val="none" w:sz="0" w:space="0" w:color="auto"/>
          </w:divBdr>
          <w:divsChild>
            <w:div w:id="1332097745">
              <w:marLeft w:val="0"/>
              <w:marRight w:val="0"/>
              <w:marTop w:val="0"/>
              <w:marBottom w:val="0"/>
              <w:divBdr>
                <w:top w:val="none" w:sz="0" w:space="0" w:color="auto"/>
                <w:left w:val="none" w:sz="0" w:space="0" w:color="auto"/>
                <w:bottom w:val="none" w:sz="0" w:space="0" w:color="auto"/>
                <w:right w:val="none" w:sz="0" w:space="0" w:color="auto"/>
              </w:divBdr>
            </w:div>
            <w:div w:id="204023312">
              <w:marLeft w:val="0"/>
              <w:marRight w:val="0"/>
              <w:marTop w:val="0"/>
              <w:marBottom w:val="0"/>
              <w:divBdr>
                <w:top w:val="none" w:sz="0" w:space="0" w:color="auto"/>
                <w:left w:val="none" w:sz="0" w:space="0" w:color="auto"/>
                <w:bottom w:val="none" w:sz="0" w:space="0" w:color="auto"/>
                <w:right w:val="none" w:sz="0" w:space="0" w:color="auto"/>
              </w:divBdr>
            </w:div>
            <w:div w:id="1283615853">
              <w:marLeft w:val="0"/>
              <w:marRight w:val="0"/>
              <w:marTop w:val="0"/>
              <w:marBottom w:val="0"/>
              <w:divBdr>
                <w:top w:val="none" w:sz="0" w:space="0" w:color="auto"/>
                <w:left w:val="none" w:sz="0" w:space="0" w:color="auto"/>
                <w:bottom w:val="none" w:sz="0" w:space="0" w:color="auto"/>
                <w:right w:val="none" w:sz="0" w:space="0" w:color="auto"/>
              </w:divBdr>
            </w:div>
          </w:divsChild>
        </w:div>
        <w:div w:id="78871835">
          <w:marLeft w:val="0"/>
          <w:marRight w:val="0"/>
          <w:marTop w:val="150"/>
          <w:marBottom w:val="0"/>
          <w:divBdr>
            <w:top w:val="none" w:sz="0" w:space="0" w:color="auto"/>
            <w:left w:val="none" w:sz="0" w:space="0" w:color="auto"/>
            <w:bottom w:val="none" w:sz="0" w:space="0" w:color="auto"/>
            <w:right w:val="none" w:sz="0" w:space="0" w:color="auto"/>
          </w:divBdr>
        </w:div>
      </w:divsChild>
    </w:div>
    <w:div w:id="846022214">
      <w:bodyDiv w:val="1"/>
      <w:marLeft w:val="0"/>
      <w:marRight w:val="0"/>
      <w:marTop w:val="0"/>
      <w:marBottom w:val="0"/>
      <w:divBdr>
        <w:top w:val="none" w:sz="0" w:space="0" w:color="auto"/>
        <w:left w:val="none" w:sz="0" w:space="0" w:color="auto"/>
        <w:bottom w:val="none" w:sz="0" w:space="0" w:color="auto"/>
        <w:right w:val="none" w:sz="0" w:space="0" w:color="auto"/>
      </w:divBdr>
    </w:div>
    <w:div w:id="974215592">
      <w:bodyDiv w:val="1"/>
      <w:marLeft w:val="0"/>
      <w:marRight w:val="0"/>
      <w:marTop w:val="0"/>
      <w:marBottom w:val="0"/>
      <w:divBdr>
        <w:top w:val="none" w:sz="0" w:space="0" w:color="auto"/>
        <w:left w:val="none" w:sz="0" w:space="0" w:color="auto"/>
        <w:bottom w:val="none" w:sz="0" w:space="0" w:color="auto"/>
        <w:right w:val="none" w:sz="0" w:space="0" w:color="auto"/>
      </w:divBdr>
    </w:div>
    <w:div w:id="1058937421">
      <w:bodyDiv w:val="1"/>
      <w:marLeft w:val="0"/>
      <w:marRight w:val="0"/>
      <w:marTop w:val="0"/>
      <w:marBottom w:val="0"/>
      <w:divBdr>
        <w:top w:val="none" w:sz="0" w:space="0" w:color="auto"/>
        <w:left w:val="none" w:sz="0" w:space="0" w:color="auto"/>
        <w:bottom w:val="none" w:sz="0" w:space="0" w:color="auto"/>
        <w:right w:val="none" w:sz="0" w:space="0" w:color="auto"/>
      </w:divBdr>
      <w:divsChild>
        <w:div w:id="1499925226">
          <w:marLeft w:val="0"/>
          <w:marRight w:val="0"/>
          <w:marTop w:val="0"/>
          <w:marBottom w:val="0"/>
          <w:divBdr>
            <w:top w:val="none" w:sz="0" w:space="0" w:color="auto"/>
            <w:left w:val="none" w:sz="0" w:space="0" w:color="auto"/>
            <w:bottom w:val="none" w:sz="0" w:space="0" w:color="auto"/>
            <w:right w:val="none" w:sz="0" w:space="0" w:color="auto"/>
          </w:divBdr>
          <w:divsChild>
            <w:div w:id="1668513790">
              <w:marLeft w:val="0"/>
              <w:marRight w:val="0"/>
              <w:marTop w:val="0"/>
              <w:marBottom w:val="0"/>
              <w:divBdr>
                <w:top w:val="none" w:sz="0" w:space="0" w:color="auto"/>
                <w:left w:val="none" w:sz="0" w:space="0" w:color="auto"/>
                <w:bottom w:val="none" w:sz="0" w:space="0" w:color="auto"/>
                <w:right w:val="none" w:sz="0" w:space="0" w:color="auto"/>
              </w:divBdr>
              <w:divsChild>
                <w:div w:id="304286223">
                  <w:marLeft w:val="0"/>
                  <w:marRight w:val="0"/>
                  <w:marTop w:val="0"/>
                  <w:marBottom w:val="0"/>
                  <w:divBdr>
                    <w:top w:val="none" w:sz="0" w:space="0" w:color="auto"/>
                    <w:left w:val="none" w:sz="0" w:space="0" w:color="auto"/>
                    <w:bottom w:val="none" w:sz="0" w:space="0" w:color="auto"/>
                    <w:right w:val="none" w:sz="0" w:space="0" w:color="auto"/>
                  </w:divBdr>
                  <w:divsChild>
                    <w:div w:id="7446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2690">
      <w:bodyDiv w:val="1"/>
      <w:marLeft w:val="0"/>
      <w:marRight w:val="0"/>
      <w:marTop w:val="0"/>
      <w:marBottom w:val="0"/>
      <w:divBdr>
        <w:top w:val="none" w:sz="0" w:space="0" w:color="auto"/>
        <w:left w:val="none" w:sz="0" w:space="0" w:color="auto"/>
        <w:bottom w:val="none" w:sz="0" w:space="0" w:color="auto"/>
        <w:right w:val="none" w:sz="0" w:space="0" w:color="auto"/>
      </w:divBdr>
    </w:div>
    <w:div w:id="1185830764">
      <w:bodyDiv w:val="1"/>
      <w:marLeft w:val="0"/>
      <w:marRight w:val="0"/>
      <w:marTop w:val="0"/>
      <w:marBottom w:val="0"/>
      <w:divBdr>
        <w:top w:val="none" w:sz="0" w:space="0" w:color="auto"/>
        <w:left w:val="none" w:sz="0" w:space="0" w:color="auto"/>
        <w:bottom w:val="none" w:sz="0" w:space="0" w:color="auto"/>
        <w:right w:val="none" w:sz="0" w:space="0" w:color="auto"/>
      </w:divBdr>
    </w:div>
    <w:div w:id="1191918926">
      <w:bodyDiv w:val="1"/>
      <w:marLeft w:val="0"/>
      <w:marRight w:val="0"/>
      <w:marTop w:val="0"/>
      <w:marBottom w:val="0"/>
      <w:divBdr>
        <w:top w:val="none" w:sz="0" w:space="0" w:color="auto"/>
        <w:left w:val="none" w:sz="0" w:space="0" w:color="auto"/>
        <w:bottom w:val="none" w:sz="0" w:space="0" w:color="auto"/>
        <w:right w:val="none" w:sz="0" w:space="0" w:color="auto"/>
      </w:divBdr>
      <w:divsChild>
        <w:div w:id="1970746357">
          <w:marLeft w:val="0"/>
          <w:marRight w:val="0"/>
          <w:marTop w:val="0"/>
          <w:marBottom w:val="0"/>
          <w:divBdr>
            <w:top w:val="none" w:sz="0" w:space="0" w:color="auto"/>
            <w:left w:val="none" w:sz="0" w:space="0" w:color="auto"/>
            <w:bottom w:val="none" w:sz="0" w:space="0" w:color="auto"/>
            <w:right w:val="none" w:sz="0" w:space="0" w:color="auto"/>
          </w:divBdr>
          <w:divsChild>
            <w:div w:id="131022951">
              <w:marLeft w:val="0"/>
              <w:marRight w:val="0"/>
              <w:marTop w:val="0"/>
              <w:marBottom w:val="0"/>
              <w:divBdr>
                <w:top w:val="none" w:sz="0" w:space="0" w:color="auto"/>
                <w:left w:val="none" w:sz="0" w:space="0" w:color="auto"/>
                <w:bottom w:val="none" w:sz="0" w:space="0" w:color="auto"/>
                <w:right w:val="none" w:sz="0" w:space="0" w:color="auto"/>
              </w:divBdr>
              <w:divsChild>
                <w:div w:id="191694515">
                  <w:marLeft w:val="0"/>
                  <w:marRight w:val="0"/>
                  <w:marTop w:val="0"/>
                  <w:marBottom w:val="0"/>
                  <w:divBdr>
                    <w:top w:val="none" w:sz="0" w:space="0" w:color="auto"/>
                    <w:left w:val="none" w:sz="0" w:space="0" w:color="auto"/>
                    <w:bottom w:val="none" w:sz="0" w:space="0" w:color="auto"/>
                    <w:right w:val="none" w:sz="0" w:space="0" w:color="auto"/>
                  </w:divBdr>
                </w:div>
              </w:divsChild>
            </w:div>
            <w:div w:id="1472093398">
              <w:marLeft w:val="0"/>
              <w:marRight w:val="0"/>
              <w:marTop w:val="0"/>
              <w:marBottom w:val="0"/>
              <w:divBdr>
                <w:top w:val="none" w:sz="0" w:space="0" w:color="auto"/>
                <w:left w:val="none" w:sz="0" w:space="0" w:color="auto"/>
                <w:bottom w:val="none" w:sz="0" w:space="0" w:color="auto"/>
                <w:right w:val="none" w:sz="0" w:space="0" w:color="auto"/>
              </w:divBdr>
              <w:divsChild>
                <w:div w:id="13142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2414">
      <w:bodyDiv w:val="1"/>
      <w:marLeft w:val="0"/>
      <w:marRight w:val="0"/>
      <w:marTop w:val="0"/>
      <w:marBottom w:val="0"/>
      <w:divBdr>
        <w:top w:val="none" w:sz="0" w:space="0" w:color="auto"/>
        <w:left w:val="none" w:sz="0" w:space="0" w:color="auto"/>
        <w:bottom w:val="none" w:sz="0" w:space="0" w:color="auto"/>
        <w:right w:val="none" w:sz="0" w:space="0" w:color="auto"/>
      </w:divBdr>
    </w:div>
    <w:div w:id="1407799228">
      <w:bodyDiv w:val="1"/>
      <w:marLeft w:val="0"/>
      <w:marRight w:val="0"/>
      <w:marTop w:val="0"/>
      <w:marBottom w:val="0"/>
      <w:divBdr>
        <w:top w:val="none" w:sz="0" w:space="0" w:color="auto"/>
        <w:left w:val="none" w:sz="0" w:space="0" w:color="auto"/>
        <w:bottom w:val="none" w:sz="0" w:space="0" w:color="auto"/>
        <w:right w:val="none" w:sz="0" w:space="0" w:color="auto"/>
      </w:divBdr>
    </w:div>
    <w:div w:id="1493835299">
      <w:bodyDiv w:val="1"/>
      <w:marLeft w:val="0"/>
      <w:marRight w:val="0"/>
      <w:marTop w:val="0"/>
      <w:marBottom w:val="0"/>
      <w:divBdr>
        <w:top w:val="none" w:sz="0" w:space="0" w:color="auto"/>
        <w:left w:val="none" w:sz="0" w:space="0" w:color="auto"/>
        <w:bottom w:val="none" w:sz="0" w:space="0" w:color="auto"/>
        <w:right w:val="none" w:sz="0" w:space="0" w:color="auto"/>
      </w:divBdr>
    </w:div>
    <w:div w:id="1526022859">
      <w:bodyDiv w:val="1"/>
      <w:marLeft w:val="0"/>
      <w:marRight w:val="0"/>
      <w:marTop w:val="0"/>
      <w:marBottom w:val="0"/>
      <w:divBdr>
        <w:top w:val="none" w:sz="0" w:space="0" w:color="auto"/>
        <w:left w:val="none" w:sz="0" w:space="0" w:color="auto"/>
        <w:bottom w:val="none" w:sz="0" w:space="0" w:color="auto"/>
        <w:right w:val="none" w:sz="0" w:space="0" w:color="auto"/>
      </w:divBdr>
    </w:div>
    <w:div w:id="1570727677">
      <w:bodyDiv w:val="1"/>
      <w:marLeft w:val="0"/>
      <w:marRight w:val="0"/>
      <w:marTop w:val="0"/>
      <w:marBottom w:val="0"/>
      <w:divBdr>
        <w:top w:val="none" w:sz="0" w:space="0" w:color="auto"/>
        <w:left w:val="none" w:sz="0" w:space="0" w:color="auto"/>
        <w:bottom w:val="none" w:sz="0" w:space="0" w:color="auto"/>
        <w:right w:val="none" w:sz="0" w:space="0" w:color="auto"/>
      </w:divBdr>
    </w:div>
    <w:div w:id="1585604319">
      <w:bodyDiv w:val="1"/>
      <w:marLeft w:val="0"/>
      <w:marRight w:val="0"/>
      <w:marTop w:val="0"/>
      <w:marBottom w:val="0"/>
      <w:divBdr>
        <w:top w:val="none" w:sz="0" w:space="0" w:color="auto"/>
        <w:left w:val="none" w:sz="0" w:space="0" w:color="auto"/>
        <w:bottom w:val="none" w:sz="0" w:space="0" w:color="auto"/>
        <w:right w:val="none" w:sz="0" w:space="0" w:color="auto"/>
      </w:divBdr>
    </w:div>
    <w:div w:id="1618609402">
      <w:bodyDiv w:val="1"/>
      <w:marLeft w:val="0"/>
      <w:marRight w:val="0"/>
      <w:marTop w:val="0"/>
      <w:marBottom w:val="0"/>
      <w:divBdr>
        <w:top w:val="none" w:sz="0" w:space="0" w:color="auto"/>
        <w:left w:val="none" w:sz="0" w:space="0" w:color="auto"/>
        <w:bottom w:val="none" w:sz="0" w:space="0" w:color="auto"/>
        <w:right w:val="none" w:sz="0" w:space="0" w:color="auto"/>
      </w:divBdr>
      <w:divsChild>
        <w:div w:id="120194231">
          <w:marLeft w:val="0"/>
          <w:marRight w:val="0"/>
          <w:marTop w:val="0"/>
          <w:marBottom w:val="0"/>
          <w:divBdr>
            <w:top w:val="none" w:sz="0" w:space="0" w:color="auto"/>
            <w:left w:val="none" w:sz="0" w:space="0" w:color="auto"/>
            <w:bottom w:val="none" w:sz="0" w:space="0" w:color="auto"/>
            <w:right w:val="none" w:sz="0" w:space="0" w:color="auto"/>
          </w:divBdr>
          <w:divsChild>
            <w:div w:id="1967927850">
              <w:marLeft w:val="0"/>
              <w:marRight w:val="0"/>
              <w:marTop w:val="0"/>
              <w:marBottom w:val="0"/>
              <w:divBdr>
                <w:top w:val="none" w:sz="0" w:space="0" w:color="auto"/>
                <w:left w:val="none" w:sz="0" w:space="0" w:color="auto"/>
                <w:bottom w:val="none" w:sz="0" w:space="0" w:color="auto"/>
                <w:right w:val="none" w:sz="0" w:space="0" w:color="auto"/>
              </w:divBdr>
              <w:divsChild>
                <w:div w:id="5499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537054">
      <w:bodyDiv w:val="1"/>
      <w:marLeft w:val="0"/>
      <w:marRight w:val="0"/>
      <w:marTop w:val="0"/>
      <w:marBottom w:val="0"/>
      <w:divBdr>
        <w:top w:val="none" w:sz="0" w:space="0" w:color="auto"/>
        <w:left w:val="none" w:sz="0" w:space="0" w:color="auto"/>
        <w:bottom w:val="none" w:sz="0" w:space="0" w:color="auto"/>
        <w:right w:val="none" w:sz="0" w:space="0" w:color="auto"/>
      </w:divBdr>
    </w:div>
    <w:div w:id="1759907636">
      <w:bodyDiv w:val="1"/>
      <w:marLeft w:val="0"/>
      <w:marRight w:val="0"/>
      <w:marTop w:val="0"/>
      <w:marBottom w:val="0"/>
      <w:divBdr>
        <w:top w:val="none" w:sz="0" w:space="0" w:color="auto"/>
        <w:left w:val="none" w:sz="0" w:space="0" w:color="auto"/>
        <w:bottom w:val="none" w:sz="0" w:space="0" w:color="auto"/>
        <w:right w:val="none" w:sz="0" w:space="0" w:color="auto"/>
      </w:divBdr>
    </w:div>
    <w:div w:id="1841700616">
      <w:bodyDiv w:val="1"/>
      <w:marLeft w:val="0"/>
      <w:marRight w:val="0"/>
      <w:marTop w:val="0"/>
      <w:marBottom w:val="0"/>
      <w:divBdr>
        <w:top w:val="none" w:sz="0" w:space="0" w:color="auto"/>
        <w:left w:val="none" w:sz="0" w:space="0" w:color="auto"/>
        <w:bottom w:val="none" w:sz="0" w:space="0" w:color="auto"/>
        <w:right w:val="none" w:sz="0" w:space="0" w:color="auto"/>
      </w:divBdr>
    </w:div>
    <w:div w:id="1841702210">
      <w:bodyDiv w:val="1"/>
      <w:marLeft w:val="0"/>
      <w:marRight w:val="0"/>
      <w:marTop w:val="0"/>
      <w:marBottom w:val="0"/>
      <w:divBdr>
        <w:top w:val="none" w:sz="0" w:space="0" w:color="auto"/>
        <w:left w:val="none" w:sz="0" w:space="0" w:color="auto"/>
        <w:bottom w:val="none" w:sz="0" w:space="0" w:color="auto"/>
        <w:right w:val="none" w:sz="0" w:space="0" w:color="auto"/>
      </w:divBdr>
    </w:div>
    <w:div w:id="1864703377">
      <w:bodyDiv w:val="1"/>
      <w:marLeft w:val="0"/>
      <w:marRight w:val="0"/>
      <w:marTop w:val="0"/>
      <w:marBottom w:val="0"/>
      <w:divBdr>
        <w:top w:val="none" w:sz="0" w:space="0" w:color="auto"/>
        <w:left w:val="none" w:sz="0" w:space="0" w:color="auto"/>
        <w:bottom w:val="none" w:sz="0" w:space="0" w:color="auto"/>
        <w:right w:val="none" w:sz="0" w:space="0" w:color="auto"/>
      </w:divBdr>
    </w:div>
    <w:div w:id="2008940688">
      <w:bodyDiv w:val="1"/>
      <w:marLeft w:val="0"/>
      <w:marRight w:val="0"/>
      <w:marTop w:val="0"/>
      <w:marBottom w:val="0"/>
      <w:divBdr>
        <w:top w:val="none" w:sz="0" w:space="0" w:color="auto"/>
        <w:left w:val="none" w:sz="0" w:space="0" w:color="auto"/>
        <w:bottom w:val="none" w:sz="0" w:space="0" w:color="auto"/>
        <w:right w:val="none" w:sz="0" w:space="0" w:color="auto"/>
      </w:divBdr>
      <w:divsChild>
        <w:div w:id="1179348505">
          <w:marLeft w:val="0"/>
          <w:marRight w:val="0"/>
          <w:marTop w:val="0"/>
          <w:marBottom w:val="0"/>
          <w:divBdr>
            <w:top w:val="none" w:sz="0" w:space="0" w:color="auto"/>
            <w:left w:val="none" w:sz="0" w:space="0" w:color="auto"/>
            <w:bottom w:val="none" w:sz="0" w:space="0" w:color="auto"/>
            <w:right w:val="none" w:sz="0" w:space="0" w:color="auto"/>
          </w:divBdr>
          <w:divsChild>
            <w:div w:id="1275789474">
              <w:marLeft w:val="0"/>
              <w:marRight w:val="0"/>
              <w:marTop w:val="75"/>
              <w:marBottom w:val="0"/>
              <w:divBdr>
                <w:top w:val="none" w:sz="0" w:space="0" w:color="auto"/>
                <w:left w:val="none" w:sz="0" w:space="0" w:color="auto"/>
                <w:bottom w:val="none" w:sz="0" w:space="0" w:color="auto"/>
                <w:right w:val="none" w:sz="0" w:space="0" w:color="auto"/>
              </w:divBdr>
              <w:divsChild>
                <w:div w:id="12090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6347">
          <w:marLeft w:val="0"/>
          <w:marRight w:val="0"/>
          <w:marTop w:val="300"/>
          <w:marBottom w:val="0"/>
          <w:divBdr>
            <w:top w:val="none" w:sz="0" w:space="0" w:color="auto"/>
            <w:left w:val="none" w:sz="0" w:space="0" w:color="auto"/>
            <w:bottom w:val="none" w:sz="0" w:space="0" w:color="auto"/>
            <w:right w:val="none" w:sz="0" w:space="0" w:color="auto"/>
          </w:divBdr>
          <w:divsChild>
            <w:div w:id="279534729">
              <w:marLeft w:val="0"/>
              <w:marRight w:val="0"/>
              <w:marTop w:val="0"/>
              <w:marBottom w:val="0"/>
              <w:divBdr>
                <w:top w:val="none" w:sz="0" w:space="0" w:color="auto"/>
                <w:left w:val="none" w:sz="0" w:space="0" w:color="auto"/>
                <w:bottom w:val="none" w:sz="0" w:space="0" w:color="auto"/>
                <w:right w:val="none" w:sz="0" w:space="0" w:color="auto"/>
              </w:divBdr>
              <w:divsChild>
                <w:div w:id="1152602381">
                  <w:marLeft w:val="0"/>
                  <w:marRight w:val="0"/>
                  <w:marTop w:val="0"/>
                  <w:marBottom w:val="0"/>
                  <w:divBdr>
                    <w:top w:val="none" w:sz="0" w:space="0" w:color="auto"/>
                    <w:left w:val="none" w:sz="0" w:space="0" w:color="auto"/>
                    <w:bottom w:val="none" w:sz="0" w:space="0" w:color="auto"/>
                    <w:right w:val="none" w:sz="0" w:space="0" w:color="auto"/>
                  </w:divBdr>
                  <w:divsChild>
                    <w:div w:id="768701093">
                      <w:marLeft w:val="0"/>
                      <w:marRight w:val="0"/>
                      <w:marTop w:val="0"/>
                      <w:marBottom w:val="0"/>
                      <w:divBdr>
                        <w:top w:val="none" w:sz="0" w:space="0" w:color="auto"/>
                        <w:left w:val="none" w:sz="0" w:space="0" w:color="auto"/>
                        <w:bottom w:val="none" w:sz="0" w:space="0" w:color="auto"/>
                        <w:right w:val="none" w:sz="0" w:space="0" w:color="auto"/>
                      </w:divBdr>
                      <w:divsChild>
                        <w:div w:id="209994664">
                          <w:marLeft w:val="0"/>
                          <w:marRight w:val="0"/>
                          <w:marTop w:val="0"/>
                          <w:marBottom w:val="0"/>
                          <w:divBdr>
                            <w:top w:val="none" w:sz="0" w:space="0" w:color="auto"/>
                            <w:left w:val="none" w:sz="0" w:space="0" w:color="auto"/>
                            <w:bottom w:val="none" w:sz="0" w:space="0" w:color="auto"/>
                            <w:right w:val="none" w:sz="0" w:space="0" w:color="auto"/>
                          </w:divBdr>
                          <w:divsChild>
                            <w:div w:id="18476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i-ks.net/sq" TargetMode="External"/><Relationship Id="rId18" Type="http://schemas.openxmlformats.org/officeDocument/2006/relationships/hyperlink" Target="https://gzk.rks-gov.net/" TargetMode="External"/><Relationship Id="rId26" Type="http://schemas.openxmlformats.org/officeDocument/2006/relationships/hyperlink" Target="https://ak.rks-gov.net/ballina"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gzk.rks-gov.net/" TargetMode="External"/><Relationship Id="rId34" Type="http://schemas.openxmlformats.org/officeDocument/2006/relationships/hyperlink" Target="https://ak.rks-gov.net/ballina" TargetMode="External"/><Relationship Id="rId42" Type="http://schemas.openxmlformats.org/officeDocument/2006/relationships/image" Target="media/image4.png"/><Relationship Id="rId47" Type="http://schemas.microsoft.com/office/2011/relationships/people" Target="people.xml"/><Relationship Id="rId50"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s://gzk.rks-gov.net/" TargetMode="External"/><Relationship Id="rId25" Type="http://schemas.openxmlformats.org/officeDocument/2006/relationships/hyperlink" Target="https://ak.rks-gov.net/ballina" TargetMode="External"/><Relationship Id="rId33" Type="http://schemas.openxmlformats.org/officeDocument/2006/relationships/hyperlink" Target="https://ak.rks-gov.net/ballina" TargetMode="External"/><Relationship Id="rId38" Type="http://schemas.openxmlformats.org/officeDocument/2006/relationships/hyperlink" Target="https://mti.rks-gov.net/Page.aspx?id=1,%203,68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zk.rks-gov.net/" TargetMode="External"/><Relationship Id="rId20" Type="http://schemas.openxmlformats.org/officeDocument/2006/relationships/hyperlink" Target="https://gzk.rks-gov.net/" TargetMode="External"/><Relationship Id="rId29" Type="http://schemas.openxmlformats.org/officeDocument/2006/relationships/hyperlink" Target="https://ak.rks-gov.net/ballina" TargetMode="External"/><Relationship Id="rId41" Type="http://schemas.openxmlformats.org/officeDocument/2006/relationships/hyperlink" Target="https://www.rtklive.com/sq/news-single.php?ID=2843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s://ak.rks-gov.net/ballina" TargetMode="External"/><Relationship Id="rId32" Type="http://schemas.openxmlformats.org/officeDocument/2006/relationships/hyperlink" Target="https://ak.rks-gov.net/ballina" TargetMode="External"/><Relationship Id="rId37" Type="http://schemas.openxmlformats.org/officeDocument/2006/relationships/footer" Target="footer1.xml"/><Relationship Id="rId40" Type="http://schemas.openxmlformats.org/officeDocument/2006/relationships/image" Target="media/image3.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k.rks-gov.net/ballina" TargetMode="External"/><Relationship Id="rId23" Type="http://schemas.openxmlformats.org/officeDocument/2006/relationships/hyperlink" Target="https://ak.rks-gov.net/ballina" TargetMode="External"/><Relationship Id="rId28" Type="http://schemas.openxmlformats.org/officeDocument/2006/relationships/hyperlink" Target="https://ak.rks-gov.net/ballina" TargetMode="External"/><Relationship Id="rId36" Type="http://schemas.openxmlformats.org/officeDocument/2006/relationships/header" Target="header1.xml"/><Relationship Id="rId10" Type="http://schemas.openxmlformats.org/officeDocument/2006/relationships/hyperlink" Target="mailto:bleron.menzelxhiu@rks-gov.net" TargetMode="External"/><Relationship Id="rId19" Type="http://schemas.openxmlformats.org/officeDocument/2006/relationships/hyperlink" Target="https://gzk.rks-gov.net/" TargetMode="External"/><Relationship Id="rId31" Type="http://schemas.openxmlformats.org/officeDocument/2006/relationships/hyperlink" Target="https://ak.rks-gov.net/ballina" TargetMode="External"/><Relationship Id="rId44"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mei-ks.net/sq" TargetMode="External"/><Relationship Id="rId22" Type="http://schemas.openxmlformats.org/officeDocument/2006/relationships/hyperlink" Target="https://ak.rks-gov.net/ballina" TargetMode="External"/><Relationship Id="rId27" Type="http://schemas.openxmlformats.org/officeDocument/2006/relationships/hyperlink" Target="https://ak.rks-gov.net/ballina" TargetMode="External"/><Relationship Id="rId30" Type="http://schemas.openxmlformats.org/officeDocument/2006/relationships/hyperlink" Target="https://ak.rks-gov.net/ballina" TargetMode="External"/><Relationship Id="rId35" Type="http://schemas.openxmlformats.org/officeDocument/2006/relationships/hyperlink" Target="http://konsultimet.rks-gov.net/consultationsList.php" TargetMode="External"/><Relationship Id="rId43" Type="http://schemas.openxmlformats.org/officeDocument/2006/relationships/image" Target="media/image5.png"/><Relationship Id="rId8" Type="http://schemas.openxmlformats.org/officeDocument/2006/relationships/endnotes" Target="endnotes.xml"/><Relationship Id="rId51"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PDF/?uri=CELEX:52006XC0901(01)&amp;from=EN" TargetMode="External"/><Relationship Id="rId13" Type="http://schemas.openxmlformats.org/officeDocument/2006/relationships/hyperlink" Target="https://eur-lex.europa.eu/legal-content/EN/TXT/PDF/?uri=CELEX:32010R0330&amp;from=EN" TargetMode="External"/><Relationship Id="rId18" Type="http://schemas.openxmlformats.org/officeDocument/2006/relationships/hyperlink" Target="https://eur-lex.europa.eu/legal-content/EN/TXT/PDF/?uri=CELEX:32004R0139&amp;from=EN" TargetMode="External"/><Relationship Id="rId26" Type="http://schemas.openxmlformats.org/officeDocument/2006/relationships/hyperlink" Target="http://www.mei-ks.net/repository/docs/erafinalsq.pdf" TargetMode="External"/><Relationship Id="rId3" Type="http://schemas.openxmlformats.org/officeDocument/2006/relationships/hyperlink" Target="http://www.mei-ks.net/sq/raporti-i-progresit-585" TargetMode="External"/><Relationship Id="rId21" Type="http://schemas.openxmlformats.org/officeDocument/2006/relationships/hyperlink" Target="https://eur-lex.europa.eu/legal-content/EN/TXT/PDF/?uri=CELEX:32014L0104&amp;from=EN" TargetMode="External"/><Relationship Id="rId7" Type="http://schemas.openxmlformats.org/officeDocument/2006/relationships/hyperlink" Target="https://eur-lex.europa.eu/legal-content/EN/TXT/PDF/?uri=CELEX:32004R0773&amp;from=EN" TargetMode="External"/><Relationship Id="rId12" Type="http://schemas.openxmlformats.org/officeDocument/2006/relationships/hyperlink" Target="https://eur-lex.europa.eu/legal-content/EN/TXT/PDF/?uri=CELEX:52014XC0830(01)&amp;from=EN" TargetMode="External"/><Relationship Id="rId17" Type="http://schemas.openxmlformats.org/officeDocument/2006/relationships/hyperlink" Target="https://eur-lex.europa.eu/legal-content/EN/TXT/PDF/?uri=CELEX:32009R0169&amp;from=EN" TargetMode="External"/><Relationship Id="rId25" Type="http://schemas.openxmlformats.org/officeDocument/2006/relationships/hyperlink" Target="http://www.kryeministri-ks.net/repository/docs/Strategjia_Kombetare_per_Zhvillim_2016-2021_Shqip.pdf" TargetMode="External"/><Relationship Id="rId2" Type="http://schemas.openxmlformats.org/officeDocument/2006/relationships/hyperlink" Target="http://www.legalpoliticalstudies.org/E9311B63-3FDE-4A84-A059-2C3BD35C0CB9/FinalDownload/DownloadId-B2C06533CAE100109E2CC51E6CD8F5C6/E9311B63-3FDE-4A84-A059-2C3BD35C0CB9/wp-content/uploads/2018/09/GLPS-Policy-Report-04-2018.pdf" TargetMode="External"/><Relationship Id="rId16" Type="http://schemas.openxmlformats.org/officeDocument/2006/relationships/hyperlink" Target="https://eur-lex.europa.eu/LexUriServ/LexUriServ.do?uri=OJ:L:2010:083:0001:0007:EN:PDF" TargetMode="External"/><Relationship Id="rId20" Type="http://schemas.openxmlformats.org/officeDocument/2006/relationships/hyperlink" Target="https://eur-lex.europa.eu/legal-content/EN/TXT/PDF/?uri=CELEX:32014R0316&amp;from=EN" TargetMode="External"/><Relationship Id="rId1" Type="http://schemas.openxmlformats.org/officeDocument/2006/relationships/hyperlink" Target="https://ak.rks-gov.net/assets/cms/uploads/files/Raporti%20i%20Punes%202017_FINAL_AKK.pdf" TargetMode="External"/><Relationship Id="rId6" Type="http://schemas.openxmlformats.org/officeDocument/2006/relationships/hyperlink" Target="https://eur-lex.europa.eu/legal-content/EN/TXT/PDF/?uri=CELEX:32003R0001&amp;from=en" TargetMode="External"/><Relationship Id="rId11" Type="http://schemas.openxmlformats.org/officeDocument/2006/relationships/hyperlink" Target="https://eur-lex.europa.eu/legal-content/EN/TXT/PDF/?uri=CELEX:31997Y1209(01)&amp;from=EN" TargetMode="External"/><Relationship Id="rId24" Type="http://schemas.openxmlformats.org/officeDocument/2006/relationships/hyperlink" Target="https://ak.rks-gov.net/assets/cms/uploads/files/Raportet/Raporti%20mbi%20ARE_FINAL.pdf" TargetMode="External"/><Relationship Id="rId5" Type="http://schemas.openxmlformats.org/officeDocument/2006/relationships/hyperlink" Target="https://www.mei-ks.net/repository/docs/Traktati_i_Lisbones_-_Verzioni_i_Konsoliduar.pdf" TargetMode="External"/><Relationship Id="rId15" Type="http://schemas.openxmlformats.org/officeDocument/2006/relationships/hyperlink" Target="https://eur-lex.europa.eu/legal-content/EN/TXT/PDF/?uri=CELEX:52011XC0114(04)&amp;from=EN" TargetMode="External"/><Relationship Id="rId23" Type="http://schemas.openxmlformats.org/officeDocument/2006/relationships/hyperlink" Target="https://gzk.rks-gov.net/ActDetail.aspx?ActID=13270" TargetMode="External"/><Relationship Id="rId10" Type="http://schemas.openxmlformats.org/officeDocument/2006/relationships/hyperlink" Target="https://eur-lex.europa.eu/legal-content/EN/TXT/PDF/?uri=CELEX:02006XC1208(04)-20150805&amp;from=EN" TargetMode="External"/><Relationship Id="rId19" Type="http://schemas.openxmlformats.org/officeDocument/2006/relationships/hyperlink" Target="https://eur-lex.europa.eu/legal-content/EN/TXT/PDF/?uri=CELEX:32004R0802&amp;from=EN" TargetMode="External"/><Relationship Id="rId4" Type="http://schemas.openxmlformats.org/officeDocument/2006/relationships/hyperlink" Target="http://konsultimet.rks-gov.net/" TargetMode="External"/><Relationship Id="rId9" Type="http://schemas.openxmlformats.org/officeDocument/2006/relationships/hyperlink" Target="https://eur-lex.europa.eu/legal-content/EN/TXT/PDF/?uri=CELEX:52006XC1208(04)&amp;from=EN" TargetMode="External"/><Relationship Id="rId14" Type="http://schemas.openxmlformats.org/officeDocument/2006/relationships/hyperlink" Target="https://eur-lex.europa.eu/legal-content/EN/TXT/PDF/?uri=CELEX:32010R0461&amp;from=EN" TargetMode="External"/><Relationship Id="rId22" Type="http://schemas.openxmlformats.org/officeDocument/2006/relationships/hyperlink" Target="http://ec.europa.eu/competition/antitrust/nca.html" TargetMode="External"/><Relationship Id="rId27" Type="http://schemas.openxmlformats.org/officeDocument/2006/relationships/hyperlink" Target="http://www.mei-ks.net/repository/docs/pkzmsa20172021shq.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13 tregje të</a:t>
            </a:r>
            <a:r>
              <a:rPr lang="en-US" sz="1200" baseline="0"/>
              <a:t> hulumtuara</a:t>
            </a:r>
            <a:endParaRPr lang="en-US" sz="1200"/>
          </a:p>
        </c:rich>
      </c:tx>
      <c:overlay val="0"/>
      <c:spPr>
        <a:noFill/>
        <a:ln>
          <a:noFill/>
        </a:ln>
        <a:effectLst/>
      </c:spPr>
    </c:title>
    <c:autoTitleDeleted val="0"/>
    <c:plotArea>
      <c:layout/>
      <c:pieChart>
        <c:varyColors val="1"/>
        <c:ser>
          <c:idx val="0"/>
          <c:order val="0"/>
          <c:tx>
            <c:strRef>
              <c:f>Sheet1!$B$1</c:f>
              <c:strCache>
                <c:ptCount val="1"/>
                <c:pt idx="0">
                  <c:v>13 tregje</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Monopol</c:v>
                </c:pt>
                <c:pt idx="1">
                  <c:v>Monopol natyror</c:v>
                </c:pt>
                <c:pt idx="2">
                  <c:v>Pozitë dominuese</c:v>
                </c:pt>
              </c:strCache>
            </c:strRef>
          </c:cat>
          <c:val>
            <c:numRef>
              <c:f>Sheet1!$B$2:$B$4</c:f>
              <c:numCache>
                <c:formatCode>General</c:formatCode>
                <c:ptCount val="3"/>
                <c:pt idx="0">
                  <c:v>14</c:v>
                </c:pt>
                <c:pt idx="1">
                  <c:v>2</c:v>
                </c:pt>
                <c:pt idx="2">
                  <c:v>44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200"/>
              <a:t>Ndërmarrjet</a:t>
            </a:r>
            <a:r>
              <a:rPr lang="en-US" sz="1200" baseline="0"/>
              <a:t> në pozitë dominuese nga 13 tregjet e hulumtuara</a:t>
            </a:r>
            <a:endParaRPr lang="en-US" sz="1200"/>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1"/>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25-40%</c:v>
                </c:pt>
                <c:pt idx="1">
                  <c:v>Mbi 40%</c:v>
                </c:pt>
              </c:strCache>
            </c:strRef>
          </c:cat>
          <c:val>
            <c:numRef>
              <c:f>Sheet1!$B$2:$B$3</c:f>
              <c:numCache>
                <c:formatCode>General</c:formatCode>
                <c:ptCount val="2"/>
                <c:pt idx="0">
                  <c:v>20</c:v>
                </c:pt>
                <c:pt idx="1">
                  <c:v>24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72BEB-9B75-434A-A6FE-FC285849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19475</Words>
  <Characters>111012</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Akse</dc:creator>
  <cp:lastModifiedBy>Bleron Menzelxhiu</cp:lastModifiedBy>
  <cp:revision>2</cp:revision>
  <cp:lastPrinted>2019-01-17T13:37:00Z</cp:lastPrinted>
  <dcterms:created xsi:type="dcterms:W3CDTF">2019-02-25T08:16:00Z</dcterms:created>
  <dcterms:modified xsi:type="dcterms:W3CDTF">2019-02-25T08:16:00Z</dcterms:modified>
</cp:coreProperties>
</file>