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Raporti</w:t>
      </w:r>
      <w:r w:rsidR="00DC4A9B" w:rsidRPr="00DC4A9B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nga procesi i konsultimit</w:t>
      </w:r>
    </w:p>
    <w:p w:rsidR="00DC4A9B" w:rsidRDefault="002A72AC" w:rsidP="00886FB2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 w:rsidRPr="00886FB2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PËR </w:t>
      </w:r>
      <w:r w:rsidR="00886FB2" w:rsidRPr="00886FB2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>Ligjin p</w:t>
      </w:r>
      <w:r w:rsidR="00886FB2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>Ër turizmin</w:t>
      </w:r>
    </w:p>
    <w:p w:rsidR="00886FB2" w:rsidRPr="00DC4A9B" w:rsidRDefault="00886FB2" w:rsidP="00886FB2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B72DD" w:rsidRPr="00EB72DD" w:rsidRDefault="001026DC" w:rsidP="00EB72DD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>Mini</w:t>
      </w:r>
      <w:r w:rsidR="001569EA"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stria e Tregtisë dhe Industrisë respektivisht </w:t>
      </w:r>
      <w:r w:rsidR="00407A62"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Departamenti i </w:t>
      </w:r>
      <w:r w:rsid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Turizmit </w:t>
      </w:r>
      <w:r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në cilësinë e </w:t>
      </w:r>
      <w:r w:rsidR="0068520F"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Organit Propozues </w:t>
      </w:r>
      <w:r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për </w:t>
      </w:r>
      <w:r w:rsidR="0068520F"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hartimin e </w:t>
      </w:r>
      <w:r w:rsidR="009A7A99">
        <w:rPr>
          <w:rFonts w:ascii="Sylfaen" w:eastAsia="Calibri" w:hAnsi="Sylfaen"/>
          <w:i/>
          <w:noProof/>
          <w:sz w:val="24"/>
          <w:szCs w:val="24"/>
          <w:lang w:val="hr-HR"/>
        </w:rPr>
        <w:t>Ligjit për Turizmin</w:t>
      </w:r>
      <w:r w:rsidR="0079131E"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>,</w:t>
      </w:r>
      <w:r w:rsidR="0026542E"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 ka </w:t>
      </w:r>
      <w:r w:rsidRPr="00886FB2">
        <w:rPr>
          <w:rFonts w:ascii="Sylfaen" w:eastAsia="Calibri" w:hAnsi="Sylfaen"/>
          <w:i/>
          <w:noProof/>
          <w:sz w:val="24"/>
          <w:szCs w:val="24"/>
          <w:lang w:val="hr-HR"/>
        </w:rPr>
        <w:t xml:space="preserve">propozuar  </w:t>
      </w:r>
      <w:r w:rsidR="00886FB2" w:rsidRPr="001026DC">
        <w:rPr>
          <w:rFonts w:ascii="Sylfaen" w:eastAsia="Calibri" w:hAnsi="Sylfaen"/>
          <w:i/>
          <w:sz w:val="24"/>
          <w:szCs w:val="24"/>
          <w:lang w:val="hr-HR"/>
        </w:rPr>
        <w:t>e këti</w:t>
      </w:r>
      <w:r w:rsidR="00886FB2">
        <w:rPr>
          <w:rFonts w:ascii="Sylfaen" w:eastAsia="Calibri" w:hAnsi="Sylfaen"/>
          <w:i/>
          <w:sz w:val="24"/>
          <w:szCs w:val="24"/>
          <w:lang w:val="hr-HR"/>
        </w:rPr>
        <w:t xml:space="preserve">j </w:t>
      </w:r>
      <w:r w:rsidR="009A7A99">
        <w:rPr>
          <w:rFonts w:ascii="Sylfaen" w:eastAsia="Calibri" w:hAnsi="Sylfaen"/>
          <w:i/>
          <w:sz w:val="24"/>
          <w:szCs w:val="24"/>
          <w:lang w:val="hr-HR"/>
        </w:rPr>
        <w:t>Projektligji</w:t>
      </w:r>
      <w:r w:rsidR="00886FB2">
        <w:rPr>
          <w:rFonts w:ascii="Sylfaen" w:eastAsia="Calibri" w:hAnsi="Sylfaen"/>
          <w:i/>
          <w:sz w:val="24"/>
          <w:szCs w:val="24"/>
          <w:lang w:val="hr-HR"/>
        </w:rPr>
        <w:t xml:space="preserve"> me qëllim zhvillimin e</w:t>
      </w:r>
      <w:r w:rsidR="00886FB2" w:rsidRPr="003539A0">
        <w:rPr>
          <w:rFonts w:ascii="Sylfaen" w:eastAsia="Calibri" w:hAnsi="Sylfaen"/>
          <w:i/>
          <w:sz w:val="24"/>
          <w:szCs w:val="24"/>
          <w:lang w:val="hr-HR"/>
        </w:rPr>
        <w:t xml:space="preserve"> turizmit konkurrues dhe të qëndrueshëm në Kosovë duke shfrytëzuar resurset natyrore, kulturore, njerëzore dhe financiare, i cili do të mundësoj krijimin e një ambienti më të favorshëm për funksionimin dhe zhvillimin e veprimtartive turistike në përputhshmëri me standardet turistike bashkohore.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Prandaj</w:t>
      </w:r>
      <w:r w:rsidR="00407A62" w:rsidRPr="0068520F">
        <w:rPr>
          <w:rFonts w:ascii="Sylfaen" w:eastAsia="Calibri" w:hAnsi="Sylfaen"/>
          <w:i/>
          <w:sz w:val="24"/>
          <w:szCs w:val="24"/>
          <w:lang w:val="hr-HR"/>
        </w:rPr>
        <w:t xml:space="preserve"> përmes hartimit të </w:t>
      </w:r>
      <w:r w:rsidR="00886FB2">
        <w:rPr>
          <w:rFonts w:ascii="Sylfaen" w:eastAsia="Calibri" w:hAnsi="Sylfaen"/>
          <w:i/>
          <w:sz w:val="24"/>
          <w:szCs w:val="24"/>
          <w:lang w:val="hr-HR"/>
        </w:rPr>
        <w:t xml:space="preserve">Projektligjit </w:t>
      </w:r>
      <w:r w:rsidR="00407A62">
        <w:rPr>
          <w:rFonts w:ascii="Sylfaen" w:eastAsia="Calibri" w:hAnsi="Sylfaen"/>
          <w:i/>
          <w:sz w:val="24"/>
          <w:szCs w:val="24"/>
          <w:lang w:val="hr-HR"/>
        </w:rPr>
        <w:t xml:space="preserve">në fjalë do të 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 xml:space="preserve">mundësohet 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>eliminimi i mangësive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 xml:space="preserve"> dhe përmirësimi i gjendjes në raport me obligimet e </w:t>
      </w:r>
      <w:r w:rsidR="00EB72DD">
        <w:rPr>
          <w:rFonts w:ascii="Sylfaen" w:eastAsia="Calibri" w:hAnsi="Sylfaen"/>
          <w:i/>
          <w:sz w:val="24"/>
          <w:szCs w:val="24"/>
          <w:lang w:val="sq-AL"/>
        </w:rPr>
        <w:t>o</w:t>
      </w:r>
      <w:r w:rsidR="009A7A99">
        <w:rPr>
          <w:rFonts w:ascii="Sylfaen" w:eastAsia="Calibri" w:hAnsi="Sylfaen"/>
          <w:i/>
          <w:sz w:val="24"/>
          <w:szCs w:val="24"/>
          <w:lang w:val="sq-AL"/>
        </w:rPr>
        <w:t xml:space="preserve">peratorëve turistik, udhërrëfyesve turistik </w:t>
      </w:r>
      <w:r w:rsidR="00EB72DD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proofErr w:type="spellStart"/>
      <w:r w:rsidR="00EB72DD">
        <w:rPr>
          <w:rFonts w:ascii="Sylfaen" w:eastAsia="Calibri" w:hAnsi="Sylfaen"/>
          <w:i/>
          <w:sz w:val="24"/>
          <w:szCs w:val="24"/>
          <w:lang w:val="sq-AL"/>
        </w:rPr>
        <w:t>etj</w:t>
      </w:r>
      <w:proofErr w:type="spellEnd"/>
      <w:r w:rsidR="00EB72DD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 xml:space="preserve"> të cilët merren me </w:t>
      </w:r>
      <w:r w:rsidR="009A7A99">
        <w:rPr>
          <w:rFonts w:ascii="Sylfaen" w:eastAsia="Calibri" w:hAnsi="Sylfaen"/>
          <w:i/>
          <w:sz w:val="24"/>
          <w:szCs w:val="24"/>
          <w:lang w:val="sq-AL"/>
        </w:rPr>
        <w:t>veprimtarinë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 xml:space="preserve"> që mbulohen nga ky akt </w:t>
      </w:r>
      <w:r w:rsidR="009A7A99">
        <w:rPr>
          <w:rFonts w:ascii="Sylfaen" w:eastAsia="Calibri" w:hAnsi="Sylfaen"/>
          <w:i/>
          <w:sz w:val="24"/>
          <w:szCs w:val="24"/>
          <w:lang w:val="sq-AL"/>
        </w:rPr>
        <w:t>ligjor</w:t>
      </w:r>
      <w:r w:rsidR="00EB72DD">
        <w:rPr>
          <w:rFonts w:ascii="Sylfaen" w:eastAsia="Calibri" w:hAnsi="Sylfaen"/>
          <w:i/>
          <w:sz w:val="24"/>
          <w:szCs w:val="24"/>
          <w:lang w:val="sq-AL"/>
        </w:rPr>
        <w:t xml:space="preserve">, 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 xml:space="preserve">si dhe mbikëqyrjen në treg të këtyre </w:t>
      </w:r>
      <w:r w:rsidR="009A7A99">
        <w:rPr>
          <w:rFonts w:ascii="Sylfaen" w:eastAsia="Calibri" w:hAnsi="Sylfaen"/>
          <w:i/>
          <w:sz w:val="24"/>
          <w:szCs w:val="24"/>
          <w:lang w:val="sq-AL"/>
        </w:rPr>
        <w:t>veprimtarive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>.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Prandaj përmes hartimit të 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>kë</w:t>
      </w:r>
      <w:r w:rsidR="009A7A99">
        <w:rPr>
          <w:rFonts w:ascii="Sylfaen" w:eastAsia="Calibri" w:hAnsi="Sylfaen"/>
          <w:i/>
          <w:sz w:val="24"/>
          <w:szCs w:val="24"/>
          <w:lang w:val="sq-AL"/>
        </w:rPr>
        <w:t>tij akti ligjor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do të bëhet 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>e mundur që të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 xml:space="preserve"> mbulohet dhe rregullohet kjo fushë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në tërësi</w:t>
      </w:r>
      <w:r w:rsidR="00EB72DD">
        <w:rPr>
          <w:rFonts w:ascii="Sylfaen" w:eastAsia="Calibri" w:hAnsi="Sylfaen"/>
          <w:i/>
          <w:sz w:val="24"/>
          <w:szCs w:val="24"/>
          <w:lang w:val="sq-AL"/>
        </w:rPr>
        <w:t xml:space="preserve">. </w:t>
      </w:r>
      <w:r w:rsidR="00EB72DD" w:rsidRPr="00EB72DD">
        <w:rPr>
          <w:rFonts w:ascii="Times New Roman" w:hAnsi="Times New Roman"/>
          <w:i/>
          <w:sz w:val="24"/>
          <w:szCs w:val="24"/>
          <w:lang w:val="sq-AL"/>
        </w:rPr>
        <w:t xml:space="preserve">Pra ligji i ri do të ofrojë një bazë homogjene ligjore për shërbimet turistike, organizimin institucional dhe funksionimin e turizmit. 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886FB2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407A62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407A62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së Qeverisë</w:t>
      </w:r>
      <w:r w:rsidR="003C4CC4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,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3C4CC4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Rregulloren nr.13/2013</w:t>
      </w:r>
      <w:r w:rsidR="008F298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Për Shërbimin Ligjor Qeveritar,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Ministria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3C4CC4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disa takime me grupin punues</w:t>
      </w:r>
      <w:r w:rsidR="003C4CC4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për </w:t>
      </w:r>
      <w:r w:rsidR="00A1529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h</w:t>
      </w:r>
      <w:r w:rsidR="003C4CC4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artimin </w:t>
      </w:r>
      <w:r w:rsidR="00A1529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draftit </w:t>
      </w:r>
      <w:r w:rsidR="003C4CC4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fillestar të 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Ligjit për T</w:t>
      </w:r>
      <w:r w:rsidR="00886FB2">
        <w:rPr>
          <w:rFonts w:ascii="Sylfaen" w:eastAsia="Calibri" w:hAnsi="Sylfaen"/>
          <w:i/>
          <w:noProof/>
          <w:sz w:val="24"/>
          <w:szCs w:val="24"/>
          <w:lang w:val="sq-AL"/>
        </w:rPr>
        <w:t>urizmin</w:t>
      </w:r>
      <w:r w:rsidR="00A1529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, 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dhe pas p</w:t>
      </w:r>
      <w:r w:rsidR="00886FB2">
        <w:rPr>
          <w:rFonts w:ascii="Sylfaen" w:eastAsia="Calibri" w:hAnsi="Sylfaen"/>
          <w:i/>
          <w:noProof/>
          <w:sz w:val="24"/>
          <w:szCs w:val="24"/>
          <w:lang w:val="sq-AL"/>
        </w:rPr>
        <w:t>ërfundimit të projekligjit</w:t>
      </w:r>
      <w:r w:rsidR="0073470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2A72A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ë</w:t>
      </w:r>
      <w:r w:rsidR="0073470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sht</w:t>
      </w:r>
      <w:r w:rsidR="002A72A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ë</w:t>
      </w:r>
      <w:r w:rsidR="0073470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d</w:t>
      </w:r>
      <w:r w:rsidR="002A72A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ë</w:t>
      </w:r>
      <w:r w:rsidR="0073470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rguar </w:t>
      </w:r>
      <w:r w:rsidR="00A1529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për komente t</w:t>
      </w:r>
      <w:r w:rsidR="002A72A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e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palët e interesit.</w:t>
      </w:r>
    </w:p>
    <w:p w:rsidR="0079131E" w:rsidRPr="00886FB2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79131E" w:rsidRPr="00886FB2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Qëllimi dhe fushëveprimi i konsultimit 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gjatë hartimit të politikave 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është me rëndësi që të gjithë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fushëveprimin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e </w:t>
      </w:r>
      <w:r w:rsidR="0068520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këtij projek</w:t>
      </w:r>
      <w:r w:rsidR="00886FB2">
        <w:rPr>
          <w:rFonts w:ascii="Sylfaen" w:eastAsia="Calibri" w:hAnsi="Sylfaen"/>
          <w:i/>
          <w:noProof/>
          <w:sz w:val="24"/>
          <w:szCs w:val="24"/>
          <w:lang w:val="sq-AL"/>
        </w:rPr>
        <w:t>ligji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.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Kjo do ti ndihmoi Ministrisë për të analizuar gjendjen, identifikimin e problemeve, opsioneve</w:t>
      </w:r>
      <w:r w:rsidR="008F298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,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përgatitjen e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rekomandimeve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8F298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dhe 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propozimeve </w:t>
      </w:r>
      <w:r w:rsidR="0026542E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nga palët</w:t>
      </w:r>
      <w:r w:rsidR="008F298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,</w:t>
      </w:r>
      <w:r w:rsidR="0026542E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0E4FD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p</w:t>
      </w:r>
      <w:r w:rsidR="0068520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ër ti përfshirë në 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Projektligjin për T</w:t>
      </w:r>
      <w:r w:rsidR="00886FB2">
        <w:rPr>
          <w:rFonts w:ascii="Sylfaen" w:eastAsia="Calibri" w:hAnsi="Sylfaen"/>
          <w:i/>
          <w:noProof/>
          <w:sz w:val="24"/>
          <w:szCs w:val="24"/>
          <w:lang w:val="sq-AL"/>
        </w:rPr>
        <w:t>urizmin.</w:t>
      </w:r>
    </w:p>
    <w:p w:rsidR="001026DC" w:rsidRPr="00886FB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DC4A9B" w:rsidRPr="00886FB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  <w:lang w:val="sq-AL"/>
        </w:rPr>
      </w:pPr>
      <w:r w:rsidRPr="00886FB2">
        <w:rPr>
          <w:rFonts w:ascii="Sylfaen" w:eastAsia="Calibri" w:hAnsi="Sylfaen"/>
          <w:b/>
          <w:noProof/>
          <w:sz w:val="24"/>
          <w:szCs w:val="24"/>
          <w:lang w:val="sq-AL"/>
        </w:rPr>
        <w:t xml:space="preserve">Ecuria </w:t>
      </w:r>
      <w:r w:rsidR="00CE6A48" w:rsidRPr="00886FB2">
        <w:rPr>
          <w:rFonts w:ascii="Sylfaen" w:eastAsia="Calibri" w:hAnsi="Sylfaen"/>
          <w:b/>
          <w:noProof/>
          <w:sz w:val="24"/>
          <w:szCs w:val="24"/>
          <w:lang w:val="sq-AL"/>
        </w:rPr>
        <w:t xml:space="preserve">e </w:t>
      </w:r>
      <w:r w:rsidRPr="00886FB2">
        <w:rPr>
          <w:rFonts w:ascii="Sylfaen" w:eastAsia="Calibri" w:hAnsi="Sylfaen"/>
          <w:b/>
          <w:noProof/>
          <w:sz w:val="24"/>
          <w:szCs w:val="24"/>
          <w:lang w:val="sq-AL"/>
        </w:rPr>
        <w:t>procesit të konsultimit</w:t>
      </w:r>
    </w:p>
    <w:p w:rsidR="00DC4A9B" w:rsidRPr="00886FB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E673B1" w:rsidRPr="00886FB2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Duke pasur parasysh se procesi i</w:t>
      </w:r>
      <w:r w:rsidR="00BD7595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konsultimeve është realizuar dhe është 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zhvilluar konform rregullave dhe procedura</w:t>
      </w:r>
      <w:r w:rsidR="00645408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ve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Rregulloren N</w:t>
      </w:r>
      <w:r w:rsidR="00386BF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r</w:t>
      </w:r>
      <w:r w:rsidR="008C2B5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. 05/2016 Për standardet minimale për procesin e konsultimit publik, 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Udhëzuesin për procesin e konsultimeve Nr.062/2011 dt. 26.09.2011,</w:t>
      </w:r>
      <w:r w:rsidR="00C85E8B" w:rsidRPr="00886FB2">
        <w:rPr>
          <w:noProof/>
          <w:lang w:val="sq-AL"/>
        </w:rPr>
        <w:t xml:space="preserve"> </w:t>
      </w:r>
      <w:r w:rsidR="00C85E8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Ministria e Tregtisë dhe Industrisë, si organ propozues i këtij akti </w:t>
      </w:r>
      <w:r w:rsidR="008879E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nën</w:t>
      </w:r>
      <w:r w:rsidR="00C85E8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ligjor ka zhvilluar procesin e konsultimeve paraprake dhe p</w:t>
      </w:r>
      <w:r w:rsidR="008879E6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ublike në të cilën peri</w:t>
      </w:r>
      <w:r w:rsidR="0068520F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udhë</w:t>
      </w:r>
      <w:r w:rsidR="00C85E8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e  ka dërguar në Konsultim te të gjitha institucionet përkatëse dhe shoqatat relevante, që t’ju ofrojë informata për publikun </w:t>
      </w:r>
      <w:r w:rsidR="00C85E8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lastRenderedPageBreak/>
        <w:t xml:space="preserve">e në veçanti për grupet e interesit me qëllim të merret mendimi i publikut dhe grupeve të interesit </w:t>
      </w:r>
      <w:r w:rsidR="00386BF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rreth hartimit të </w:t>
      </w:r>
      <w:r w:rsidR="00461838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P</w:t>
      </w:r>
      <w:r w:rsidR="00386BF1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rojekt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ligjit për T</w:t>
      </w:r>
      <w:r w:rsidR="00886FB2">
        <w:rPr>
          <w:rFonts w:ascii="Sylfaen" w:eastAsia="Calibri" w:hAnsi="Sylfaen"/>
          <w:i/>
          <w:noProof/>
          <w:sz w:val="24"/>
          <w:szCs w:val="24"/>
          <w:lang w:val="sq-AL"/>
        </w:rPr>
        <w:t>urizmin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.</w:t>
      </w:r>
    </w:p>
    <w:p w:rsidR="00E673B1" w:rsidRPr="00886FB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983DEE" w:rsidRPr="00886FB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G</w:t>
      </w:r>
      <w:r w:rsidR="00983DEE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jatë kësaj periudhe lidhur me 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P</w:t>
      </w:r>
      <w:r w:rsidR="0073470C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rojekt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ligjin</w:t>
      </w:r>
      <w:r w:rsidR="001622CE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për 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Turizmin</w:t>
      </w:r>
      <w:r w:rsidR="001622CE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191BE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kemi pranuar komente</w:t>
      </w:r>
      <w:r w:rsidR="00461838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nga 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MASHT, Divizioni për Aftësim Profesional dhe nga një Agjenci Turistike, përkatësisht “Altavia Travel”.</w:t>
      </w:r>
      <w:r w:rsidR="00191BE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</w:p>
    <w:p w:rsidR="005D65F8" w:rsidRPr="00886FB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DC4A9B" w:rsidRPr="00886FB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Kohëzgjatja</w:t>
      </w:r>
      <w:r w:rsidR="00DC4A9B"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e procesit të kons</w:t>
      </w:r>
      <w:r w:rsidRPr="00886FB2">
        <w:rPr>
          <w:rFonts w:ascii="Sylfaen" w:eastAsia="Calibri" w:hAnsi="Sylfaen"/>
          <w:i/>
          <w:noProof/>
          <w:sz w:val="24"/>
          <w:szCs w:val="24"/>
          <w:lang w:val="sq-AL"/>
        </w:rPr>
        <w:t>ultimit të dokumentit në fjalë, është bërë konform Rregullores për Punën e Qeverisë nr. 09/2011</w:t>
      </w:r>
      <w:r w:rsidR="001149D5">
        <w:rPr>
          <w:rFonts w:ascii="Sylfaen" w:eastAsia="Calibri" w:hAnsi="Sylfaen"/>
          <w:i/>
          <w:noProof/>
          <w:sz w:val="24"/>
          <w:szCs w:val="24"/>
          <w:lang w:val="sq-AL"/>
        </w:rPr>
        <w:t>.</w:t>
      </w:r>
    </w:p>
    <w:p w:rsidR="00DC4A9B" w:rsidRPr="00886FB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717A99" w:rsidRPr="000E6A92" w:rsidRDefault="00463FB9" w:rsidP="004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highlight w:val="yellow"/>
              </w:rPr>
            </w:pPr>
            <w:r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04</w:t>
            </w:r>
            <w:r w:rsidR="0073470C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.</w:t>
            </w:r>
            <w:r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12</w:t>
            </w:r>
            <w:r w:rsidR="0073470C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.201</w:t>
            </w:r>
            <w:r w:rsidR="001622CE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8</w:t>
            </w:r>
            <w:r w:rsidR="0073470C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 xml:space="preserve">    </w:t>
            </w:r>
            <w:r w:rsidR="00325B79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26</w:t>
            </w:r>
            <w:r w:rsidR="0093543C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.</w:t>
            </w:r>
            <w:r w:rsidR="00E92E1F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1</w:t>
            </w:r>
            <w:r w:rsidR="00325B79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2</w:t>
            </w:r>
            <w:r w:rsidR="0073470C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.</w:t>
            </w:r>
            <w:r w:rsidR="00D24163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201</w:t>
            </w:r>
            <w:r w:rsidR="00E92E1F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8</w:t>
            </w:r>
            <w:r w:rsidR="00D24163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 xml:space="preserve"> </w:t>
            </w:r>
            <w:r w:rsidR="00E92E1F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 xml:space="preserve"> </w:t>
            </w:r>
            <w:r w:rsidR="00325B79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1</w:t>
            </w:r>
            <w:r w:rsidR="00717A99"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851EBD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9A7A99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  <w:r w:rsidRPr="009A7A99">
              <w:rPr>
                <w:rFonts w:ascii="Sylfaen" w:hAnsi="Sylfaen"/>
                <w:noProof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0E6A92" w:rsidRDefault="000E6A9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highlight w:val="yellow"/>
              </w:rPr>
            </w:pPr>
            <w:r w:rsidRPr="000E6A92">
              <w:rPr>
                <w:rFonts w:ascii="Sylfaen" w:hAnsi="Sylfaen"/>
                <w:noProof/>
                <w:sz w:val="21"/>
                <w:szCs w:val="24"/>
                <w:highlight w:val="yellow"/>
              </w:rPr>
              <w:t>04.12.2018    26.12.2018  15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63FB9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63FB9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63FB9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886FB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  <w:r w:rsidRPr="009A7A99">
              <w:rPr>
                <w:rFonts w:ascii="Sylfaen" w:hAnsi="Sylfaen"/>
                <w:noProof/>
                <w:color w:val="000000"/>
                <w:sz w:val="21"/>
                <w:szCs w:val="23"/>
                <w:lang w:val="de-DE"/>
              </w:rPr>
              <w:t>Publikimi në ueb faqe/Pl</w:t>
            </w:r>
            <w:r w:rsidRPr="00886FB2">
              <w:rPr>
                <w:rFonts w:ascii="Sylfaen" w:hAnsi="Sylfaen"/>
                <w:noProof/>
                <w:color w:val="000000"/>
                <w:sz w:val="21"/>
                <w:szCs w:val="23"/>
                <w:lang w:val="de-DE"/>
              </w:rPr>
              <w:t>atforma elektronike</w:t>
            </w:r>
          </w:p>
        </w:tc>
        <w:tc>
          <w:tcPr>
            <w:tcW w:w="1679" w:type="dxa"/>
          </w:tcPr>
          <w:p w:rsidR="00717A99" w:rsidRPr="00886F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</w:tc>
        <w:tc>
          <w:tcPr>
            <w:tcW w:w="1483" w:type="dxa"/>
          </w:tcPr>
          <w:p w:rsidR="00717A99" w:rsidRPr="00886F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</w:tc>
        <w:tc>
          <w:tcPr>
            <w:tcW w:w="1300" w:type="dxa"/>
          </w:tcPr>
          <w:p w:rsidR="00717A99" w:rsidRPr="00886F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</w:tc>
        <w:tc>
          <w:tcPr>
            <w:tcW w:w="2162" w:type="dxa"/>
          </w:tcPr>
          <w:p w:rsidR="00717A99" w:rsidRPr="00886F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Default="00463FB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Takimi i Grupit Punues 06.09.2018</w:t>
            </w:r>
          </w:p>
          <w:p w:rsidR="00463FB9" w:rsidRDefault="00463FB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Takimi I Grupit Punues  20.09.2018</w:t>
            </w:r>
          </w:p>
          <w:p w:rsidR="00463FB9" w:rsidRPr="00407A62" w:rsidRDefault="00625E8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Takimi I Grupit Punues 03.10.2018</w:t>
            </w:r>
          </w:p>
        </w:tc>
        <w:tc>
          <w:tcPr>
            <w:tcW w:w="2619" w:type="dxa"/>
            <w:shd w:val="clear" w:color="auto" w:fill="FBE4D5"/>
          </w:tcPr>
          <w:p w:rsidR="00770452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8</w:t>
            </w: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10</w:t>
            </w: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D30670" w:rsidRPr="00407A62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6</w:t>
            </w:r>
          </w:p>
        </w:tc>
        <w:tc>
          <w:tcPr>
            <w:tcW w:w="2619" w:type="dxa"/>
            <w:shd w:val="clear" w:color="auto" w:fill="FBE4D5"/>
          </w:tcPr>
          <w:p w:rsidR="00770452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4</w:t>
            </w: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8</w:t>
            </w: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D30670" w:rsidRPr="00407A62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6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Default="00625E8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Punëtori dy d</w:t>
            </w:r>
            <w:r w:rsidR="00D30670">
              <w:rPr>
                <w:rFonts w:ascii="Sylfaen" w:hAnsi="Sylfaen"/>
                <w:noProof/>
                <w:sz w:val="21"/>
                <w:szCs w:val="24"/>
              </w:rPr>
              <w:t>itore 22 dhe 23 Tetor 2018 me Grupit Punues plus 5 perfaqësues nga sektori privat dhe shoqatat turistike</w:t>
            </w: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D30670" w:rsidRPr="00D30670" w:rsidRDefault="00D30670" w:rsidP="00D306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  <w:r w:rsidRPr="00D30670">
              <w:rPr>
                <w:rFonts w:ascii="Sylfaen" w:hAnsi="Sylfaen"/>
                <w:noProof/>
                <w:sz w:val="21"/>
                <w:szCs w:val="24"/>
                <w:lang w:val="de-DE"/>
              </w:rPr>
              <w:t>Punëtori 12.11.2018  Grupit Punues plus 5 perfaqësues nga sektori privat dhe shoqatat turistike</w:t>
            </w:r>
          </w:p>
        </w:tc>
        <w:tc>
          <w:tcPr>
            <w:tcW w:w="2619" w:type="dxa"/>
            <w:shd w:val="clear" w:color="auto" w:fill="FBE4D5"/>
          </w:tcPr>
          <w:p w:rsidR="00717A99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  <w:r>
              <w:rPr>
                <w:rFonts w:ascii="Sylfaen" w:hAnsi="Sylfaen"/>
                <w:noProof/>
                <w:sz w:val="21"/>
                <w:szCs w:val="24"/>
                <w:lang w:val="de-DE"/>
              </w:rPr>
              <w:t>20</w:t>
            </w: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  <w:p w:rsidR="00D30670" w:rsidRP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  <w:r>
              <w:rPr>
                <w:rFonts w:ascii="Sylfaen" w:hAnsi="Sylfaen"/>
                <w:noProof/>
                <w:sz w:val="21"/>
                <w:szCs w:val="24"/>
                <w:lang w:val="de-DE"/>
              </w:rPr>
              <w:t>18</w:t>
            </w:r>
          </w:p>
        </w:tc>
        <w:tc>
          <w:tcPr>
            <w:tcW w:w="2619" w:type="dxa"/>
            <w:shd w:val="clear" w:color="auto" w:fill="FBE4D5"/>
          </w:tcPr>
          <w:p w:rsidR="00D30670" w:rsidRDefault="00D3067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  <w:r>
              <w:rPr>
                <w:rFonts w:ascii="Sylfaen" w:hAnsi="Sylfaen"/>
                <w:noProof/>
                <w:sz w:val="21"/>
                <w:szCs w:val="24"/>
                <w:lang w:val="de-DE"/>
              </w:rPr>
              <w:t>17</w:t>
            </w:r>
          </w:p>
          <w:p w:rsidR="00D30670" w:rsidRPr="00D30670" w:rsidRDefault="00D30670" w:rsidP="00D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  <w:p w:rsidR="00D30670" w:rsidRPr="00D30670" w:rsidRDefault="00D30670" w:rsidP="00D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  <w:p w:rsidR="00D30670" w:rsidRDefault="00D30670" w:rsidP="00D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  <w:p w:rsidR="00D30670" w:rsidRPr="00D30670" w:rsidRDefault="00D30670" w:rsidP="00D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  <w:r>
              <w:rPr>
                <w:rFonts w:ascii="Sylfaen" w:hAnsi="Sylfaen"/>
                <w:sz w:val="21"/>
                <w:szCs w:val="24"/>
                <w:lang w:val="de-DE"/>
              </w:rPr>
              <w:t>12</w:t>
            </w:r>
          </w:p>
        </w:tc>
        <w:tc>
          <w:tcPr>
            <w:tcW w:w="2619" w:type="dxa"/>
            <w:shd w:val="clear" w:color="auto" w:fill="FBE4D5"/>
          </w:tcPr>
          <w:p w:rsidR="00717A99" w:rsidRPr="00D30670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Default="00D30670" w:rsidP="00D3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D30670">
              <w:rPr>
                <w:rFonts w:ascii="Sylfaen" w:hAnsi="Sylfaen"/>
                <w:noProof/>
                <w:sz w:val="21"/>
                <w:szCs w:val="24"/>
              </w:rPr>
              <w:t>Takim në MASHT,  Divizioni për Aftesim Profesional  dhe perfaqesuesin nga AKK, m</w:t>
            </w:r>
            <w:r>
              <w:rPr>
                <w:rFonts w:ascii="Sylfaen" w:hAnsi="Sylfaen"/>
                <w:noProof/>
                <w:sz w:val="21"/>
                <w:szCs w:val="24"/>
              </w:rPr>
              <w:t xml:space="preserve">ë </w:t>
            </w:r>
            <w:r w:rsidRPr="00D30670">
              <w:rPr>
                <w:rFonts w:ascii="Sylfaen" w:hAnsi="Sylfaen"/>
                <w:noProof/>
                <w:sz w:val="21"/>
                <w:szCs w:val="24"/>
              </w:rPr>
              <w:t xml:space="preserve">14.11.2018 </w:t>
            </w:r>
          </w:p>
          <w:p w:rsidR="00046076" w:rsidRDefault="00046076" w:rsidP="00D3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D30670" w:rsidRPr="00D30670" w:rsidRDefault="00D30670" w:rsidP="00D3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Takim me KIESA, </w:t>
            </w:r>
            <w:r>
              <w:rPr>
                <w:rFonts w:ascii="Sylfaen" w:hAnsi="Sylfaen"/>
                <w:noProof/>
                <w:sz w:val="21"/>
                <w:szCs w:val="24"/>
              </w:rPr>
              <w:lastRenderedPageBreak/>
              <w:t>19.09.2018</w:t>
            </w:r>
          </w:p>
        </w:tc>
        <w:tc>
          <w:tcPr>
            <w:tcW w:w="2619" w:type="dxa"/>
            <w:shd w:val="clear" w:color="auto" w:fill="FBE4D5"/>
          </w:tcPr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lastRenderedPageBreak/>
              <w:t>4</w:t>
            </w:r>
          </w:p>
          <w:p w:rsidR="00046076" w:rsidRPr="00046076" w:rsidRDefault="00046076" w:rsidP="00046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046076" w:rsidRPr="00046076" w:rsidRDefault="00046076" w:rsidP="00046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046076" w:rsidRDefault="00046076" w:rsidP="00046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046076" w:rsidRPr="00046076" w:rsidRDefault="00046076" w:rsidP="00046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lastRenderedPageBreak/>
              <w:t>3</w:t>
            </w:r>
          </w:p>
        </w:tc>
        <w:tc>
          <w:tcPr>
            <w:tcW w:w="2619" w:type="dxa"/>
            <w:shd w:val="clear" w:color="auto" w:fill="FBE4D5"/>
          </w:tcPr>
          <w:p w:rsidR="00717A99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lastRenderedPageBreak/>
              <w:t>4</w:t>
            </w:r>
          </w:p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046076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046076" w:rsidRPr="00D30670" w:rsidRDefault="0004607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lastRenderedPageBreak/>
              <w:t>3</w:t>
            </w:r>
          </w:p>
        </w:tc>
        <w:tc>
          <w:tcPr>
            <w:tcW w:w="2619" w:type="dxa"/>
            <w:shd w:val="clear" w:color="auto" w:fill="FBE4D5"/>
          </w:tcPr>
          <w:p w:rsidR="00717A99" w:rsidRPr="00D30670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lastRenderedPageBreak/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Pr="001935D5" w:rsidRDefault="009F582C" w:rsidP="00B75750">
      <w:pPr>
        <w:spacing w:after="24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 xml:space="preserve">Komentet e </w:t>
      </w:r>
      <w:proofErr w:type="spellStart"/>
      <w:r>
        <w:rPr>
          <w:rFonts w:ascii="Times New Roman" w:eastAsia="Calibri" w:hAnsi="Times New Roman"/>
          <w:sz w:val="24"/>
          <w:szCs w:val="24"/>
          <w:lang w:val="sq-AL" w:eastAsia="sq-AL"/>
        </w:rPr>
        <w:t>marrura</w:t>
      </w:r>
      <w:proofErr w:type="spellEnd"/>
      <w:r>
        <w:rPr>
          <w:rFonts w:ascii="Times New Roman" w:eastAsia="Calibri" w:hAnsi="Times New Roman"/>
          <w:sz w:val="24"/>
          <w:szCs w:val="24"/>
          <w:lang w:val="sq-AL" w:eastAsia="sq-AL"/>
        </w:rPr>
        <w:t xml:space="preserve"> nga MASHT na kanë ndihmuar në referimin m</w:t>
      </w:r>
      <w:r w:rsidR="001935D5">
        <w:rPr>
          <w:rFonts w:ascii="Times New Roman" w:eastAsia="Calibri" w:hAnsi="Times New Roman"/>
          <w:sz w:val="24"/>
          <w:szCs w:val="24"/>
          <w:lang w:val="sq-AL" w:eastAsia="sq-AL"/>
        </w:rPr>
        <w:t xml:space="preserve">ë të saktë për kualifikimin që duhet ta kenë udhërrëfyesit turistik të certifikuar. Ndërsa komentet e dërguara nga përfaqësuesi i Altavia Travel, nuk janë marr në tersi </w:t>
      </w:r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 xml:space="preserve">pasi që janë </w:t>
      </w:r>
      <w:proofErr w:type="spellStart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>vlersuar</w:t>
      </w:r>
      <w:proofErr w:type="spellEnd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 xml:space="preserve"> se mund të jenë barrierë për sektorin privat. Ndërsa kemi marr parasysh rekomandimin për konsultim edhe me </w:t>
      </w:r>
      <w:proofErr w:type="spellStart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>Shoqaten</w:t>
      </w:r>
      <w:proofErr w:type="spellEnd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 xml:space="preserve"> për </w:t>
      </w:r>
      <w:proofErr w:type="spellStart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>Sigurme</w:t>
      </w:r>
      <w:proofErr w:type="spellEnd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 xml:space="preserve"> të </w:t>
      </w:r>
      <w:proofErr w:type="spellStart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>Kosoves</w:t>
      </w:r>
      <w:proofErr w:type="spellEnd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 xml:space="preserve"> </w:t>
      </w:r>
      <w:proofErr w:type="spellStart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>pë</w:t>
      </w:r>
      <w:proofErr w:type="spellEnd"/>
      <w:r w:rsidR="00B75750">
        <w:rPr>
          <w:rFonts w:ascii="Times New Roman" w:eastAsia="Calibri" w:hAnsi="Times New Roman"/>
          <w:sz w:val="24"/>
          <w:szCs w:val="24"/>
          <w:lang w:val="sq-AL" w:eastAsia="sq-AL"/>
        </w:rPr>
        <w:t xml:space="preserve"> disa produkte të reja që implikohen nga ky projektligj.</w:t>
      </w:r>
    </w:p>
    <w:p w:rsidR="00DC4A9B" w:rsidRPr="009A7A9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  <w:lang w:val="sq-AL"/>
        </w:rPr>
      </w:pPr>
      <w:r w:rsidRPr="009A7A99">
        <w:rPr>
          <w:rFonts w:ascii="Sylfaen" w:eastAsia="Calibri" w:hAnsi="Sylfaen"/>
          <w:b/>
          <w:noProof/>
          <w:sz w:val="24"/>
          <w:szCs w:val="24"/>
          <w:lang w:val="sq-AL"/>
        </w:rPr>
        <w:t>Hapat e ardhshëm</w:t>
      </w:r>
    </w:p>
    <w:p w:rsidR="008860B9" w:rsidRPr="00B75750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  <w:lang w:val="sq-AL"/>
        </w:rPr>
      </w:pPr>
    </w:p>
    <w:p w:rsidR="00DC4A9B" w:rsidRPr="009A7A99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Pas përfundimit të procesit të konsultimit </w:t>
      </w:r>
      <w:r w:rsidR="00BC4366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paraprak dhe </w:t>
      </w:r>
      <w:r w:rsidR="00E94A8D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konsultimit publik i cil</w:t>
      </w:r>
      <w:r w:rsidR="001215C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i</w:t>
      </w:r>
      <w:r w:rsidR="00E94A8D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është bërë në pajtim me udhëzuesit dhe standardet përkatëse për konsultime publike të nxjerra në pajtim me RRPQ</w:t>
      </w:r>
      <w:r w:rsidR="001215C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, zyrtari përgjegjës për hartimin e projekt</w:t>
      </w:r>
      <w:r w:rsidR="00CE6A4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rregullores</w:t>
      </w:r>
      <w:r w:rsidR="001215C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ia dërgon projekt aktin normativ drejtorit të departamentit Ligjor të ministrisë përkatëse</w:t>
      </w:r>
      <w:r w:rsidR="001215C8" w:rsidRPr="009A7A99">
        <w:rPr>
          <w:noProof/>
          <w:lang w:val="sq-AL"/>
        </w:rPr>
        <w:t xml:space="preserve"> </w:t>
      </w:r>
      <w:r w:rsidR="001215C8" w:rsidRPr="009A7A99">
        <w:rPr>
          <w:rFonts w:ascii="Sylfaen" w:hAnsi="Sylfaen"/>
          <w:i/>
          <w:noProof/>
          <w:sz w:val="24"/>
          <w:szCs w:val="24"/>
          <w:lang w:val="sq-AL"/>
        </w:rPr>
        <w:t xml:space="preserve">i cili </w:t>
      </w:r>
      <w:r w:rsidR="001215C8" w:rsidRPr="009A7A99">
        <w:rPr>
          <w:noProof/>
          <w:lang w:val="sq-AL"/>
        </w:rPr>
        <w:t xml:space="preserve"> </w:t>
      </w:r>
      <w:r w:rsidR="001215C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nëse nuk ka vërejtje, ia dërgon projekt aktin normativ për shqyrtim dhe miratim Ministrit përkatës përmes Sekretarit të Përgjithshëm të ministrisë përkatës</w:t>
      </w:r>
      <w:r w:rsidR="00CE6A4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e</w:t>
      </w:r>
      <w:r w:rsidR="001215C8" w:rsidRPr="009A7A99">
        <w:rPr>
          <w:rFonts w:ascii="Sylfaen" w:eastAsia="Calibri" w:hAnsi="Sylfaen"/>
          <w:i/>
          <w:noProof/>
          <w:sz w:val="24"/>
          <w:szCs w:val="24"/>
          <w:lang w:val="sq-AL"/>
        </w:rPr>
        <w:t>.</w:t>
      </w:r>
    </w:p>
    <w:p w:rsidR="001215C8" w:rsidRPr="009A7A99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1215C8" w:rsidRPr="009A7A99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</w:p>
    <w:p w:rsidR="001215C8" w:rsidRPr="009A7A99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  <w:lang w:val="sq-AL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317"/>
        <w:gridCol w:w="3004"/>
      </w:tblGrid>
      <w:tr w:rsidR="00B53F59" w:rsidRPr="00407A62" w:rsidTr="000A2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317" w:type="dxa"/>
            <w:shd w:val="clear" w:color="auto" w:fill="FBE4D5"/>
            <w:hideMark/>
          </w:tcPr>
          <w:p w:rsidR="00B53F59" w:rsidRPr="00886FB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de-DE"/>
              </w:rPr>
            </w:pPr>
            <w:r w:rsidRPr="00886FB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de-DE"/>
              </w:rPr>
              <w:t>Përgjigja nga Ministria</w:t>
            </w:r>
          </w:p>
          <w:p w:rsidR="00B53F59" w:rsidRPr="00886FB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de-DE"/>
              </w:rPr>
            </w:pPr>
            <w:r w:rsidRPr="00886FB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de-DE"/>
              </w:rPr>
              <w:t>E pranuar plotësisht</w:t>
            </w:r>
          </w:p>
          <w:p w:rsidR="00B53F59" w:rsidRPr="00886FB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de-DE"/>
              </w:rPr>
            </w:pPr>
            <w:r w:rsidRPr="00886FB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de-DE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0A27EF">
        <w:trPr>
          <w:trHeight w:val="510"/>
        </w:trPr>
        <w:tc>
          <w:tcPr>
            <w:tcW w:w="1772" w:type="dxa"/>
          </w:tcPr>
          <w:p w:rsidR="007C4FE1" w:rsidRPr="00407A62" w:rsidRDefault="000E6A92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t>MASHT, Divizioni për Aftësim Profesional</w:t>
            </w:r>
          </w:p>
        </w:tc>
        <w:tc>
          <w:tcPr>
            <w:tcW w:w="3376" w:type="dxa"/>
          </w:tcPr>
          <w:p w:rsidR="00B53F59" w:rsidRPr="00407A62" w:rsidRDefault="000E6A92" w:rsidP="00486EBC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t xml:space="preserve">Të </w:t>
            </w:r>
            <w:r w:rsidR="00486EBC">
              <w:rPr>
                <w:rFonts w:ascii="Sylfaen" w:eastAsia="MS Mincho" w:hAnsi="Sylfaen"/>
                <w:noProof/>
                <w:sz w:val="24"/>
                <w:szCs w:val="24"/>
              </w:rPr>
              <w:t xml:space="preserve">percaktohet Kualifikimi I Udhërrfyesit turistik  të specializuar, eshte rekomanduar fjala </w:t>
            </w:r>
            <w:r w:rsidR="00486EBC" w:rsidRPr="00486EBC">
              <w:rPr>
                <w:rFonts w:ascii="Sylfaen" w:eastAsia="MS Mincho" w:hAnsi="Sylfaen"/>
                <w:noProof/>
                <w:sz w:val="24"/>
                <w:szCs w:val="24"/>
              </w:rPr>
              <w:t xml:space="preserve">kualifikimet e specializuara per shembull </w:t>
            </w:r>
            <w:r w:rsidR="00486EBC" w:rsidRPr="00486EBC">
              <w:rPr>
                <w:rFonts w:ascii="Sylfaen" w:eastAsia="MS Mincho" w:hAnsi="Sylfaen"/>
                <w:noProof/>
                <w:sz w:val="24"/>
                <w:szCs w:val="24"/>
              </w:rPr>
              <w:lastRenderedPageBreak/>
              <w:t>Udhërrëfues  turistik për zhytje</w:t>
            </w:r>
            <w:r w:rsidR="00486EBC">
              <w:rPr>
                <w:rFonts w:ascii="Sylfaen" w:eastAsia="MS Mincho" w:hAnsi="Sylfaen"/>
                <w:noProof/>
                <w:sz w:val="24"/>
                <w:szCs w:val="24"/>
              </w:rPr>
              <w:t>,</w:t>
            </w:r>
            <w:r w:rsidR="00486EBC" w:rsidRPr="00486EBC">
              <w:rPr>
                <w:rFonts w:ascii="Sylfaen" w:eastAsia="MS Mincho" w:hAnsi="Sylfaen"/>
                <w:noProof/>
                <w:sz w:val="24"/>
                <w:szCs w:val="24"/>
              </w:rPr>
              <w:t xml:space="preserve">  hiking   etj</w:t>
            </w:r>
          </w:p>
        </w:tc>
        <w:tc>
          <w:tcPr>
            <w:tcW w:w="2317" w:type="dxa"/>
          </w:tcPr>
          <w:p w:rsidR="00B53F59" w:rsidRPr="00407A62" w:rsidRDefault="00486EBC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lastRenderedPageBreak/>
              <w:t>E pranuar plotësisht</w:t>
            </w:r>
          </w:p>
        </w:tc>
        <w:tc>
          <w:tcPr>
            <w:tcW w:w="3004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0A27EF" w:rsidTr="000A27EF">
        <w:trPr>
          <w:trHeight w:val="440"/>
        </w:trPr>
        <w:tc>
          <w:tcPr>
            <w:tcW w:w="1772" w:type="dxa"/>
            <w:hideMark/>
          </w:tcPr>
          <w:p w:rsidR="00B53F59" w:rsidRPr="00407A62" w:rsidRDefault="00486EBC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lastRenderedPageBreak/>
              <w:t>A</w:t>
            </w:r>
            <w:r w:rsidR="00373C34">
              <w:rPr>
                <w:rFonts w:ascii="Sylfaen" w:eastAsia="MS Mincho" w:hAnsi="Sylfaen"/>
                <w:noProof/>
                <w:sz w:val="24"/>
                <w:szCs w:val="24"/>
              </w:rPr>
              <w:t>l</w:t>
            </w:r>
            <w:r>
              <w:rPr>
                <w:rFonts w:ascii="Sylfaen" w:eastAsia="MS Mincho" w:hAnsi="Sylfaen"/>
                <w:noProof/>
                <w:sz w:val="24"/>
                <w:szCs w:val="24"/>
              </w:rPr>
              <w:t>tavia Travel</w:t>
            </w:r>
          </w:p>
        </w:tc>
        <w:tc>
          <w:tcPr>
            <w:tcW w:w="3376" w:type="dxa"/>
          </w:tcPr>
          <w:p w:rsidR="00B53F59" w:rsidRDefault="00486EBC" w:rsidP="000A27EF">
            <w:pPr>
              <w:pStyle w:val="ListParagraph"/>
              <w:numPr>
                <w:ilvl w:val="0"/>
                <w:numId w:val="14"/>
              </w:numPr>
              <w:ind w:left="365"/>
              <w:rPr>
                <w:szCs w:val="24"/>
              </w:rPr>
            </w:pPr>
            <w:r w:rsidRPr="000A27EF">
              <w:rPr>
                <w:rFonts w:ascii="Sylfaen" w:eastAsia="MS Mincho" w:hAnsi="Sylfaen"/>
                <w:noProof/>
                <w:szCs w:val="24"/>
                <w:lang w:val="en-US"/>
              </w:rPr>
              <w:t>Eshte rekomanduar të vendoset si kriter per funskionimin e agjencive turistike që të</w:t>
            </w:r>
            <w:r w:rsidRPr="000A27EF">
              <w:rPr>
                <w:rFonts w:ascii="Sylfaen" w:eastAsia="MS Mincho" w:hAnsi="Sylfaen"/>
                <w:noProof/>
                <w:szCs w:val="24"/>
              </w:rPr>
              <w:t xml:space="preserve"> kenë stafin e kualifikuar sipas kualifikimeve </w:t>
            </w:r>
            <w:proofErr w:type="gramStart"/>
            <w:r w:rsidRPr="000A27EF">
              <w:t>nga</w:t>
            </w:r>
            <w:r w:rsidRPr="000A27EF">
              <w:rPr>
                <w:szCs w:val="24"/>
              </w:rPr>
              <w:t xml:space="preserve">  korrnize</w:t>
            </w:r>
            <w:proofErr w:type="gramEnd"/>
            <w:r w:rsidRPr="000A27EF">
              <w:rPr>
                <w:szCs w:val="24"/>
              </w:rPr>
              <w:t xml:space="preserve"> kombetare te kualifikimeve, dhe dhe akredituar nga Agjencia Kombetare te Kualifikimeve. </w:t>
            </w:r>
          </w:p>
          <w:p w:rsidR="000A27EF" w:rsidRPr="000A27EF" w:rsidRDefault="000A27EF" w:rsidP="000A27EF">
            <w:pPr>
              <w:pStyle w:val="ListParagraph"/>
              <w:ind w:left="365" w:hanging="360"/>
              <w:rPr>
                <w:szCs w:val="24"/>
              </w:rPr>
            </w:pPr>
          </w:p>
          <w:p w:rsidR="000A27EF" w:rsidRDefault="00486EBC" w:rsidP="000A27EF">
            <w:pPr>
              <w:pStyle w:val="ListParagraph"/>
              <w:numPr>
                <w:ilvl w:val="0"/>
                <w:numId w:val="14"/>
              </w:numPr>
              <w:ind w:left="365"/>
              <w:rPr>
                <w:szCs w:val="24"/>
              </w:rPr>
            </w:pPr>
            <w:r w:rsidRPr="000A27EF">
              <w:rPr>
                <w:szCs w:val="24"/>
              </w:rPr>
              <w:t xml:space="preserve">Ofrimi i sigurimeve nga Tour Operatorët </w:t>
            </w:r>
            <w:r w:rsidR="000A27EF" w:rsidRPr="000A27EF">
              <w:rPr>
                <w:szCs w:val="24"/>
              </w:rPr>
              <w:t xml:space="preserve"> - </w:t>
            </w:r>
            <w:r w:rsidRPr="000A27EF">
              <w:rPr>
                <w:szCs w:val="24"/>
              </w:rPr>
              <w:t xml:space="preserve">eshte komentuar se I eshte vene peshe </w:t>
            </w:r>
            <w:r w:rsidR="000A27EF" w:rsidRPr="000A27EF">
              <w:rPr>
                <w:szCs w:val="24"/>
              </w:rPr>
              <w:t>e madhe agjencive dhe se k</w:t>
            </w:r>
            <w:r w:rsidRPr="000A27EF">
              <w:rPr>
                <w:szCs w:val="24"/>
              </w:rPr>
              <w:t xml:space="preserve">eto mund te jene te kushtueshme dhe ndoshta te pakapshme per agjencite e vogla. </w:t>
            </w:r>
            <w:r w:rsidR="000A27EF" w:rsidRPr="000A27EF">
              <w:rPr>
                <w:szCs w:val="24"/>
              </w:rPr>
              <w:t xml:space="preserve"> </w:t>
            </w:r>
          </w:p>
          <w:p w:rsidR="000A27EF" w:rsidRPr="000A27EF" w:rsidRDefault="000A27EF" w:rsidP="000A27EF">
            <w:pPr>
              <w:pStyle w:val="ListParagraph"/>
              <w:rPr>
                <w:szCs w:val="24"/>
              </w:rPr>
            </w:pPr>
          </w:p>
          <w:p w:rsidR="00486EBC" w:rsidRPr="000A27EF" w:rsidRDefault="000A27EF" w:rsidP="000A27EF">
            <w:pPr>
              <w:pStyle w:val="ListParagraph"/>
              <w:numPr>
                <w:ilvl w:val="0"/>
                <w:numId w:val="14"/>
              </w:numPr>
              <w:ind w:left="365"/>
              <w:jc w:val="left"/>
              <w:rPr>
                <w:rFonts w:ascii="Sylfaen" w:eastAsia="MS Mincho" w:hAnsi="Sylfaen"/>
                <w:noProof/>
                <w:szCs w:val="24"/>
              </w:rPr>
            </w:pPr>
            <w:r w:rsidRPr="000A27EF">
              <w:rPr>
                <w:szCs w:val="24"/>
              </w:rPr>
              <w:t>Gjithashtu</w:t>
            </w:r>
            <w:r>
              <w:rPr>
                <w:szCs w:val="24"/>
              </w:rPr>
              <w:t xml:space="preserve"> </w:t>
            </w:r>
            <w:r w:rsidRPr="000A27EF">
              <w:rPr>
                <w:szCs w:val="24"/>
              </w:rPr>
              <w:t xml:space="preserve">eshte </w:t>
            </w:r>
            <w:r>
              <w:rPr>
                <w:szCs w:val="24"/>
              </w:rPr>
              <w:t>r</w:t>
            </w:r>
            <w:r w:rsidRPr="000A27EF">
              <w:rPr>
                <w:szCs w:val="24"/>
              </w:rPr>
              <w:t>ekomanduar qe p</w:t>
            </w:r>
            <w:r w:rsidR="00486EBC" w:rsidRPr="000A27EF">
              <w:rPr>
                <w:szCs w:val="24"/>
              </w:rPr>
              <w:t>ara se te futen ne ligj, perpiluesi duhet te sigurohet qe keto produkte/polisa ekzistojne ne tregun e sigurimeve te Kosoves.</w:t>
            </w:r>
          </w:p>
        </w:tc>
        <w:tc>
          <w:tcPr>
            <w:tcW w:w="2317" w:type="dxa"/>
          </w:tcPr>
          <w:p w:rsidR="000A27EF" w:rsidRPr="00407A62" w:rsidRDefault="000A27EF" w:rsidP="000A27EF">
            <w:pPr>
              <w:spacing w:after="0" w:line="240" w:lineRule="auto"/>
              <w:rPr>
                <w:rFonts w:ascii="Sylfaen" w:eastAsia="MS Mincho" w:hAnsi="Sylfaen"/>
                <w:b/>
                <w:bCs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noProof/>
                <w:sz w:val="24"/>
                <w:szCs w:val="24"/>
              </w:rPr>
              <w:t>E refuzuar</w:t>
            </w:r>
          </w:p>
          <w:p w:rsidR="00B53F59" w:rsidRPr="00486EBC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004" w:type="dxa"/>
            <w:hideMark/>
          </w:tcPr>
          <w:p w:rsidR="000A27EF" w:rsidRPr="000A27EF" w:rsidRDefault="000A27EF" w:rsidP="000A27EF">
            <w:pPr>
              <w:pStyle w:val="ListParagraph"/>
              <w:numPr>
                <w:ilvl w:val="0"/>
                <w:numId w:val="15"/>
              </w:numPr>
              <w:ind w:left="139" w:hanging="180"/>
              <w:rPr>
                <w:rFonts w:ascii="Sylfaen" w:eastAsia="MS Mincho" w:hAnsi="Sylfaen"/>
                <w:noProof/>
                <w:szCs w:val="24"/>
                <w:lang w:val="sq-AL"/>
              </w:rPr>
            </w:pPr>
            <w:r>
              <w:rPr>
                <w:szCs w:val="24"/>
                <w:lang w:val="sq-AL" w:eastAsia="sq-AL"/>
              </w:rPr>
              <w:t>Rekomandimi i parë nuk është refuzuar pasi që është</w:t>
            </w:r>
            <w:r w:rsidRPr="000A27EF">
              <w:rPr>
                <w:szCs w:val="24"/>
                <w:lang w:val="sq-AL" w:eastAsia="sq-AL"/>
              </w:rPr>
              <w:t xml:space="preserve"> vlerësuar</w:t>
            </w:r>
            <w:r>
              <w:rPr>
                <w:szCs w:val="24"/>
                <w:lang w:val="sq-AL" w:eastAsia="sq-AL"/>
              </w:rPr>
              <w:t xml:space="preserve"> edhe nga GP dhe PPSE </w:t>
            </w:r>
            <w:r w:rsidRPr="000A27EF">
              <w:rPr>
                <w:szCs w:val="24"/>
                <w:lang w:val="sq-AL" w:eastAsia="sq-AL"/>
              </w:rPr>
              <w:t xml:space="preserve"> se </w:t>
            </w:r>
            <w:r>
              <w:rPr>
                <w:szCs w:val="24"/>
                <w:lang w:val="sq-AL" w:eastAsia="sq-AL"/>
              </w:rPr>
              <w:t>ky kriter mund  të jet</w:t>
            </w:r>
            <w:r w:rsidRPr="000A27EF">
              <w:rPr>
                <w:szCs w:val="24"/>
                <w:lang w:val="sq-AL" w:eastAsia="sq-AL"/>
              </w:rPr>
              <w:t>ë barrierë për sektorin privat.</w:t>
            </w:r>
            <w:r>
              <w:rPr>
                <w:szCs w:val="24"/>
                <w:lang w:val="sq-AL" w:eastAsia="sq-AL"/>
              </w:rPr>
              <w:t xml:space="preserve"> Agjencitë Turistike kanë të drejtë të punësojnë staf me kualifikime sipas nevojave të tyre. </w:t>
            </w:r>
          </w:p>
          <w:p w:rsidR="000A27EF" w:rsidRDefault="000A27EF" w:rsidP="000A27EF">
            <w:pPr>
              <w:pStyle w:val="ListParagraph"/>
              <w:ind w:left="229"/>
              <w:rPr>
                <w:szCs w:val="24"/>
                <w:lang w:val="sq-AL" w:eastAsia="sq-AL"/>
              </w:rPr>
            </w:pPr>
          </w:p>
          <w:p w:rsidR="00B53F59" w:rsidRPr="000A27EF" w:rsidRDefault="00851EBD" w:rsidP="000A27EF">
            <w:pPr>
              <w:pStyle w:val="ListParagraph"/>
              <w:numPr>
                <w:ilvl w:val="0"/>
                <w:numId w:val="15"/>
              </w:numPr>
              <w:ind w:left="229" w:hanging="180"/>
              <w:rPr>
                <w:rFonts w:ascii="Sylfaen" w:eastAsia="MS Mincho" w:hAnsi="Sylfaen"/>
                <w:noProof/>
                <w:szCs w:val="24"/>
                <w:lang w:val="sq-AL"/>
              </w:rPr>
            </w:pPr>
            <w:r>
              <w:rPr>
                <w:szCs w:val="24"/>
                <w:lang w:val="sq-AL" w:eastAsia="sq-AL"/>
              </w:rPr>
              <w:t xml:space="preserve"> K</w:t>
            </w:r>
            <w:bookmarkStart w:id="0" w:name="_GoBack"/>
            <w:bookmarkEnd w:id="0"/>
            <w:r w:rsidR="000A27EF">
              <w:rPr>
                <w:szCs w:val="24"/>
                <w:lang w:val="sq-AL" w:eastAsia="sq-AL"/>
              </w:rPr>
              <w:t xml:space="preserve">y sigurim ka ardhur nga </w:t>
            </w:r>
            <w:proofErr w:type="spellStart"/>
            <w:r w:rsidR="000A27EF">
              <w:rPr>
                <w:szCs w:val="24"/>
                <w:lang w:val="sq-AL" w:eastAsia="sq-AL"/>
              </w:rPr>
              <w:t>konkludimet</w:t>
            </w:r>
            <w:proofErr w:type="spellEnd"/>
            <w:r w:rsidR="000A27EF">
              <w:rPr>
                <w:szCs w:val="24"/>
                <w:lang w:val="sq-AL" w:eastAsia="sq-AL"/>
              </w:rPr>
              <w:t xml:space="preserve"> e GP dhe është diskutuar me shumicën e palëve të </w:t>
            </w:r>
            <w:proofErr w:type="spellStart"/>
            <w:r w:rsidR="000A27EF">
              <w:rPr>
                <w:szCs w:val="24"/>
                <w:lang w:val="sq-AL" w:eastAsia="sq-AL"/>
              </w:rPr>
              <w:t>ineteresit</w:t>
            </w:r>
            <w:proofErr w:type="spellEnd"/>
            <w:r w:rsidR="000A27EF">
              <w:rPr>
                <w:szCs w:val="24"/>
                <w:lang w:val="sq-AL" w:eastAsia="sq-AL"/>
              </w:rPr>
              <w:t xml:space="preserve">. Shuma e mbulushemersie së sigurimeve të përcaktuara në Projektligj nuk mund të jenë më të vogla sepse është rrezik që të mos e mbulojnë dëmin që adresohet. Kjo </w:t>
            </w:r>
            <w:proofErr w:type="spellStart"/>
            <w:r w:rsidR="000A27EF">
              <w:rPr>
                <w:szCs w:val="24"/>
                <w:lang w:val="sq-AL" w:eastAsia="sq-AL"/>
              </w:rPr>
              <w:t>polisë</w:t>
            </w:r>
            <w:proofErr w:type="spellEnd"/>
            <w:r w:rsidR="000A27EF">
              <w:rPr>
                <w:szCs w:val="24"/>
                <w:lang w:val="sq-AL" w:eastAsia="sq-AL"/>
              </w:rPr>
              <w:t xml:space="preserve"> sigurimi ka për qëllim sigurimin e paketave turistike, sigurimin e mbarëvajtjes së turistit (udhëtarit). Pagesa e polices është vlerësuar se nuk është ndonjë shume  e madhe. </w:t>
            </w:r>
          </w:p>
          <w:p w:rsidR="000A27EF" w:rsidRPr="000A27EF" w:rsidRDefault="000A27EF" w:rsidP="000A27EF">
            <w:pPr>
              <w:pStyle w:val="ListParagraph"/>
              <w:rPr>
                <w:rFonts w:ascii="Sylfaen" w:eastAsia="MS Mincho" w:hAnsi="Sylfaen"/>
                <w:noProof/>
                <w:szCs w:val="24"/>
                <w:lang w:val="sq-AL"/>
              </w:rPr>
            </w:pPr>
          </w:p>
          <w:p w:rsidR="000A27EF" w:rsidRPr="000A27EF" w:rsidRDefault="000A27EF" w:rsidP="000A27EF">
            <w:pPr>
              <w:pStyle w:val="ListParagraph"/>
              <w:numPr>
                <w:ilvl w:val="0"/>
                <w:numId w:val="15"/>
              </w:numPr>
              <w:ind w:left="229" w:hanging="180"/>
              <w:rPr>
                <w:rFonts w:ascii="Sylfaen" w:eastAsia="MS Mincho" w:hAnsi="Sylfaen"/>
                <w:noProof/>
                <w:szCs w:val="24"/>
                <w:lang w:val="sq-AL"/>
              </w:rPr>
            </w:pPr>
            <w:r>
              <w:rPr>
                <w:rFonts w:ascii="Sylfaen" w:eastAsia="MS Mincho" w:hAnsi="Sylfaen"/>
                <w:noProof/>
                <w:szCs w:val="24"/>
                <w:lang w:val="sq-AL"/>
              </w:rPr>
              <w:t xml:space="preserve"> Rekomandimi i tretë nuk ka pasur efekt, sepse ne si MTI veçse e kemi pasur një kosultë me Shoqaten e Sigurimeve të Kosoves perpara se të draftohet ligji. Andaj ky rekomandim ka ardhur nga Altavia Travel pasi që ne e kemi marr pergjigjien per produketet e sigurimeve nga SHSK. </w:t>
            </w:r>
            <w:r w:rsidR="004A7E89">
              <w:rPr>
                <w:rFonts w:ascii="Sylfaen" w:eastAsia="MS Mincho" w:hAnsi="Sylfaen"/>
                <w:noProof/>
                <w:szCs w:val="24"/>
                <w:lang w:val="sq-AL"/>
              </w:rPr>
              <w:t xml:space="preserve">Kjo i eshte </w:t>
            </w:r>
            <w:r w:rsidR="004A7E89">
              <w:rPr>
                <w:rFonts w:ascii="Sylfaen" w:eastAsia="MS Mincho" w:hAnsi="Sylfaen"/>
                <w:noProof/>
                <w:szCs w:val="24"/>
                <w:lang w:val="sq-AL"/>
              </w:rPr>
              <w:lastRenderedPageBreak/>
              <w:t xml:space="preserve">interpretuar me shkrim permes nje pergjigje qe i kemi bere Altavia Travel per të gjitha rekomandimet nga ana e tyre. </w:t>
            </w:r>
          </w:p>
        </w:tc>
      </w:tr>
      <w:tr w:rsidR="00B53F59" w:rsidRPr="000A27EF" w:rsidTr="000A27EF">
        <w:trPr>
          <w:trHeight w:val="530"/>
        </w:trPr>
        <w:tc>
          <w:tcPr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A27EF" w:rsidTr="000A27E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A27EF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17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004" w:type="dxa"/>
          </w:tcPr>
          <w:p w:rsidR="00B53F59" w:rsidRPr="000A27EF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  <w:lang w:val="sq-AL"/>
              </w:rPr>
            </w:pPr>
          </w:p>
        </w:tc>
      </w:tr>
    </w:tbl>
    <w:p w:rsidR="00592F21" w:rsidRPr="000A27EF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q-AL"/>
        </w:rPr>
      </w:pPr>
    </w:p>
    <w:sectPr w:rsidR="00592F21" w:rsidRPr="000A27EF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2C" w:rsidRDefault="0048122C" w:rsidP="00531727">
      <w:pPr>
        <w:spacing w:after="0" w:line="240" w:lineRule="auto"/>
      </w:pPr>
      <w:r>
        <w:separator/>
      </w:r>
    </w:p>
    <w:p w:rsidR="0048122C" w:rsidRDefault="0048122C"/>
  </w:endnote>
  <w:endnote w:type="continuationSeparator" w:id="0">
    <w:p w:rsidR="0048122C" w:rsidRDefault="0048122C" w:rsidP="00531727">
      <w:pPr>
        <w:spacing w:after="0" w:line="240" w:lineRule="auto"/>
      </w:pPr>
      <w:r>
        <w:continuationSeparator/>
      </w:r>
    </w:p>
    <w:p w:rsidR="0048122C" w:rsidRDefault="0048122C"/>
  </w:endnote>
  <w:endnote w:type="continuationNotice" w:id="1">
    <w:p w:rsidR="0048122C" w:rsidRDefault="0048122C">
      <w:pPr>
        <w:spacing w:after="0" w:line="240" w:lineRule="auto"/>
      </w:pPr>
    </w:p>
    <w:p w:rsidR="0048122C" w:rsidRDefault="00481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2C" w:rsidRDefault="0048122C" w:rsidP="00531727">
      <w:pPr>
        <w:spacing w:after="0" w:line="240" w:lineRule="auto"/>
      </w:pPr>
      <w:r>
        <w:separator/>
      </w:r>
    </w:p>
    <w:p w:rsidR="0048122C" w:rsidRDefault="0048122C"/>
  </w:footnote>
  <w:footnote w:type="continuationSeparator" w:id="0">
    <w:p w:rsidR="0048122C" w:rsidRDefault="0048122C" w:rsidP="00531727">
      <w:pPr>
        <w:spacing w:after="0" w:line="240" w:lineRule="auto"/>
      </w:pPr>
      <w:r>
        <w:continuationSeparator/>
      </w:r>
    </w:p>
    <w:p w:rsidR="0048122C" w:rsidRDefault="0048122C"/>
  </w:footnote>
  <w:footnote w:type="continuationNotice" w:id="1">
    <w:p w:rsidR="0048122C" w:rsidRDefault="0048122C">
      <w:pPr>
        <w:spacing w:after="0" w:line="240" w:lineRule="auto"/>
      </w:pPr>
    </w:p>
    <w:p w:rsidR="0048122C" w:rsidRDefault="00481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73AAF"/>
    <w:multiLevelType w:val="hybridMultilevel"/>
    <w:tmpl w:val="749CE88E"/>
    <w:lvl w:ilvl="0" w:tplc="E2184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E1580B"/>
    <w:multiLevelType w:val="hybridMultilevel"/>
    <w:tmpl w:val="EE2CB7E0"/>
    <w:lvl w:ilvl="0" w:tplc="E86898DE">
      <w:start w:val="1"/>
      <w:numFmt w:val="decimal"/>
      <w:lvlText w:val="%1."/>
      <w:lvlJc w:val="left"/>
      <w:pPr>
        <w:ind w:left="720" w:hanging="360"/>
      </w:pPr>
      <w:rPr>
        <w:rFonts w:ascii="Sylfaen" w:eastAsia="MS Mincho" w:hAnsi="Sylfae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3B8C"/>
    <w:multiLevelType w:val="hybridMultilevel"/>
    <w:tmpl w:val="082A6BCE"/>
    <w:lvl w:ilvl="0" w:tplc="7CC0530A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46076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27EF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E6A92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49D5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935D5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5DFC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B79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3C34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155F"/>
    <w:rsid w:val="00432809"/>
    <w:rsid w:val="00434CFD"/>
    <w:rsid w:val="00443C66"/>
    <w:rsid w:val="0044695E"/>
    <w:rsid w:val="00457C84"/>
    <w:rsid w:val="00461838"/>
    <w:rsid w:val="004636D4"/>
    <w:rsid w:val="00463C58"/>
    <w:rsid w:val="00463FB9"/>
    <w:rsid w:val="00466DA3"/>
    <w:rsid w:val="004673B0"/>
    <w:rsid w:val="00474FDE"/>
    <w:rsid w:val="00477E3C"/>
    <w:rsid w:val="0048122C"/>
    <w:rsid w:val="00484ED9"/>
    <w:rsid w:val="00486EBC"/>
    <w:rsid w:val="00490384"/>
    <w:rsid w:val="00491E43"/>
    <w:rsid w:val="004944CD"/>
    <w:rsid w:val="00497A0D"/>
    <w:rsid w:val="004A5301"/>
    <w:rsid w:val="004A5B27"/>
    <w:rsid w:val="004A7E89"/>
    <w:rsid w:val="004B3C42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25E81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1EBD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6FB2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52690"/>
    <w:rsid w:val="00954A75"/>
    <w:rsid w:val="00954E1F"/>
    <w:rsid w:val="009643C9"/>
    <w:rsid w:val="00965CC2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A7A99"/>
    <w:rsid w:val="009C2C73"/>
    <w:rsid w:val="009E166F"/>
    <w:rsid w:val="009E238C"/>
    <w:rsid w:val="009E4FE0"/>
    <w:rsid w:val="009E6373"/>
    <w:rsid w:val="009F0EE7"/>
    <w:rsid w:val="009F328D"/>
    <w:rsid w:val="009F582C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750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0670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2F1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30"/>
    <w:rsid w:val="00EB1A1F"/>
    <w:rsid w:val="00EB28A6"/>
    <w:rsid w:val="00EB72DD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0788-72D4-4275-B057-76E294B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Lumturije Geci</cp:lastModifiedBy>
  <cp:revision>13</cp:revision>
  <cp:lastPrinted>2016-02-18T09:50:00Z</cp:lastPrinted>
  <dcterms:created xsi:type="dcterms:W3CDTF">2019-02-06T11:23:00Z</dcterms:created>
  <dcterms:modified xsi:type="dcterms:W3CDTF">2019-03-04T14:07:00Z</dcterms:modified>
</cp:coreProperties>
</file>