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4A5" w:rsidRPr="00B6593D" w:rsidRDefault="00CF44A5" w:rsidP="00CF44A5">
      <w:pPr>
        <w:rPr>
          <w:rFonts w:cstheme="majorHAnsi"/>
          <w:color w:val="000000" w:themeColor="text1"/>
        </w:rPr>
      </w:pPr>
      <w:r w:rsidRPr="00B6593D">
        <w:rPr>
          <w:rFonts w:cstheme="majorHAnsi"/>
          <w:noProof/>
          <w:color w:val="000000" w:themeColor="text1"/>
        </w:rPr>
        <w:drawing>
          <wp:anchor distT="0" distB="0" distL="114300" distR="114300" simplePos="0" relativeHeight="251672576" behindDoc="1" locked="0" layoutInCell="1" allowOverlap="1" wp14:anchorId="64592600" wp14:editId="4B13C789">
            <wp:simplePos x="0" y="0"/>
            <wp:positionH relativeFrom="margin">
              <wp:posOffset>2447925</wp:posOffset>
            </wp:positionH>
            <wp:positionV relativeFrom="paragraph">
              <wp:posOffset>0</wp:posOffset>
            </wp:positionV>
            <wp:extent cx="1066800" cy="10477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66800" cy="1047750"/>
                    </a:xfrm>
                    <a:prstGeom prst="rect">
                      <a:avLst/>
                    </a:prstGeom>
                    <a:noFill/>
                  </pic:spPr>
                </pic:pic>
              </a:graphicData>
            </a:graphic>
          </wp:anchor>
        </w:drawing>
      </w:r>
    </w:p>
    <w:p w:rsidR="00CF44A5" w:rsidRPr="00B6593D" w:rsidRDefault="00CF44A5" w:rsidP="00CF44A5">
      <w:pPr>
        <w:rPr>
          <w:rFonts w:cstheme="majorHAnsi"/>
          <w:color w:val="000000" w:themeColor="text1"/>
        </w:rPr>
      </w:pPr>
    </w:p>
    <w:p w:rsidR="00CF44A5" w:rsidRPr="00B6593D" w:rsidRDefault="00CF44A5" w:rsidP="00CF44A5">
      <w:pPr>
        <w:pStyle w:val="Heading1"/>
        <w:spacing w:line="276" w:lineRule="auto"/>
        <w:rPr>
          <w:rFonts w:cstheme="majorHAnsi"/>
          <w:color w:val="000000" w:themeColor="text1"/>
          <w:sz w:val="22"/>
          <w:szCs w:val="22"/>
        </w:rPr>
      </w:pPr>
    </w:p>
    <w:p w:rsidR="00CF44A5" w:rsidRPr="00B6593D" w:rsidRDefault="00CF44A5" w:rsidP="00CF44A5">
      <w:pPr>
        <w:rPr>
          <w:rFonts w:cstheme="majorHAnsi"/>
          <w:color w:val="000000" w:themeColor="text1"/>
        </w:rPr>
      </w:pPr>
    </w:p>
    <w:p w:rsidR="00CF44A5" w:rsidRPr="00B6593D" w:rsidRDefault="00CF44A5" w:rsidP="00CF44A5">
      <w:pPr>
        <w:rPr>
          <w:rFonts w:cstheme="majorHAnsi"/>
          <w:color w:val="000000" w:themeColor="text1"/>
        </w:rPr>
      </w:pPr>
    </w:p>
    <w:p w:rsidR="00CF44A5" w:rsidRPr="00B6593D" w:rsidRDefault="00CF44A5" w:rsidP="00CF44A5">
      <w:pPr>
        <w:spacing w:line="276" w:lineRule="auto"/>
        <w:jc w:val="center"/>
        <w:rPr>
          <w:rFonts w:eastAsia="Batang" w:cstheme="majorHAnsi"/>
          <w:b/>
          <w:bCs/>
          <w:color w:val="000000" w:themeColor="text1"/>
          <w:szCs w:val="22"/>
          <w:u w:val="single"/>
        </w:rPr>
      </w:pPr>
      <w:r w:rsidRPr="00B6593D">
        <w:rPr>
          <w:rFonts w:eastAsia="MS Mincho" w:cstheme="majorHAnsi"/>
          <w:b/>
          <w:bCs/>
          <w:color w:val="000000" w:themeColor="text1"/>
          <w:szCs w:val="22"/>
          <w:u w:val="single"/>
        </w:rPr>
        <w:t>Republika e Kosovës</w:t>
      </w:r>
    </w:p>
    <w:p w:rsidR="00CF44A5" w:rsidRPr="00B6593D" w:rsidRDefault="00CF44A5" w:rsidP="00CF44A5">
      <w:pPr>
        <w:spacing w:line="276" w:lineRule="auto"/>
        <w:jc w:val="center"/>
        <w:rPr>
          <w:rFonts w:eastAsia="MS Mincho" w:cstheme="majorHAnsi"/>
          <w:b/>
          <w:bCs/>
          <w:color w:val="000000" w:themeColor="text1"/>
          <w:szCs w:val="22"/>
          <w:u w:val="single"/>
        </w:rPr>
      </w:pPr>
      <w:r w:rsidRPr="00B6593D">
        <w:rPr>
          <w:rFonts w:eastAsia="Batang" w:cstheme="majorHAnsi"/>
          <w:b/>
          <w:bCs/>
          <w:color w:val="000000" w:themeColor="text1"/>
          <w:szCs w:val="22"/>
          <w:u w:val="single"/>
        </w:rPr>
        <w:t>Republika Kosova-</w:t>
      </w:r>
      <w:r w:rsidRPr="00B6593D">
        <w:rPr>
          <w:rFonts w:eastAsia="MS Mincho" w:cstheme="majorHAnsi"/>
          <w:b/>
          <w:bCs/>
          <w:color w:val="000000" w:themeColor="text1"/>
          <w:szCs w:val="22"/>
          <w:u w:val="single"/>
        </w:rPr>
        <w:t>Republicof Kosovo</w:t>
      </w:r>
    </w:p>
    <w:p w:rsidR="00CF44A5" w:rsidRPr="00B6593D" w:rsidRDefault="00CF44A5" w:rsidP="00CF44A5">
      <w:pPr>
        <w:spacing w:line="276" w:lineRule="auto"/>
        <w:jc w:val="center"/>
        <w:rPr>
          <w:rFonts w:eastAsia="MS Mincho" w:cstheme="majorHAnsi"/>
          <w:b/>
          <w:bCs/>
          <w:color w:val="000000" w:themeColor="text1"/>
          <w:szCs w:val="22"/>
          <w:u w:val="single"/>
        </w:rPr>
      </w:pPr>
      <w:r w:rsidRPr="00B6593D">
        <w:rPr>
          <w:rFonts w:eastAsiaTheme="majorEastAsia" w:cstheme="majorHAnsi"/>
          <w:i/>
          <w:iCs/>
          <w:color w:val="000000" w:themeColor="text1"/>
          <w:spacing w:val="5"/>
          <w:kern w:val="28"/>
          <w:szCs w:val="22"/>
          <w:u w:val="single"/>
        </w:rPr>
        <w:t>Qeveria –Vlada-Government</w:t>
      </w:r>
    </w:p>
    <w:p w:rsidR="00CF44A5" w:rsidRPr="00B6593D" w:rsidRDefault="00CF44A5" w:rsidP="00CF44A5">
      <w:pPr>
        <w:spacing w:line="276" w:lineRule="auto"/>
        <w:jc w:val="center"/>
        <w:rPr>
          <w:rFonts w:cstheme="majorHAnsi"/>
          <w:b/>
          <w:bCs/>
          <w:color w:val="000000" w:themeColor="text1"/>
          <w:szCs w:val="22"/>
          <w:u w:val="single"/>
        </w:rPr>
      </w:pPr>
      <w:r w:rsidRPr="00B6593D">
        <w:rPr>
          <w:rFonts w:cstheme="majorHAnsi"/>
          <w:i/>
          <w:iCs/>
          <w:color w:val="000000" w:themeColor="text1"/>
          <w:szCs w:val="22"/>
          <w:u w:val="single"/>
        </w:rPr>
        <w:t>Zyra e Kryeministrit-UredPremijera-Office of the Prime Minister</w:t>
      </w:r>
    </w:p>
    <w:p w:rsidR="00CF44A5" w:rsidRPr="00B6593D" w:rsidRDefault="00CF44A5" w:rsidP="00CF44A5">
      <w:pPr>
        <w:spacing w:line="276" w:lineRule="auto"/>
        <w:jc w:val="center"/>
        <w:rPr>
          <w:rFonts w:eastAsia="MS Mincho" w:cstheme="majorHAnsi"/>
          <w:color w:val="000000" w:themeColor="text1"/>
          <w:szCs w:val="22"/>
          <w:u w:val="single"/>
        </w:rPr>
      </w:pPr>
      <w:r w:rsidRPr="00B6593D">
        <w:rPr>
          <w:rFonts w:eastAsia="MS Mincho" w:cstheme="majorHAnsi"/>
          <w:color w:val="000000" w:themeColor="text1"/>
          <w:szCs w:val="22"/>
          <w:u w:val="single"/>
        </w:rPr>
        <w:t>Zyra për Qeverisje të Mirë/KancelarijazaDobroUpravljanje/Office onGoodGovernance</w:t>
      </w:r>
    </w:p>
    <w:p w:rsidR="00CF44A5" w:rsidRPr="00B6593D" w:rsidRDefault="00CF44A5" w:rsidP="00CF44A5">
      <w:pPr>
        <w:spacing w:line="276" w:lineRule="auto"/>
        <w:rPr>
          <w:rFonts w:cstheme="majorHAnsi"/>
          <w:b/>
          <w:color w:val="000000" w:themeColor="text1"/>
          <w:szCs w:val="22"/>
          <w:u w:val="single"/>
        </w:rPr>
      </w:pPr>
    </w:p>
    <w:p w:rsidR="00CF44A5" w:rsidRPr="00B6593D" w:rsidRDefault="00CF44A5" w:rsidP="00CF44A5">
      <w:pPr>
        <w:rPr>
          <w:rFonts w:cstheme="majorHAnsi"/>
          <w:color w:val="000000" w:themeColor="text1"/>
        </w:rPr>
      </w:pPr>
    </w:p>
    <w:p w:rsidR="00CF44A5" w:rsidRPr="00B6593D" w:rsidRDefault="00CF44A5" w:rsidP="00CF44A5">
      <w:pPr>
        <w:rPr>
          <w:rFonts w:cstheme="majorHAnsi"/>
          <w:color w:val="000000" w:themeColor="text1"/>
        </w:rPr>
      </w:pPr>
    </w:p>
    <w:p w:rsidR="00CF44A5" w:rsidRPr="00B6593D" w:rsidRDefault="00CF44A5" w:rsidP="00CF44A5">
      <w:pPr>
        <w:spacing w:line="276" w:lineRule="auto"/>
        <w:jc w:val="center"/>
        <w:rPr>
          <w:rFonts w:cstheme="majorHAnsi"/>
          <w:color w:val="000000" w:themeColor="text1"/>
          <w:sz w:val="48"/>
          <w:szCs w:val="48"/>
        </w:rPr>
      </w:pPr>
    </w:p>
    <w:p w:rsidR="00221DE3" w:rsidRPr="00B6593D" w:rsidRDefault="00221DE3" w:rsidP="00CF44A5">
      <w:pPr>
        <w:spacing w:line="276" w:lineRule="auto"/>
        <w:jc w:val="center"/>
        <w:rPr>
          <w:rFonts w:cstheme="majorHAnsi"/>
          <w:color w:val="000000" w:themeColor="text1"/>
          <w:sz w:val="48"/>
          <w:szCs w:val="48"/>
        </w:rPr>
      </w:pPr>
    </w:p>
    <w:p w:rsidR="00221DE3" w:rsidRPr="00B6593D" w:rsidRDefault="00221DE3" w:rsidP="00CF44A5">
      <w:pPr>
        <w:spacing w:line="276" w:lineRule="auto"/>
        <w:jc w:val="center"/>
        <w:rPr>
          <w:rFonts w:cstheme="majorHAnsi"/>
          <w:color w:val="000000" w:themeColor="text1"/>
          <w:sz w:val="48"/>
          <w:szCs w:val="48"/>
        </w:rPr>
      </w:pPr>
    </w:p>
    <w:p w:rsidR="00CF44A5" w:rsidRPr="00B6593D" w:rsidRDefault="00CF44A5" w:rsidP="00CF44A5">
      <w:pPr>
        <w:pStyle w:val="NormalWeb"/>
        <w:spacing w:before="0" w:beforeAutospacing="0" w:after="340" w:afterAutospacing="0" w:line="276" w:lineRule="auto"/>
        <w:jc w:val="center"/>
        <w:rPr>
          <w:rFonts w:asciiTheme="majorHAnsi" w:hAnsiTheme="majorHAnsi" w:cstheme="majorHAnsi"/>
          <w:b/>
          <w:color w:val="000000" w:themeColor="text1"/>
          <w:sz w:val="56"/>
          <w:szCs w:val="56"/>
          <w:u w:val="single"/>
        </w:rPr>
      </w:pPr>
      <w:r w:rsidRPr="00B6593D">
        <w:rPr>
          <w:rFonts w:asciiTheme="majorHAnsi" w:hAnsiTheme="majorHAnsi" w:cstheme="majorHAnsi"/>
          <w:b/>
          <w:color w:val="000000" w:themeColor="text1"/>
          <w:sz w:val="56"/>
          <w:szCs w:val="56"/>
          <w:u w:val="single"/>
        </w:rPr>
        <w:t>Strategjia qeveritare për bashkëpunim me shoqërinë civile 2019</w:t>
      </w:r>
      <w:r w:rsidR="00B6593D">
        <w:rPr>
          <w:rFonts w:asciiTheme="majorHAnsi" w:hAnsiTheme="majorHAnsi" w:cstheme="majorHAnsi"/>
          <w:b/>
          <w:color w:val="000000" w:themeColor="text1"/>
          <w:sz w:val="56"/>
          <w:szCs w:val="56"/>
          <w:u w:val="single"/>
        </w:rPr>
        <w:t xml:space="preserve"> </w:t>
      </w:r>
      <w:r w:rsidRPr="00B6593D">
        <w:rPr>
          <w:rFonts w:asciiTheme="majorHAnsi" w:hAnsiTheme="majorHAnsi" w:cstheme="majorHAnsi"/>
          <w:b/>
          <w:color w:val="000000" w:themeColor="text1"/>
          <w:sz w:val="56"/>
          <w:szCs w:val="56"/>
          <w:u w:val="single"/>
        </w:rPr>
        <w:t>–2023</w:t>
      </w:r>
    </w:p>
    <w:p w:rsidR="00CF44A5" w:rsidRPr="00B6593D" w:rsidRDefault="00CF44A5" w:rsidP="00CF44A5">
      <w:pPr>
        <w:spacing w:line="276" w:lineRule="auto"/>
        <w:jc w:val="center"/>
        <w:rPr>
          <w:rFonts w:cstheme="majorHAnsi"/>
          <w:b/>
          <w:color w:val="000000" w:themeColor="text1"/>
          <w:szCs w:val="22"/>
          <w:u w:val="single"/>
        </w:rPr>
      </w:pPr>
    </w:p>
    <w:p w:rsidR="00CF44A5" w:rsidRPr="00B6593D" w:rsidRDefault="00CF44A5" w:rsidP="00CF44A5">
      <w:pPr>
        <w:spacing w:line="276" w:lineRule="auto"/>
        <w:jc w:val="center"/>
        <w:rPr>
          <w:rFonts w:cstheme="majorHAnsi"/>
          <w:b/>
          <w:color w:val="000000" w:themeColor="text1"/>
          <w:szCs w:val="22"/>
          <w:u w:val="single"/>
        </w:rPr>
      </w:pPr>
    </w:p>
    <w:p w:rsidR="00CF44A5" w:rsidRPr="00B6593D" w:rsidRDefault="00CF44A5" w:rsidP="00CF44A5">
      <w:pPr>
        <w:spacing w:line="276" w:lineRule="auto"/>
        <w:jc w:val="center"/>
        <w:rPr>
          <w:rFonts w:cstheme="majorHAnsi"/>
          <w:b/>
          <w:color w:val="000000" w:themeColor="text1"/>
          <w:szCs w:val="22"/>
          <w:u w:val="single"/>
        </w:rPr>
      </w:pPr>
    </w:p>
    <w:p w:rsidR="00CF44A5" w:rsidRPr="00B6593D" w:rsidRDefault="00CF44A5" w:rsidP="00CF44A5">
      <w:pPr>
        <w:spacing w:line="276" w:lineRule="auto"/>
        <w:jc w:val="center"/>
        <w:rPr>
          <w:rFonts w:cstheme="majorHAnsi"/>
          <w:b/>
          <w:color w:val="000000" w:themeColor="text1"/>
          <w:szCs w:val="22"/>
          <w:u w:val="single"/>
        </w:rPr>
      </w:pPr>
    </w:p>
    <w:p w:rsidR="00CF44A5" w:rsidRPr="00B6593D" w:rsidRDefault="00CF44A5" w:rsidP="00CF44A5">
      <w:pPr>
        <w:spacing w:line="276" w:lineRule="auto"/>
        <w:rPr>
          <w:rFonts w:cstheme="majorHAnsi"/>
          <w:b/>
          <w:color w:val="000000" w:themeColor="text1"/>
          <w:szCs w:val="22"/>
          <w:u w:val="single"/>
        </w:rPr>
      </w:pPr>
    </w:p>
    <w:p w:rsidR="00221DE3" w:rsidRPr="00B6593D" w:rsidRDefault="00221DE3" w:rsidP="00CF44A5">
      <w:pPr>
        <w:spacing w:line="276" w:lineRule="auto"/>
        <w:jc w:val="center"/>
        <w:rPr>
          <w:rFonts w:cstheme="majorHAnsi"/>
          <w:b/>
          <w:color w:val="000000" w:themeColor="text1"/>
          <w:szCs w:val="22"/>
          <w:u w:val="single"/>
        </w:rPr>
      </w:pPr>
    </w:p>
    <w:p w:rsidR="00221DE3" w:rsidRPr="00B6593D" w:rsidRDefault="00221DE3" w:rsidP="00CF44A5">
      <w:pPr>
        <w:spacing w:line="276" w:lineRule="auto"/>
        <w:jc w:val="center"/>
        <w:rPr>
          <w:rFonts w:cstheme="majorHAnsi"/>
          <w:b/>
          <w:color w:val="000000" w:themeColor="text1"/>
          <w:szCs w:val="22"/>
          <w:u w:val="single"/>
        </w:rPr>
      </w:pPr>
    </w:p>
    <w:p w:rsidR="00221DE3" w:rsidRPr="00B6593D" w:rsidRDefault="00221DE3" w:rsidP="00CF44A5">
      <w:pPr>
        <w:spacing w:line="276" w:lineRule="auto"/>
        <w:jc w:val="center"/>
        <w:rPr>
          <w:rFonts w:cstheme="majorHAnsi"/>
          <w:b/>
          <w:color w:val="000000" w:themeColor="text1"/>
          <w:szCs w:val="22"/>
          <w:u w:val="single"/>
        </w:rPr>
      </w:pPr>
    </w:p>
    <w:p w:rsidR="00CF44A5" w:rsidRPr="00B6593D" w:rsidRDefault="00CF44A5" w:rsidP="00CF44A5">
      <w:pPr>
        <w:spacing w:line="276" w:lineRule="auto"/>
        <w:jc w:val="center"/>
        <w:rPr>
          <w:rFonts w:cstheme="majorHAnsi"/>
          <w:b/>
          <w:color w:val="000000" w:themeColor="text1"/>
          <w:szCs w:val="22"/>
          <w:u w:val="single"/>
        </w:rPr>
      </w:pPr>
      <w:r w:rsidRPr="00B6593D">
        <w:rPr>
          <w:rFonts w:cstheme="majorHAnsi"/>
          <w:b/>
          <w:color w:val="000000" w:themeColor="text1"/>
          <w:szCs w:val="22"/>
          <w:u w:val="single"/>
        </w:rPr>
        <w:t>Prishtinë 201</w:t>
      </w:r>
      <w:r w:rsidR="00715F6E" w:rsidRPr="00B6593D">
        <w:rPr>
          <w:rFonts w:cstheme="majorHAnsi"/>
          <w:b/>
          <w:color w:val="000000" w:themeColor="text1"/>
          <w:szCs w:val="22"/>
          <w:u w:val="single"/>
        </w:rPr>
        <w:t>9</w:t>
      </w:r>
    </w:p>
    <w:p w:rsidR="00CF44A5" w:rsidRPr="00B6593D" w:rsidRDefault="00CF44A5" w:rsidP="00CF44A5">
      <w:pPr>
        <w:spacing w:line="276" w:lineRule="auto"/>
        <w:rPr>
          <w:rFonts w:cstheme="majorHAnsi"/>
          <w:b/>
          <w:color w:val="000000" w:themeColor="text1"/>
          <w:szCs w:val="22"/>
          <w:u w:val="single"/>
        </w:rPr>
      </w:pPr>
    </w:p>
    <w:p w:rsidR="00CF44A5" w:rsidRPr="00B6593D" w:rsidRDefault="00CF44A5" w:rsidP="00CF44A5">
      <w:pPr>
        <w:spacing w:after="160" w:line="259" w:lineRule="auto"/>
        <w:contextualSpacing w:val="0"/>
        <w:jc w:val="left"/>
        <w:rPr>
          <w:rFonts w:cstheme="majorHAnsi"/>
          <w:color w:val="000000" w:themeColor="text1"/>
          <w:sz w:val="24"/>
        </w:rPr>
      </w:pPr>
      <w:r w:rsidRPr="00B6593D">
        <w:rPr>
          <w:rFonts w:cstheme="majorHAnsi"/>
          <w:color w:val="000000" w:themeColor="text1"/>
          <w:sz w:val="24"/>
        </w:rPr>
        <w:br w:type="page"/>
      </w:r>
    </w:p>
    <w:p w:rsidR="00CF44A5" w:rsidRPr="00B6593D" w:rsidRDefault="00CF44A5" w:rsidP="00CF44A5">
      <w:pPr>
        <w:spacing w:after="160" w:line="259" w:lineRule="auto"/>
        <w:contextualSpacing w:val="0"/>
        <w:jc w:val="left"/>
        <w:rPr>
          <w:rFonts w:eastAsiaTheme="majorEastAsia" w:cstheme="majorHAnsi"/>
          <w:b/>
          <w:color w:val="000000" w:themeColor="text1"/>
          <w:sz w:val="24"/>
        </w:rPr>
      </w:pPr>
      <w:r w:rsidRPr="00B6593D">
        <w:rPr>
          <w:rFonts w:eastAsiaTheme="majorEastAsia" w:cstheme="majorHAnsi"/>
          <w:b/>
          <w:color w:val="000000" w:themeColor="text1"/>
          <w:sz w:val="24"/>
        </w:rPr>
        <w:lastRenderedPageBreak/>
        <w:t>Lista e shkurtesave</w:t>
      </w:r>
    </w:p>
    <w:tbl>
      <w:tblPr>
        <w:tblW w:w="0" w:type="auto"/>
        <w:tblLook w:val="04A0" w:firstRow="1" w:lastRow="0" w:firstColumn="1" w:lastColumn="0" w:noHBand="0" w:noVBand="1"/>
      </w:tblPr>
      <w:tblGrid>
        <w:gridCol w:w="1228"/>
        <w:gridCol w:w="8132"/>
      </w:tblGrid>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ZKM</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Zyra e Kryeministrit</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ZQM-ZKM</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Zyra për Qeverisje të Mirë - Zyra e Kryeministrit</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OSHC</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Organizatat e shoqërisë civile</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DOJQ</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Departamenti për OJQ-të</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KE</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 xml:space="preserve">Komisioni </w:t>
            </w:r>
            <w:r w:rsidR="00474B0F" w:rsidRPr="00B6593D">
              <w:rPr>
                <w:rFonts w:cstheme="majorHAnsi"/>
                <w:color w:val="000000" w:themeColor="text1"/>
                <w:szCs w:val="22"/>
              </w:rPr>
              <w:t>Evropian</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BE</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Bashkimi Evropian</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KCSF</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Fondacioni Kosovar për Shoqëri Civile</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IKAP</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Instituti i Kosovës për Administratë Publike</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IKS</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Iniciativa Kosovare për Stabilitet</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M&amp;V</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Monitorimi dhe vlerësimi</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MAPL</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Ministria e Administrimit të pushtetit lokal</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MKRS</w:t>
            </w:r>
          </w:p>
        </w:tc>
        <w:tc>
          <w:tcPr>
            <w:tcW w:w="8132" w:type="dxa"/>
            <w:shd w:val="clear" w:color="auto" w:fill="auto"/>
          </w:tcPr>
          <w:p w:rsidR="00CF44A5" w:rsidRPr="00B6593D" w:rsidRDefault="00474B0F" w:rsidP="00221DE3">
            <w:pPr>
              <w:spacing w:line="360" w:lineRule="auto"/>
              <w:rPr>
                <w:rFonts w:cstheme="majorHAnsi"/>
                <w:color w:val="000000" w:themeColor="text1"/>
                <w:szCs w:val="22"/>
              </w:rPr>
            </w:pPr>
            <w:r w:rsidRPr="00B6593D">
              <w:rPr>
                <w:rFonts w:cstheme="majorHAnsi"/>
                <w:color w:val="000000" w:themeColor="text1"/>
                <w:szCs w:val="22"/>
              </w:rPr>
              <w:t>Ministria</w:t>
            </w:r>
            <w:r w:rsidR="00CF44A5" w:rsidRPr="00B6593D">
              <w:rPr>
                <w:rFonts w:cstheme="majorHAnsi"/>
                <w:color w:val="000000" w:themeColor="text1"/>
                <w:szCs w:val="22"/>
              </w:rPr>
              <w:t xml:space="preserve"> e kulturës, rinisë dhe sportit</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MIE</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Ministria e integrimit evropian</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MPMS</w:t>
            </w:r>
          </w:p>
        </w:tc>
        <w:tc>
          <w:tcPr>
            <w:tcW w:w="8132" w:type="dxa"/>
            <w:shd w:val="clear" w:color="auto" w:fill="auto"/>
          </w:tcPr>
          <w:p w:rsidR="00CF44A5" w:rsidRPr="00B6593D" w:rsidRDefault="00474B0F" w:rsidP="00221DE3">
            <w:pPr>
              <w:spacing w:line="360" w:lineRule="auto"/>
              <w:rPr>
                <w:rFonts w:cstheme="majorHAnsi"/>
                <w:color w:val="000000" w:themeColor="text1"/>
                <w:szCs w:val="22"/>
              </w:rPr>
            </w:pPr>
            <w:r w:rsidRPr="00B6593D">
              <w:rPr>
                <w:rFonts w:cstheme="majorHAnsi"/>
                <w:color w:val="000000" w:themeColor="text1"/>
                <w:szCs w:val="22"/>
              </w:rPr>
              <w:t>Ministria</w:t>
            </w:r>
            <w:r w:rsidR="00CF44A5" w:rsidRPr="00B6593D">
              <w:rPr>
                <w:rFonts w:cstheme="majorHAnsi"/>
                <w:color w:val="000000" w:themeColor="text1"/>
                <w:szCs w:val="22"/>
              </w:rPr>
              <w:t xml:space="preserve"> e punës dhe mirëqenies sociale</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MF</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Ministria e Financave</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MAP</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Ministria e Administratës Publike</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OJQ</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Organizata joqeveritare</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OPP</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 xml:space="preserve">Organizatë </w:t>
            </w:r>
            <w:r w:rsidR="00715F6E" w:rsidRPr="00B6593D">
              <w:rPr>
                <w:rFonts w:cstheme="majorHAnsi"/>
                <w:color w:val="000000" w:themeColor="text1"/>
                <w:szCs w:val="22"/>
              </w:rPr>
              <w:t xml:space="preserve">me status </w:t>
            </w:r>
            <w:r w:rsidRPr="00B6593D">
              <w:rPr>
                <w:rFonts w:cstheme="majorHAnsi"/>
                <w:color w:val="000000" w:themeColor="text1"/>
                <w:szCs w:val="22"/>
              </w:rPr>
              <w:t>për përfitim publik</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ASHB</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Analiza  e shkakut bazë</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AT</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Asistenca teknike</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ATK</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Administrata tatimore e Kosovës</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GP</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Grupi punues</w:t>
            </w:r>
          </w:p>
        </w:tc>
      </w:tr>
      <w:tr w:rsidR="00CF44A5" w:rsidRPr="00B6593D" w:rsidTr="00221DE3">
        <w:tc>
          <w:tcPr>
            <w:tcW w:w="1228"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EP</w:t>
            </w:r>
          </w:p>
        </w:tc>
        <w:tc>
          <w:tcPr>
            <w:tcW w:w="8132" w:type="dxa"/>
            <w:shd w:val="clear" w:color="auto" w:fill="auto"/>
          </w:tcPr>
          <w:p w:rsidR="00CF44A5" w:rsidRPr="00B6593D" w:rsidRDefault="00CF44A5" w:rsidP="00221DE3">
            <w:pPr>
              <w:spacing w:line="360" w:lineRule="auto"/>
              <w:rPr>
                <w:rFonts w:cstheme="majorHAnsi"/>
                <w:color w:val="000000" w:themeColor="text1"/>
                <w:szCs w:val="22"/>
              </w:rPr>
            </w:pPr>
            <w:r w:rsidRPr="00B6593D">
              <w:rPr>
                <w:rFonts w:cstheme="majorHAnsi"/>
                <w:color w:val="000000" w:themeColor="text1"/>
                <w:szCs w:val="22"/>
              </w:rPr>
              <w:t>Ekipi i punës</w:t>
            </w:r>
          </w:p>
        </w:tc>
      </w:tr>
    </w:tbl>
    <w:p w:rsidR="00CF44A5" w:rsidRPr="00B6593D" w:rsidRDefault="00CF44A5" w:rsidP="00CF44A5">
      <w:pPr>
        <w:spacing w:after="160" w:line="259" w:lineRule="auto"/>
        <w:contextualSpacing w:val="0"/>
        <w:jc w:val="left"/>
        <w:rPr>
          <w:rFonts w:eastAsiaTheme="majorEastAsia" w:cstheme="majorHAnsi"/>
          <w:b/>
          <w:color w:val="000000" w:themeColor="text1"/>
          <w:sz w:val="24"/>
        </w:rPr>
      </w:pPr>
    </w:p>
    <w:p w:rsidR="00CF44A5" w:rsidRPr="00B6593D" w:rsidRDefault="00CF44A5" w:rsidP="00CF44A5">
      <w:pPr>
        <w:spacing w:after="160" w:line="259" w:lineRule="auto"/>
        <w:contextualSpacing w:val="0"/>
        <w:jc w:val="left"/>
        <w:rPr>
          <w:rFonts w:eastAsiaTheme="majorEastAsia" w:cstheme="majorHAnsi"/>
          <w:b/>
          <w:color w:val="000000" w:themeColor="text1"/>
          <w:sz w:val="24"/>
        </w:rPr>
      </w:pPr>
    </w:p>
    <w:p w:rsidR="00CF44A5" w:rsidRPr="00B6593D" w:rsidRDefault="00CF44A5" w:rsidP="00CF44A5">
      <w:pPr>
        <w:spacing w:after="160" w:line="259" w:lineRule="auto"/>
        <w:contextualSpacing w:val="0"/>
        <w:jc w:val="left"/>
        <w:rPr>
          <w:rFonts w:eastAsiaTheme="majorEastAsia" w:cstheme="majorHAnsi"/>
          <w:b/>
          <w:color w:val="000000" w:themeColor="text1"/>
          <w:sz w:val="24"/>
        </w:rPr>
      </w:pPr>
    </w:p>
    <w:p w:rsidR="00CF44A5" w:rsidRPr="00B6593D" w:rsidRDefault="00CF44A5" w:rsidP="00CF44A5">
      <w:pPr>
        <w:spacing w:after="160" w:line="259" w:lineRule="auto"/>
        <w:contextualSpacing w:val="0"/>
        <w:jc w:val="left"/>
        <w:rPr>
          <w:rFonts w:eastAsiaTheme="majorEastAsia" w:cstheme="majorHAnsi"/>
          <w:b/>
          <w:color w:val="000000" w:themeColor="text1"/>
          <w:sz w:val="24"/>
        </w:rPr>
      </w:pPr>
    </w:p>
    <w:p w:rsidR="00CF44A5" w:rsidRPr="00B6593D" w:rsidRDefault="00CF44A5" w:rsidP="00CF44A5">
      <w:pPr>
        <w:spacing w:after="160" w:line="259" w:lineRule="auto"/>
        <w:contextualSpacing w:val="0"/>
        <w:jc w:val="left"/>
        <w:rPr>
          <w:rFonts w:eastAsiaTheme="majorEastAsia" w:cstheme="majorHAnsi"/>
          <w:b/>
          <w:color w:val="000000" w:themeColor="text1"/>
          <w:sz w:val="24"/>
        </w:rPr>
      </w:pPr>
    </w:p>
    <w:p w:rsidR="00CF44A5" w:rsidRPr="00B6593D" w:rsidRDefault="00CF44A5" w:rsidP="00CF44A5">
      <w:pPr>
        <w:spacing w:after="160" w:line="259" w:lineRule="auto"/>
        <w:contextualSpacing w:val="0"/>
        <w:jc w:val="left"/>
        <w:rPr>
          <w:rFonts w:eastAsiaTheme="majorEastAsia" w:cstheme="majorHAnsi"/>
          <w:b/>
          <w:color w:val="000000" w:themeColor="text1"/>
          <w:sz w:val="24"/>
        </w:rPr>
      </w:pPr>
    </w:p>
    <w:sdt>
      <w:sdtPr>
        <w:rPr>
          <w:rFonts w:eastAsiaTheme="minorHAnsi" w:cstheme="majorHAnsi"/>
          <w:color w:val="000000" w:themeColor="text1"/>
          <w:sz w:val="22"/>
          <w:szCs w:val="24"/>
          <w:lang w:val="sq-AL"/>
        </w:rPr>
        <w:id w:val="1489132118"/>
        <w:docPartObj>
          <w:docPartGallery w:val="Table of Contents"/>
          <w:docPartUnique/>
        </w:docPartObj>
      </w:sdtPr>
      <w:sdtEndPr>
        <w:rPr>
          <w:b/>
          <w:bCs/>
        </w:rPr>
      </w:sdtEndPr>
      <w:sdtContent>
        <w:p w:rsidR="00CF44A5" w:rsidRPr="00B6593D" w:rsidRDefault="00B65B5E" w:rsidP="00CF44A5">
          <w:pPr>
            <w:pStyle w:val="TOCHeading"/>
            <w:rPr>
              <w:rFonts w:cstheme="majorHAnsi"/>
              <w:b/>
              <w:color w:val="000000" w:themeColor="text1"/>
              <w:u w:val="single"/>
              <w:lang w:val="sq-AL"/>
            </w:rPr>
          </w:pPr>
          <w:r w:rsidRPr="00B6593D">
            <w:rPr>
              <w:rFonts w:cstheme="majorHAnsi"/>
              <w:b/>
              <w:color w:val="000000" w:themeColor="text1"/>
              <w:u w:val="single"/>
              <w:lang w:val="sq-AL"/>
            </w:rPr>
            <w:t>Tabela e p</w:t>
          </w:r>
          <w:r w:rsidR="00CF44A5" w:rsidRPr="00B6593D">
            <w:rPr>
              <w:rFonts w:cstheme="majorHAnsi"/>
              <w:b/>
              <w:color w:val="000000" w:themeColor="text1"/>
              <w:u w:val="single"/>
              <w:lang w:val="sq-AL"/>
            </w:rPr>
            <w:t>ërmbajtj</w:t>
          </w:r>
          <w:r w:rsidRPr="00B6593D">
            <w:rPr>
              <w:rFonts w:cstheme="majorHAnsi"/>
              <w:b/>
              <w:color w:val="000000" w:themeColor="text1"/>
              <w:u w:val="single"/>
              <w:lang w:val="sq-AL"/>
            </w:rPr>
            <w:t>ës</w:t>
          </w:r>
        </w:p>
        <w:p w:rsidR="00CF44A5" w:rsidRPr="00B6593D" w:rsidRDefault="00CF44A5" w:rsidP="00CF44A5">
          <w:pPr>
            <w:rPr>
              <w:rFonts w:cstheme="majorHAnsi"/>
              <w:color w:val="000000" w:themeColor="text1"/>
            </w:rPr>
          </w:pPr>
        </w:p>
        <w:p w:rsidR="004C0A33" w:rsidRDefault="00CF44A5">
          <w:pPr>
            <w:pStyle w:val="TOC1"/>
            <w:tabs>
              <w:tab w:val="right" w:leader="dot" w:pos="9350"/>
            </w:tabs>
            <w:rPr>
              <w:rFonts w:asciiTheme="minorHAnsi" w:eastAsiaTheme="minorEastAsia" w:hAnsiTheme="minorHAnsi" w:cstheme="minorBidi"/>
              <w:noProof/>
              <w:szCs w:val="22"/>
              <w:lang w:val="en-150" w:eastAsia="en-150"/>
            </w:rPr>
          </w:pPr>
          <w:r w:rsidRPr="00B6593D">
            <w:rPr>
              <w:rFonts w:cstheme="majorHAnsi"/>
              <w:b/>
              <w:bCs/>
              <w:color w:val="000000" w:themeColor="text1"/>
            </w:rPr>
            <w:fldChar w:fldCharType="begin"/>
          </w:r>
          <w:r w:rsidRPr="00B6593D">
            <w:rPr>
              <w:rFonts w:cstheme="majorHAnsi"/>
              <w:b/>
              <w:bCs/>
              <w:color w:val="000000" w:themeColor="text1"/>
            </w:rPr>
            <w:instrText xml:space="preserve"> TOC \o "1-3" \h \z \u </w:instrText>
          </w:r>
          <w:r w:rsidRPr="00B6593D">
            <w:rPr>
              <w:rFonts w:cstheme="majorHAnsi"/>
              <w:b/>
              <w:bCs/>
              <w:color w:val="000000" w:themeColor="text1"/>
            </w:rPr>
            <w:fldChar w:fldCharType="separate"/>
          </w:r>
          <w:hyperlink w:anchor="_Toc536000955" w:history="1">
            <w:r w:rsidR="004C0A33" w:rsidRPr="003622DD">
              <w:rPr>
                <w:rStyle w:val="Hyperlink"/>
                <w:rFonts w:cstheme="majorHAnsi"/>
                <w:noProof/>
              </w:rPr>
              <w:t>PËRMBLEDHJE EKZEKUTIVE</w:t>
            </w:r>
            <w:r w:rsidR="004C0A33">
              <w:rPr>
                <w:noProof/>
                <w:webHidden/>
              </w:rPr>
              <w:tab/>
            </w:r>
            <w:r w:rsidR="004C0A33">
              <w:rPr>
                <w:noProof/>
                <w:webHidden/>
              </w:rPr>
              <w:fldChar w:fldCharType="begin"/>
            </w:r>
            <w:r w:rsidR="004C0A33">
              <w:rPr>
                <w:noProof/>
                <w:webHidden/>
              </w:rPr>
              <w:instrText xml:space="preserve"> PAGEREF _Toc536000955 \h </w:instrText>
            </w:r>
            <w:r w:rsidR="004C0A33">
              <w:rPr>
                <w:noProof/>
                <w:webHidden/>
              </w:rPr>
            </w:r>
            <w:r w:rsidR="004C0A33">
              <w:rPr>
                <w:noProof/>
                <w:webHidden/>
              </w:rPr>
              <w:fldChar w:fldCharType="separate"/>
            </w:r>
            <w:r w:rsidR="009317EB">
              <w:rPr>
                <w:noProof/>
                <w:webHidden/>
              </w:rPr>
              <w:t>4</w:t>
            </w:r>
            <w:r w:rsidR="004C0A33">
              <w:rPr>
                <w:noProof/>
                <w:webHidden/>
              </w:rPr>
              <w:fldChar w:fldCharType="end"/>
            </w:r>
          </w:hyperlink>
        </w:p>
        <w:p w:rsidR="004C0A33" w:rsidRDefault="00683A01">
          <w:pPr>
            <w:pStyle w:val="TOC1"/>
            <w:tabs>
              <w:tab w:val="right" w:leader="dot" w:pos="9350"/>
            </w:tabs>
            <w:rPr>
              <w:rFonts w:asciiTheme="minorHAnsi" w:eastAsiaTheme="minorEastAsia" w:hAnsiTheme="minorHAnsi" w:cstheme="minorBidi"/>
              <w:noProof/>
              <w:szCs w:val="22"/>
              <w:lang w:val="en-150" w:eastAsia="en-150"/>
            </w:rPr>
          </w:pPr>
          <w:hyperlink w:anchor="_Toc536000956" w:history="1">
            <w:r w:rsidR="004C0A33" w:rsidRPr="003622DD">
              <w:rPr>
                <w:rStyle w:val="Hyperlink"/>
                <w:rFonts w:cstheme="majorHAnsi"/>
                <w:noProof/>
              </w:rPr>
              <w:t>Hyrje</w:t>
            </w:r>
            <w:r w:rsidR="004C0A33">
              <w:rPr>
                <w:noProof/>
                <w:webHidden/>
              </w:rPr>
              <w:tab/>
            </w:r>
            <w:r w:rsidR="004C0A33">
              <w:rPr>
                <w:noProof/>
                <w:webHidden/>
              </w:rPr>
              <w:fldChar w:fldCharType="begin"/>
            </w:r>
            <w:r w:rsidR="004C0A33">
              <w:rPr>
                <w:noProof/>
                <w:webHidden/>
              </w:rPr>
              <w:instrText xml:space="preserve"> PAGEREF _Toc536000956 \h </w:instrText>
            </w:r>
            <w:r w:rsidR="004C0A33">
              <w:rPr>
                <w:noProof/>
                <w:webHidden/>
              </w:rPr>
            </w:r>
            <w:r w:rsidR="004C0A33">
              <w:rPr>
                <w:noProof/>
                <w:webHidden/>
              </w:rPr>
              <w:fldChar w:fldCharType="separate"/>
            </w:r>
            <w:r w:rsidR="009317EB">
              <w:rPr>
                <w:noProof/>
                <w:webHidden/>
              </w:rPr>
              <w:t>5</w:t>
            </w:r>
            <w:r w:rsidR="004C0A33">
              <w:rPr>
                <w:noProof/>
                <w:webHidden/>
              </w:rPr>
              <w:fldChar w:fldCharType="end"/>
            </w:r>
          </w:hyperlink>
        </w:p>
        <w:p w:rsidR="004C0A33" w:rsidRDefault="00683A01">
          <w:pPr>
            <w:pStyle w:val="TOC1"/>
            <w:tabs>
              <w:tab w:val="right" w:leader="dot" w:pos="9350"/>
            </w:tabs>
            <w:rPr>
              <w:rFonts w:asciiTheme="minorHAnsi" w:eastAsiaTheme="minorEastAsia" w:hAnsiTheme="minorHAnsi" w:cstheme="minorBidi"/>
              <w:noProof/>
              <w:szCs w:val="22"/>
              <w:lang w:val="en-150" w:eastAsia="en-150"/>
            </w:rPr>
          </w:pPr>
          <w:hyperlink w:anchor="_Toc536000957" w:history="1">
            <w:r w:rsidR="004C0A33" w:rsidRPr="003622DD">
              <w:rPr>
                <w:rStyle w:val="Hyperlink"/>
                <w:rFonts w:eastAsia="Times New Roman" w:cstheme="majorHAnsi"/>
                <w:noProof/>
              </w:rPr>
              <w:t>Metodologjia</w:t>
            </w:r>
            <w:r w:rsidR="004C0A33">
              <w:rPr>
                <w:noProof/>
                <w:webHidden/>
              </w:rPr>
              <w:tab/>
            </w:r>
            <w:r w:rsidR="004C0A33">
              <w:rPr>
                <w:noProof/>
                <w:webHidden/>
              </w:rPr>
              <w:fldChar w:fldCharType="begin"/>
            </w:r>
            <w:r w:rsidR="004C0A33">
              <w:rPr>
                <w:noProof/>
                <w:webHidden/>
              </w:rPr>
              <w:instrText xml:space="preserve"> PAGEREF _Toc536000957 \h </w:instrText>
            </w:r>
            <w:r w:rsidR="004C0A33">
              <w:rPr>
                <w:noProof/>
                <w:webHidden/>
              </w:rPr>
            </w:r>
            <w:r w:rsidR="004C0A33">
              <w:rPr>
                <w:noProof/>
                <w:webHidden/>
              </w:rPr>
              <w:fldChar w:fldCharType="separate"/>
            </w:r>
            <w:r w:rsidR="009317EB">
              <w:rPr>
                <w:noProof/>
                <w:webHidden/>
              </w:rPr>
              <w:t>7</w:t>
            </w:r>
            <w:r w:rsidR="004C0A33">
              <w:rPr>
                <w:noProof/>
                <w:webHidden/>
              </w:rPr>
              <w:fldChar w:fldCharType="end"/>
            </w:r>
          </w:hyperlink>
        </w:p>
        <w:p w:rsidR="004C0A33" w:rsidRDefault="00683A01">
          <w:pPr>
            <w:pStyle w:val="TOC1"/>
            <w:tabs>
              <w:tab w:val="right" w:leader="dot" w:pos="9350"/>
            </w:tabs>
            <w:rPr>
              <w:rFonts w:asciiTheme="minorHAnsi" w:eastAsiaTheme="minorEastAsia" w:hAnsiTheme="minorHAnsi" w:cstheme="minorBidi"/>
              <w:noProof/>
              <w:szCs w:val="22"/>
              <w:lang w:val="en-150" w:eastAsia="en-150"/>
            </w:rPr>
          </w:pPr>
          <w:hyperlink w:anchor="_Toc536000958" w:history="1">
            <w:r w:rsidR="004C0A33" w:rsidRPr="003622DD">
              <w:rPr>
                <w:rStyle w:val="Hyperlink"/>
                <w:rFonts w:eastAsia="Times New Roman" w:cstheme="majorHAnsi"/>
                <w:noProof/>
              </w:rPr>
              <w:t>Historiku i Problemit</w:t>
            </w:r>
            <w:r w:rsidR="004C0A33">
              <w:rPr>
                <w:noProof/>
                <w:webHidden/>
              </w:rPr>
              <w:tab/>
            </w:r>
            <w:r w:rsidR="004C0A33">
              <w:rPr>
                <w:noProof/>
                <w:webHidden/>
              </w:rPr>
              <w:fldChar w:fldCharType="begin"/>
            </w:r>
            <w:r w:rsidR="004C0A33">
              <w:rPr>
                <w:noProof/>
                <w:webHidden/>
              </w:rPr>
              <w:instrText xml:space="preserve"> PAGEREF _Toc536000958 \h </w:instrText>
            </w:r>
            <w:r w:rsidR="004C0A33">
              <w:rPr>
                <w:noProof/>
                <w:webHidden/>
              </w:rPr>
            </w:r>
            <w:r w:rsidR="004C0A33">
              <w:rPr>
                <w:noProof/>
                <w:webHidden/>
              </w:rPr>
              <w:fldChar w:fldCharType="separate"/>
            </w:r>
            <w:r w:rsidR="009317EB">
              <w:rPr>
                <w:noProof/>
                <w:webHidden/>
              </w:rPr>
              <w:t>8</w:t>
            </w:r>
            <w:r w:rsidR="004C0A33">
              <w:rPr>
                <w:noProof/>
                <w:webHidden/>
              </w:rPr>
              <w:fldChar w:fldCharType="end"/>
            </w:r>
          </w:hyperlink>
        </w:p>
        <w:p w:rsidR="004C0A33" w:rsidRDefault="00683A01">
          <w:pPr>
            <w:pStyle w:val="TOC1"/>
            <w:tabs>
              <w:tab w:val="right" w:leader="dot" w:pos="9350"/>
            </w:tabs>
            <w:rPr>
              <w:rFonts w:asciiTheme="minorHAnsi" w:eastAsiaTheme="minorEastAsia" w:hAnsiTheme="minorHAnsi" w:cstheme="minorBidi"/>
              <w:noProof/>
              <w:szCs w:val="22"/>
              <w:lang w:val="en-150" w:eastAsia="en-150"/>
            </w:rPr>
          </w:pPr>
          <w:hyperlink w:anchor="_Toc536000959" w:history="1">
            <w:r w:rsidR="004C0A33" w:rsidRPr="003622DD">
              <w:rPr>
                <w:rStyle w:val="Hyperlink"/>
                <w:rFonts w:eastAsia="Times New Roman" w:cstheme="majorHAnsi"/>
                <w:noProof/>
              </w:rPr>
              <w:t>Objektivat Strategjike</w:t>
            </w:r>
            <w:r w:rsidR="004C0A33">
              <w:rPr>
                <w:noProof/>
                <w:webHidden/>
              </w:rPr>
              <w:tab/>
            </w:r>
            <w:r w:rsidR="004C0A33">
              <w:rPr>
                <w:noProof/>
                <w:webHidden/>
              </w:rPr>
              <w:fldChar w:fldCharType="begin"/>
            </w:r>
            <w:r w:rsidR="004C0A33">
              <w:rPr>
                <w:noProof/>
                <w:webHidden/>
              </w:rPr>
              <w:instrText xml:space="preserve"> PAGEREF _Toc536000959 \h </w:instrText>
            </w:r>
            <w:r w:rsidR="004C0A33">
              <w:rPr>
                <w:noProof/>
                <w:webHidden/>
              </w:rPr>
            </w:r>
            <w:r w:rsidR="004C0A33">
              <w:rPr>
                <w:noProof/>
                <w:webHidden/>
              </w:rPr>
              <w:fldChar w:fldCharType="separate"/>
            </w:r>
            <w:r w:rsidR="009317EB">
              <w:rPr>
                <w:noProof/>
                <w:webHidden/>
              </w:rPr>
              <w:t>11</w:t>
            </w:r>
            <w:r w:rsidR="004C0A33">
              <w:rPr>
                <w:noProof/>
                <w:webHidden/>
              </w:rPr>
              <w:fldChar w:fldCharType="end"/>
            </w:r>
          </w:hyperlink>
        </w:p>
        <w:p w:rsidR="004C0A33" w:rsidRDefault="00683A01" w:rsidP="004C0A33">
          <w:pPr>
            <w:pStyle w:val="TOC2"/>
            <w:rPr>
              <w:rFonts w:asciiTheme="minorHAnsi" w:eastAsiaTheme="minorEastAsia" w:hAnsiTheme="minorHAnsi" w:cstheme="minorBidi"/>
              <w:noProof/>
              <w:szCs w:val="22"/>
              <w:lang w:val="en-150" w:eastAsia="en-150"/>
            </w:rPr>
          </w:pPr>
          <w:hyperlink w:anchor="_Toc536000960" w:history="1">
            <w:r w:rsidR="004C0A33" w:rsidRPr="003622DD">
              <w:rPr>
                <w:rStyle w:val="Hyperlink"/>
                <w:rFonts w:cstheme="majorHAnsi"/>
                <w:noProof/>
              </w:rPr>
              <w:t>Objektivi strategjik 1. Rritja e pjesëmarrjes së shoqërisë civile në politikë-bërje</w:t>
            </w:r>
            <w:r w:rsidR="004C0A33">
              <w:rPr>
                <w:noProof/>
                <w:webHidden/>
              </w:rPr>
              <w:tab/>
            </w:r>
            <w:r w:rsidR="004C0A33">
              <w:rPr>
                <w:noProof/>
                <w:webHidden/>
              </w:rPr>
              <w:fldChar w:fldCharType="begin"/>
            </w:r>
            <w:r w:rsidR="004C0A33">
              <w:rPr>
                <w:noProof/>
                <w:webHidden/>
              </w:rPr>
              <w:instrText xml:space="preserve"> PAGEREF _Toc536000960 \h </w:instrText>
            </w:r>
            <w:r w:rsidR="004C0A33">
              <w:rPr>
                <w:noProof/>
                <w:webHidden/>
              </w:rPr>
            </w:r>
            <w:r w:rsidR="004C0A33">
              <w:rPr>
                <w:noProof/>
                <w:webHidden/>
              </w:rPr>
              <w:fldChar w:fldCharType="separate"/>
            </w:r>
            <w:r w:rsidR="009317EB">
              <w:rPr>
                <w:noProof/>
                <w:webHidden/>
              </w:rPr>
              <w:t>11</w:t>
            </w:r>
            <w:r w:rsidR="004C0A33">
              <w:rPr>
                <w:noProof/>
                <w:webHidden/>
              </w:rPr>
              <w:fldChar w:fldCharType="end"/>
            </w:r>
          </w:hyperlink>
        </w:p>
        <w:p w:rsidR="004C0A33" w:rsidRDefault="00683A01" w:rsidP="004C0A33">
          <w:pPr>
            <w:pStyle w:val="TOC2"/>
            <w:rPr>
              <w:rFonts w:asciiTheme="minorHAnsi" w:eastAsiaTheme="minorEastAsia" w:hAnsiTheme="minorHAnsi" w:cstheme="minorBidi"/>
              <w:noProof/>
              <w:szCs w:val="22"/>
              <w:lang w:val="en-150" w:eastAsia="en-150"/>
            </w:rPr>
          </w:pPr>
          <w:hyperlink w:anchor="_Toc536000961" w:history="1">
            <w:r w:rsidR="004C0A33" w:rsidRPr="003622DD">
              <w:rPr>
                <w:rStyle w:val="Hyperlink"/>
                <w:rFonts w:eastAsia="Times New Roman" w:cstheme="majorHAnsi"/>
                <w:noProof/>
              </w:rPr>
              <w:t>Objektivi strategjik 2. Përmirësimi i kornizës institucionale dhe ligjore për financim në zhvillimin e qëndrueshëm të programeve dhe projekteve të OShC-ve me interes publik</w:t>
            </w:r>
            <w:r w:rsidR="004C0A33">
              <w:rPr>
                <w:noProof/>
                <w:webHidden/>
              </w:rPr>
              <w:tab/>
            </w:r>
            <w:r w:rsidR="004C0A33">
              <w:rPr>
                <w:noProof/>
                <w:webHidden/>
              </w:rPr>
              <w:fldChar w:fldCharType="begin"/>
            </w:r>
            <w:r w:rsidR="004C0A33">
              <w:rPr>
                <w:noProof/>
                <w:webHidden/>
              </w:rPr>
              <w:instrText xml:space="preserve"> PAGEREF _Toc536000961 \h </w:instrText>
            </w:r>
            <w:r w:rsidR="004C0A33">
              <w:rPr>
                <w:noProof/>
                <w:webHidden/>
              </w:rPr>
            </w:r>
            <w:r w:rsidR="004C0A33">
              <w:rPr>
                <w:noProof/>
                <w:webHidden/>
              </w:rPr>
              <w:fldChar w:fldCharType="separate"/>
            </w:r>
            <w:r w:rsidR="009317EB">
              <w:rPr>
                <w:noProof/>
                <w:webHidden/>
              </w:rPr>
              <w:t>12</w:t>
            </w:r>
            <w:r w:rsidR="004C0A33">
              <w:rPr>
                <w:noProof/>
                <w:webHidden/>
              </w:rPr>
              <w:fldChar w:fldCharType="end"/>
            </w:r>
          </w:hyperlink>
        </w:p>
        <w:p w:rsidR="004C0A33" w:rsidRDefault="00683A01" w:rsidP="004C0A33">
          <w:pPr>
            <w:pStyle w:val="TOC2"/>
            <w:rPr>
              <w:rFonts w:asciiTheme="minorHAnsi" w:eastAsiaTheme="minorEastAsia" w:hAnsiTheme="minorHAnsi" w:cstheme="minorBidi"/>
              <w:noProof/>
              <w:szCs w:val="22"/>
              <w:lang w:val="en-150" w:eastAsia="en-150"/>
            </w:rPr>
          </w:pPr>
          <w:hyperlink w:anchor="_Toc536000962" w:history="1">
            <w:r w:rsidR="004C0A33" w:rsidRPr="003622DD">
              <w:rPr>
                <w:rStyle w:val="Hyperlink"/>
                <w:rFonts w:eastAsia="Times New Roman" w:cstheme="majorHAnsi"/>
                <w:noProof/>
              </w:rPr>
              <w:t>Fuqizimi i kapaciteteve të Ministrive dhe Komunave për zbatimin e standardeve për financimin publik të OSHC-ve</w:t>
            </w:r>
            <w:r w:rsidR="004C0A33">
              <w:rPr>
                <w:noProof/>
                <w:webHidden/>
              </w:rPr>
              <w:tab/>
            </w:r>
            <w:r w:rsidR="004C0A33">
              <w:rPr>
                <w:noProof/>
                <w:webHidden/>
              </w:rPr>
              <w:fldChar w:fldCharType="begin"/>
            </w:r>
            <w:r w:rsidR="004C0A33">
              <w:rPr>
                <w:noProof/>
                <w:webHidden/>
              </w:rPr>
              <w:instrText xml:space="preserve"> PAGEREF _Toc536000962 \h </w:instrText>
            </w:r>
            <w:r w:rsidR="004C0A33">
              <w:rPr>
                <w:noProof/>
                <w:webHidden/>
              </w:rPr>
            </w:r>
            <w:r w:rsidR="004C0A33">
              <w:rPr>
                <w:noProof/>
                <w:webHidden/>
              </w:rPr>
              <w:fldChar w:fldCharType="separate"/>
            </w:r>
            <w:r w:rsidR="009317EB">
              <w:rPr>
                <w:noProof/>
                <w:webHidden/>
              </w:rPr>
              <w:t>13</w:t>
            </w:r>
            <w:r w:rsidR="004C0A33">
              <w:rPr>
                <w:noProof/>
                <w:webHidden/>
              </w:rPr>
              <w:fldChar w:fldCharType="end"/>
            </w:r>
          </w:hyperlink>
        </w:p>
        <w:p w:rsidR="004C0A33" w:rsidRDefault="00683A01" w:rsidP="004C0A33">
          <w:pPr>
            <w:pStyle w:val="TOC2"/>
            <w:rPr>
              <w:rFonts w:asciiTheme="minorHAnsi" w:eastAsiaTheme="minorEastAsia" w:hAnsiTheme="minorHAnsi" w:cstheme="minorBidi"/>
              <w:noProof/>
              <w:szCs w:val="22"/>
              <w:lang w:val="en-150" w:eastAsia="en-150"/>
            </w:rPr>
          </w:pPr>
          <w:hyperlink w:anchor="_Toc536000963" w:history="1">
            <w:r w:rsidR="004C0A33" w:rsidRPr="003622DD">
              <w:rPr>
                <w:rStyle w:val="Hyperlink"/>
                <w:rFonts w:eastAsia="Times New Roman" w:cstheme="majorHAnsi"/>
                <w:noProof/>
              </w:rPr>
              <w:t>Objektivi strategjik 3. Zhvillimi i praktikave dhe procedurave për kontraktimin e OSHC-ve për ofrimin e shërbimeve publike</w:t>
            </w:r>
            <w:r w:rsidR="004C0A33">
              <w:rPr>
                <w:noProof/>
                <w:webHidden/>
              </w:rPr>
              <w:tab/>
            </w:r>
            <w:r w:rsidR="004C0A33">
              <w:rPr>
                <w:noProof/>
                <w:webHidden/>
              </w:rPr>
              <w:fldChar w:fldCharType="begin"/>
            </w:r>
            <w:r w:rsidR="004C0A33">
              <w:rPr>
                <w:noProof/>
                <w:webHidden/>
              </w:rPr>
              <w:instrText xml:space="preserve"> PAGEREF _Toc536000963 \h </w:instrText>
            </w:r>
            <w:r w:rsidR="004C0A33">
              <w:rPr>
                <w:noProof/>
                <w:webHidden/>
              </w:rPr>
            </w:r>
            <w:r w:rsidR="004C0A33">
              <w:rPr>
                <w:noProof/>
                <w:webHidden/>
              </w:rPr>
              <w:fldChar w:fldCharType="separate"/>
            </w:r>
            <w:r w:rsidR="009317EB">
              <w:rPr>
                <w:noProof/>
                <w:webHidden/>
              </w:rPr>
              <w:t>13</w:t>
            </w:r>
            <w:r w:rsidR="004C0A33">
              <w:rPr>
                <w:noProof/>
                <w:webHidden/>
              </w:rPr>
              <w:fldChar w:fldCharType="end"/>
            </w:r>
          </w:hyperlink>
        </w:p>
        <w:p w:rsidR="004C0A33" w:rsidRDefault="00683A01" w:rsidP="004C0A33">
          <w:pPr>
            <w:pStyle w:val="TOC2"/>
            <w:rPr>
              <w:rFonts w:asciiTheme="minorHAnsi" w:eastAsiaTheme="minorEastAsia" w:hAnsiTheme="minorHAnsi" w:cstheme="minorBidi"/>
              <w:noProof/>
              <w:szCs w:val="22"/>
              <w:lang w:val="en-150" w:eastAsia="en-150"/>
            </w:rPr>
          </w:pPr>
          <w:hyperlink w:anchor="_Toc536000964" w:history="1">
            <w:r w:rsidR="004C0A33" w:rsidRPr="003622DD">
              <w:rPr>
                <w:rStyle w:val="Hyperlink"/>
                <w:rFonts w:eastAsia="Times New Roman" w:cstheme="majorHAnsi"/>
                <w:noProof/>
              </w:rPr>
              <w:t>Objektivi strategjik 4. Rritja e vullnetarizmit në programet me interes publik</w:t>
            </w:r>
            <w:r w:rsidR="004C0A33">
              <w:rPr>
                <w:noProof/>
                <w:webHidden/>
              </w:rPr>
              <w:tab/>
            </w:r>
            <w:r w:rsidR="004C0A33">
              <w:rPr>
                <w:noProof/>
                <w:webHidden/>
              </w:rPr>
              <w:fldChar w:fldCharType="begin"/>
            </w:r>
            <w:r w:rsidR="004C0A33">
              <w:rPr>
                <w:noProof/>
                <w:webHidden/>
              </w:rPr>
              <w:instrText xml:space="preserve"> PAGEREF _Toc536000964 \h </w:instrText>
            </w:r>
            <w:r w:rsidR="004C0A33">
              <w:rPr>
                <w:noProof/>
                <w:webHidden/>
              </w:rPr>
            </w:r>
            <w:r w:rsidR="004C0A33">
              <w:rPr>
                <w:noProof/>
                <w:webHidden/>
              </w:rPr>
              <w:fldChar w:fldCharType="separate"/>
            </w:r>
            <w:r w:rsidR="009317EB">
              <w:rPr>
                <w:noProof/>
                <w:webHidden/>
              </w:rPr>
              <w:t>14</w:t>
            </w:r>
            <w:r w:rsidR="004C0A33">
              <w:rPr>
                <w:noProof/>
                <w:webHidden/>
              </w:rPr>
              <w:fldChar w:fldCharType="end"/>
            </w:r>
          </w:hyperlink>
        </w:p>
        <w:p w:rsidR="004C0A33" w:rsidRDefault="00683A01">
          <w:pPr>
            <w:pStyle w:val="TOC1"/>
            <w:tabs>
              <w:tab w:val="right" w:leader="dot" w:pos="9350"/>
            </w:tabs>
            <w:rPr>
              <w:rFonts w:asciiTheme="minorHAnsi" w:eastAsiaTheme="minorEastAsia" w:hAnsiTheme="minorHAnsi" w:cstheme="minorBidi"/>
              <w:noProof/>
              <w:szCs w:val="22"/>
              <w:lang w:val="en-150" w:eastAsia="en-150"/>
            </w:rPr>
          </w:pPr>
          <w:hyperlink w:anchor="_Toc536000965" w:history="1">
            <w:r w:rsidR="004C0A33" w:rsidRPr="003622DD">
              <w:rPr>
                <w:rStyle w:val="Hyperlink"/>
                <w:rFonts w:eastAsia="Times New Roman" w:cstheme="majorHAnsi"/>
                <w:noProof/>
              </w:rPr>
              <w:t>Monitorimi dhe Vlerësimi i Zbatimit të Strategjisë</w:t>
            </w:r>
            <w:r w:rsidR="004C0A33">
              <w:rPr>
                <w:noProof/>
                <w:webHidden/>
              </w:rPr>
              <w:tab/>
            </w:r>
            <w:r w:rsidR="004C0A33">
              <w:rPr>
                <w:noProof/>
                <w:webHidden/>
              </w:rPr>
              <w:fldChar w:fldCharType="begin"/>
            </w:r>
            <w:r w:rsidR="004C0A33">
              <w:rPr>
                <w:noProof/>
                <w:webHidden/>
              </w:rPr>
              <w:instrText xml:space="preserve"> PAGEREF _Toc536000965 \h </w:instrText>
            </w:r>
            <w:r w:rsidR="004C0A33">
              <w:rPr>
                <w:noProof/>
                <w:webHidden/>
              </w:rPr>
            </w:r>
            <w:r w:rsidR="004C0A33">
              <w:rPr>
                <w:noProof/>
                <w:webHidden/>
              </w:rPr>
              <w:fldChar w:fldCharType="separate"/>
            </w:r>
            <w:r w:rsidR="009317EB">
              <w:rPr>
                <w:noProof/>
                <w:webHidden/>
              </w:rPr>
              <w:t>15</w:t>
            </w:r>
            <w:r w:rsidR="004C0A33">
              <w:rPr>
                <w:noProof/>
                <w:webHidden/>
              </w:rPr>
              <w:fldChar w:fldCharType="end"/>
            </w:r>
          </w:hyperlink>
        </w:p>
        <w:p w:rsidR="004C0A33" w:rsidRDefault="00683A01" w:rsidP="004C0A33">
          <w:pPr>
            <w:pStyle w:val="TOC2"/>
            <w:rPr>
              <w:rFonts w:asciiTheme="minorHAnsi" w:eastAsiaTheme="minorEastAsia" w:hAnsiTheme="minorHAnsi" w:cstheme="minorBidi"/>
              <w:noProof/>
              <w:szCs w:val="22"/>
              <w:lang w:val="en-150" w:eastAsia="en-150"/>
            </w:rPr>
          </w:pPr>
          <w:hyperlink w:anchor="_Toc536000966" w:history="1">
            <w:r w:rsidR="004C0A33" w:rsidRPr="003622DD">
              <w:rPr>
                <w:rStyle w:val="Hyperlink"/>
                <w:rFonts w:eastAsia="Times New Roman" w:cstheme="majorHAnsi"/>
                <w:noProof/>
              </w:rPr>
              <w:t>Objektivi strategjik 2: Përmirësimi i kornizës institucionale dhe ligjore për financim në zhvillimin e qëndrueshëm të programeve dhe projekteve të OShC-ve me interes publik</w:t>
            </w:r>
            <w:r w:rsidR="004C0A33">
              <w:rPr>
                <w:noProof/>
                <w:webHidden/>
              </w:rPr>
              <w:tab/>
            </w:r>
            <w:r w:rsidR="004C0A33">
              <w:rPr>
                <w:noProof/>
                <w:webHidden/>
              </w:rPr>
              <w:fldChar w:fldCharType="begin"/>
            </w:r>
            <w:r w:rsidR="004C0A33">
              <w:rPr>
                <w:noProof/>
                <w:webHidden/>
              </w:rPr>
              <w:instrText xml:space="preserve"> PAGEREF _Toc536000966 \h </w:instrText>
            </w:r>
            <w:r w:rsidR="004C0A33">
              <w:rPr>
                <w:noProof/>
                <w:webHidden/>
              </w:rPr>
            </w:r>
            <w:r w:rsidR="004C0A33">
              <w:rPr>
                <w:noProof/>
                <w:webHidden/>
              </w:rPr>
              <w:fldChar w:fldCharType="separate"/>
            </w:r>
            <w:r w:rsidR="009317EB">
              <w:rPr>
                <w:noProof/>
                <w:webHidden/>
              </w:rPr>
              <w:t>18</w:t>
            </w:r>
            <w:r w:rsidR="004C0A33">
              <w:rPr>
                <w:noProof/>
                <w:webHidden/>
              </w:rPr>
              <w:fldChar w:fldCharType="end"/>
            </w:r>
          </w:hyperlink>
        </w:p>
        <w:p w:rsidR="004C0A33" w:rsidRDefault="00683A01">
          <w:pPr>
            <w:pStyle w:val="TOC1"/>
            <w:tabs>
              <w:tab w:val="right" w:leader="dot" w:pos="9350"/>
            </w:tabs>
            <w:rPr>
              <w:rFonts w:asciiTheme="minorHAnsi" w:eastAsiaTheme="minorEastAsia" w:hAnsiTheme="minorHAnsi" w:cstheme="minorBidi"/>
              <w:noProof/>
              <w:szCs w:val="22"/>
              <w:lang w:val="en-150" w:eastAsia="en-150"/>
            </w:rPr>
          </w:pPr>
          <w:hyperlink w:anchor="_Toc536000967" w:history="1">
            <w:r w:rsidR="004C0A33" w:rsidRPr="003622DD">
              <w:rPr>
                <w:rStyle w:val="Hyperlink"/>
                <w:rFonts w:eastAsia="Times New Roman" w:cstheme="majorHAnsi"/>
                <w:noProof/>
              </w:rPr>
              <w:t>Ndikimet Financiare në Implementimin e Strategjisë</w:t>
            </w:r>
            <w:r w:rsidR="004C0A33">
              <w:rPr>
                <w:noProof/>
                <w:webHidden/>
              </w:rPr>
              <w:tab/>
            </w:r>
            <w:r w:rsidR="004C0A33">
              <w:rPr>
                <w:noProof/>
                <w:webHidden/>
              </w:rPr>
              <w:fldChar w:fldCharType="begin"/>
            </w:r>
            <w:r w:rsidR="004C0A33">
              <w:rPr>
                <w:noProof/>
                <w:webHidden/>
              </w:rPr>
              <w:instrText xml:space="preserve"> PAGEREF _Toc536000967 \h </w:instrText>
            </w:r>
            <w:r w:rsidR="004C0A33">
              <w:rPr>
                <w:noProof/>
                <w:webHidden/>
              </w:rPr>
            </w:r>
            <w:r w:rsidR="004C0A33">
              <w:rPr>
                <w:noProof/>
                <w:webHidden/>
              </w:rPr>
              <w:fldChar w:fldCharType="separate"/>
            </w:r>
            <w:r w:rsidR="009317EB">
              <w:rPr>
                <w:noProof/>
                <w:webHidden/>
              </w:rPr>
              <w:t>19</w:t>
            </w:r>
            <w:r w:rsidR="004C0A33">
              <w:rPr>
                <w:noProof/>
                <w:webHidden/>
              </w:rPr>
              <w:fldChar w:fldCharType="end"/>
            </w:r>
          </w:hyperlink>
        </w:p>
        <w:p w:rsidR="004C0A33" w:rsidRDefault="00683A01" w:rsidP="004C0A33">
          <w:pPr>
            <w:pStyle w:val="TOC3"/>
            <w:rPr>
              <w:rFonts w:asciiTheme="minorHAnsi" w:eastAsiaTheme="minorEastAsia" w:hAnsiTheme="minorHAnsi" w:cstheme="minorBidi"/>
              <w:noProof/>
              <w:szCs w:val="22"/>
              <w:lang w:val="en-150" w:eastAsia="en-150"/>
            </w:rPr>
          </w:pPr>
          <w:hyperlink w:anchor="_Toc536000968" w:history="1">
            <w:r w:rsidR="004C0A33" w:rsidRPr="003622DD">
              <w:rPr>
                <w:rStyle w:val="Hyperlink"/>
                <w:rFonts w:cstheme="majorHAnsi"/>
                <w:noProof/>
              </w:rPr>
              <w:t>Objektivi specifik 1.1 Përmirësimi i kapaciteteve të institucioneve shtetërore qendrore dhe komunave për përfshirjen e OSHC-ve në politikë bërje</w:t>
            </w:r>
            <w:r w:rsidR="004C0A33">
              <w:rPr>
                <w:noProof/>
                <w:webHidden/>
              </w:rPr>
              <w:tab/>
            </w:r>
            <w:r w:rsidR="004C0A33">
              <w:rPr>
                <w:noProof/>
                <w:webHidden/>
              </w:rPr>
              <w:fldChar w:fldCharType="begin"/>
            </w:r>
            <w:r w:rsidR="004C0A33">
              <w:rPr>
                <w:noProof/>
                <w:webHidden/>
              </w:rPr>
              <w:instrText xml:space="preserve"> PAGEREF _Toc536000968 \h </w:instrText>
            </w:r>
            <w:r w:rsidR="004C0A33">
              <w:rPr>
                <w:noProof/>
                <w:webHidden/>
              </w:rPr>
            </w:r>
            <w:r w:rsidR="004C0A33">
              <w:rPr>
                <w:noProof/>
                <w:webHidden/>
              </w:rPr>
              <w:fldChar w:fldCharType="separate"/>
            </w:r>
            <w:r w:rsidR="009317EB">
              <w:rPr>
                <w:noProof/>
                <w:webHidden/>
              </w:rPr>
              <w:t>20</w:t>
            </w:r>
            <w:r w:rsidR="004C0A33">
              <w:rPr>
                <w:noProof/>
                <w:webHidden/>
              </w:rPr>
              <w:fldChar w:fldCharType="end"/>
            </w:r>
          </w:hyperlink>
        </w:p>
        <w:p w:rsidR="004C0A33" w:rsidRDefault="00683A01" w:rsidP="004C0A33">
          <w:pPr>
            <w:pStyle w:val="TOC3"/>
            <w:rPr>
              <w:rFonts w:asciiTheme="minorHAnsi" w:eastAsiaTheme="minorEastAsia" w:hAnsiTheme="minorHAnsi" w:cstheme="minorBidi"/>
              <w:noProof/>
              <w:szCs w:val="22"/>
              <w:lang w:val="en-150" w:eastAsia="en-150"/>
            </w:rPr>
          </w:pPr>
          <w:hyperlink w:anchor="_Toc536000969" w:history="1">
            <w:r w:rsidR="004C0A33" w:rsidRPr="003622DD">
              <w:rPr>
                <w:rStyle w:val="Hyperlink"/>
                <w:rFonts w:cstheme="majorHAnsi"/>
                <w:noProof/>
              </w:rPr>
              <w:t>Objektivi specifik 1.2 Rritja e vetëdijes së qytetarëve dhe shoqërisë civile për konsultimet publike</w:t>
            </w:r>
            <w:r w:rsidR="004C0A33">
              <w:rPr>
                <w:noProof/>
                <w:webHidden/>
              </w:rPr>
              <w:tab/>
            </w:r>
            <w:r w:rsidR="004C0A33">
              <w:rPr>
                <w:noProof/>
                <w:webHidden/>
              </w:rPr>
              <w:fldChar w:fldCharType="begin"/>
            </w:r>
            <w:r w:rsidR="004C0A33">
              <w:rPr>
                <w:noProof/>
                <w:webHidden/>
              </w:rPr>
              <w:instrText xml:space="preserve"> PAGEREF _Toc536000969 \h </w:instrText>
            </w:r>
            <w:r w:rsidR="004C0A33">
              <w:rPr>
                <w:noProof/>
                <w:webHidden/>
              </w:rPr>
            </w:r>
            <w:r w:rsidR="004C0A33">
              <w:rPr>
                <w:noProof/>
                <w:webHidden/>
              </w:rPr>
              <w:fldChar w:fldCharType="separate"/>
            </w:r>
            <w:r w:rsidR="009317EB">
              <w:rPr>
                <w:noProof/>
                <w:webHidden/>
              </w:rPr>
              <w:t>20</w:t>
            </w:r>
            <w:r w:rsidR="004C0A33">
              <w:rPr>
                <w:noProof/>
                <w:webHidden/>
              </w:rPr>
              <w:fldChar w:fldCharType="end"/>
            </w:r>
          </w:hyperlink>
        </w:p>
        <w:p w:rsidR="004C0A33" w:rsidRDefault="00683A01">
          <w:pPr>
            <w:pStyle w:val="TOC1"/>
            <w:tabs>
              <w:tab w:val="right" w:leader="dot" w:pos="9350"/>
            </w:tabs>
            <w:rPr>
              <w:rFonts w:asciiTheme="minorHAnsi" w:eastAsiaTheme="minorEastAsia" w:hAnsiTheme="minorHAnsi" w:cstheme="minorBidi"/>
              <w:noProof/>
              <w:szCs w:val="22"/>
              <w:lang w:val="en-150" w:eastAsia="en-150"/>
            </w:rPr>
          </w:pPr>
          <w:hyperlink w:anchor="_Toc536000970" w:history="1">
            <w:r w:rsidR="004C0A33" w:rsidRPr="003622DD">
              <w:rPr>
                <w:rStyle w:val="Hyperlink"/>
                <w:rFonts w:eastAsia="Times New Roman" w:cstheme="majorHAnsi"/>
                <w:noProof/>
              </w:rPr>
              <w:t>Shtojca 1. Plani i Veprimit</w:t>
            </w:r>
            <w:r w:rsidR="004C0A33">
              <w:rPr>
                <w:noProof/>
                <w:webHidden/>
              </w:rPr>
              <w:tab/>
            </w:r>
            <w:r w:rsidR="004C0A33">
              <w:rPr>
                <w:noProof/>
                <w:webHidden/>
              </w:rPr>
              <w:fldChar w:fldCharType="begin"/>
            </w:r>
            <w:r w:rsidR="004C0A33">
              <w:rPr>
                <w:noProof/>
                <w:webHidden/>
              </w:rPr>
              <w:instrText xml:space="preserve"> PAGEREF _Toc536000970 \h </w:instrText>
            </w:r>
            <w:r w:rsidR="004C0A33">
              <w:rPr>
                <w:noProof/>
                <w:webHidden/>
              </w:rPr>
            </w:r>
            <w:r w:rsidR="004C0A33">
              <w:rPr>
                <w:noProof/>
                <w:webHidden/>
              </w:rPr>
              <w:fldChar w:fldCharType="separate"/>
            </w:r>
            <w:r w:rsidR="009317EB">
              <w:rPr>
                <w:noProof/>
                <w:webHidden/>
              </w:rPr>
              <w:t>21</w:t>
            </w:r>
            <w:r w:rsidR="004C0A33">
              <w:rPr>
                <w:noProof/>
                <w:webHidden/>
              </w:rPr>
              <w:fldChar w:fldCharType="end"/>
            </w:r>
          </w:hyperlink>
        </w:p>
        <w:p w:rsidR="004C0A33" w:rsidRDefault="00683A01" w:rsidP="004C0A33">
          <w:pPr>
            <w:pStyle w:val="TOC2"/>
            <w:rPr>
              <w:rFonts w:asciiTheme="minorHAnsi" w:eastAsiaTheme="minorEastAsia" w:hAnsiTheme="minorHAnsi" w:cstheme="minorBidi"/>
              <w:noProof/>
              <w:szCs w:val="22"/>
              <w:lang w:val="en-150" w:eastAsia="en-150"/>
            </w:rPr>
          </w:pPr>
          <w:hyperlink w:anchor="_Toc536000971" w:history="1">
            <w:r w:rsidR="004C0A33" w:rsidRPr="003622DD">
              <w:rPr>
                <w:rStyle w:val="Hyperlink"/>
                <w:rFonts w:eastAsia="Times New Roman" w:cstheme="majorHAnsi"/>
                <w:noProof/>
              </w:rPr>
              <w:t>1</w:t>
            </w:r>
            <w:r w:rsidR="004C0A33">
              <w:rPr>
                <w:noProof/>
                <w:webHidden/>
              </w:rPr>
              <w:tab/>
            </w:r>
            <w:r w:rsidR="004C0A33">
              <w:rPr>
                <w:noProof/>
                <w:webHidden/>
              </w:rPr>
              <w:fldChar w:fldCharType="begin"/>
            </w:r>
            <w:r w:rsidR="004C0A33">
              <w:rPr>
                <w:noProof/>
                <w:webHidden/>
              </w:rPr>
              <w:instrText xml:space="preserve"> PAGEREF _Toc536000971 \h </w:instrText>
            </w:r>
            <w:r w:rsidR="004C0A33">
              <w:rPr>
                <w:noProof/>
                <w:webHidden/>
              </w:rPr>
            </w:r>
            <w:r w:rsidR="004C0A33">
              <w:rPr>
                <w:noProof/>
                <w:webHidden/>
              </w:rPr>
              <w:fldChar w:fldCharType="separate"/>
            </w:r>
            <w:r w:rsidR="009317EB">
              <w:rPr>
                <w:noProof/>
                <w:webHidden/>
              </w:rPr>
              <w:t>21</w:t>
            </w:r>
            <w:r w:rsidR="004C0A33">
              <w:rPr>
                <w:noProof/>
                <w:webHidden/>
              </w:rPr>
              <w:fldChar w:fldCharType="end"/>
            </w:r>
          </w:hyperlink>
        </w:p>
        <w:p w:rsidR="004C0A33" w:rsidRDefault="00683A01" w:rsidP="004C0A33">
          <w:pPr>
            <w:pStyle w:val="TOC2"/>
            <w:rPr>
              <w:rFonts w:asciiTheme="minorHAnsi" w:eastAsiaTheme="minorEastAsia" w:hAnsiTheme="minorHAnsi" w:cstheme="minorBidi"/>
              <w:noProof/>
              <w:szCs w:val="22"/>
              <w:lang w:val="en-150" w:eastAsia="en-150"/>
            </w:rPr>
          </w:pPr>
          <w:hyperlink w:anchor="_Toc536000972" w:history="1">
            <w:r w:rsidR="004C0A33" w:rsidRPr="003622DD">
              <w:rPr>
                <w:rStyle w:val="Hyperlink"/>
                <w:rFonts w:eastAsia="Times New Roman" w:cstheme="majorHAnsi"/>
                <w:noProof/>
              </w:rPr>
              <w:t>Objektivi strategjik - Rritja e pjesëmarrjes së shoqërisë civile në politikë-bërje</w:t>
            </w:r>
            <w:r w:rsidR="004C0A33">
              <w:rPr>
                <w:noProof/>
                <w:webHidden/>
              </w:rPr>
              <w:tab/>
            </w:r>
            <w:r w:rsidR="004C0A33">
              <w:rPr>
                <w:noProof/>
                <w:webHidden/>
              </w:rPr>
              <w:fldChar w:fldCharType="begin"/>
            </w:r>
            <w:r w:rsidR="004C0A33">
              <w:rPr>
                <w:noProof/>
                <w:webHidden/>
              </w:rPr>
              <w:instrText xml:space="preserve"> PAGEREF _Toc536000972 \h </w:instrText>
            </w:r>
            <w:r w:rsidR="004C0A33">
              <w:rPr>
                <w:noProof/>
                <w:webHidden/>
              </w:rPr>
            </w:r>
            <w:r w:rsidR="004C0A33">
              <w:rPr>
                <w:noProof/>
                <w:webHidden/>
              </w:rPr>
              <w:fldChar w:fldCharType="separate"/>
            </w:r>
            <w:r w:rsidR="009317EB">
              <w:rPr>
                <w:noProof/>
                <w:webHidden/>
              </w:rPr>
              <w:t>21</w:t>
            </w:r>
            <w:r w:rsidR="004C0A33">
              <w:rPr>
                <w:noProof/>
                <w:webHidden/>
              </w:rPr>
              <w:fldChar w:fldCharType="end"/>
            </w:r>
          </w:hyperlink>
        </w:p>
        <w:p w:rsidR="004C0A33" w:rsidRDefault="00683A01" w:rsidP="004C0A33">
          <w:pPr>
            <w:pStyle w:val="TOC3"/>
            <w:rPr>
              <w:rFonts w:asciiTheme="minorHAnsi" w:eastAsiaTheme="minorEastAsia" w:hAnsiTheme="minorHAnsi" w:cstheme="minorBidi"/>
              <w:noProof/>
              <w:szCs w:val="22"/>
              <w:lang w:val="en-150" w:eastAsia="en-150"/>
            </w:rPr>
          </w:pPr>
          <w:hyperlink w:anchor="_Toc536000973" w:history="1">
            <w:r w:rsidR="004C0A33" w:rsidRPr="003622DD">
              <w:rPr>
                <w:rStyle w:val="Hyperlink"/>
                <w:rFonts w:eastAsia="Times New Roman" w:cstheme="majorHAnsi"/>
                <w:noProof/>
                <w:lang w:eastAsia="sq-AL"/>
              </w:rPr>
              <w:t>1.3</w:t>
            </w:r>
            <w:r w:rsidR="004C0A33">
              <w:rPr>
                <w:noProof/>
                <w:webHidden/>
              </w:rPr>
              <w:tab/>
            </w:r>
            <w:r w:rsidR="004C0A33">
              <w:rPr>
                <w:noProof/>
                <w:webHidden/>
              </w:rPr>
              <w:fldChar w:fldCharType="begin"/>
            </w:r>
            <w:r w:rsidR="004C0A33">
              <w:rPr>
                <w:noProof/>
                <w:webHidden/>
              </w:rPr>
              <w:instrText xml:space="preserve"> PAGEREF _Toc536000973 \h </w:instrText>
            </w:r>
            <w:r w:rsidR="004C0A33">
              <w:rPr>
                <w:noProof/>
                <w:webHidden/>
              </w:rPr>
            </w:r>
            <w:r w:rsidR="004C0A33">
              <w:rPr>
                <w:noProof/>
                <w:webHidden/>
              </w:rPr>
              <w:fldChar w:fldCharType="separate"/>
            </w:r>
            <w:r w:rsidR="009317EB">
              <w:rPr>
                <w:noProof/>
                <w:webHidden/>
              </w:rPr>
              <w:t>26</w:t>
            </w:r>
            <w:r w:rsidR="004C0A33">
              <w:rPr>
                <w:noProof/>
                <w:webHidden/>
              </w:rPr>
              <w:fldChar w:fldCharType="end"/>
            </w:r>
          </w:hyperlink>
        </w:p>
        <w:p w:rsidR="004C0A33" w:rsidRDefault="00683A01" w:rsidP="004C0A33">
          <w:pPr>
            <w:pStyle w:val="TOC3"/>
            <w:rPr>
              <w:rFonts w:asciiTheme="minorHAnsi" w:eastAsiaTheme="minorEastAsia" w:hAnsiTheme="minorHAnsi" w:cstheme="minorBidi"/>
              <w:noProof/>
              <w:szCs w:val="22"/>
              <w:lang w:val="en-150" w:eastAsia="en-150"/>
            </w:rPr>
          </w:pPr>
          <w:hyperlink w:anchor="_Toc536000974" w:history="1">
            <w:r w:rsidR="004C0A33" w:rsidRPr="003622DD">
              <w:rPr>
                <w:rStyle w:val="Hyperlink"/>
                <w:rFonts w:eastAsia="Times New Roman" w:cstheme="majorHAnsi"/>
                <w:noProof/>
                <w:lang w:eastAsia="sq-AL"/>
              </w:rPr>
              <w:t>Objektivi specifik:</w:t>
            </w:r>
            <w:r w:rsidR="004C0A33" w:rsidRPr="003622DD">
              <w:rPr>
                <w:rStyle w:val="Hyperlink"/>
                <w:rFonts w:cstheme="majorHAnsi"/>
                <w:noProof/>
              </w:rPr>
              <w:t xml:space="preserve"> </w:t>
            </w:r>
            <w:r w:rsidR="004C0A33" w:rsidRPr="003622DD">
              <w:rPr>
                <w:rStyle w:val="Hyperlink"/>
                <w:rFonts w:eastAsia="Times New Roman" w:cstheme="majorHAnsi"/>
                <w:noProof/>
                <w:lang w:eastAsia="sq-AL"/>
              </w:rPr>
              <w:t>Përmirësimi i kapaciteteve të OSHC-ve për të kontribuuar në procesin e konsultimeve publike</w:t>
            </w:r>
            <w:r w:rsidR="004C0A33">
              <w:rPr>
                <w:noProof/>
                <w:webHidden/>
              </w:rPr>
              <w:tab/>
            </w:r>
            <w:r w:rsidR="004C0A33">
              <w:rPr>
                <w:noProof/>
                <w:webHidden/>
              </w:rPr>
              <w:fldChar w:fldCharType="begin"/>
            </w:r>
            <w:r w:rsidR="004C0A33">
              <w:rPr>
                <w:noProof/>
                <w:webHidden/>
              </w:rPr>
              <w:instrText xml:space="preserve"> PAGEREF _Toc536000974 \h </w:instrText>
            </w:r>
            <w:r w:rsidR="004C0A33">
              <w:rPr>
                <w:noProof/>
                <w:webHidden/>
              </w:rPr>
            </w:r>
            <w:r w:rsidR="004C0A33">
              <w:rPr>
                <w:noProof/>
                <w:webHidden/>
              </w:rPr>
              <w:fldChar w:fldCharType="separate"/>
            </w:r>
            <w:r w:rsidR="009317EB">
              <w:rPr>
                <w:noProof/>
                <w:webHidden/>
              </w:rPr>
              <w:t>26</w:t>
            </w:r>
            <w:r w:rsidR="004C0A33">
              <w:rPr>
                <w:noProof/>
                <w:webHidden/>
              </w:rPr>
              <w:fldChar w:fldCharType="end"/>
            </w:r>
          </w:hyperlink>
        </w:p>
        <w:p w:rsidR="004C0A33" w:rsidRDefault="00683A01">
          <w:pPr>
            <w:pStyle w:val="TOC1"/>
            <w:tabs>
              <w:tab w:val="right" w:leader="dot" w:pos="9350"/>
            </w:tabs>
            <w:rPr>
              <w:rFonts w:asciiTheme="minorHAnsi" w:eastAsiaTheme="minorEastAsia" w:hAnsiTheme="minorHAnsi" w:cstheme="minorBidi"/>
              <w:noProof/>
              <w:szCs w:val="22"/>
              <w:lang w:val="en-150" w:eastAsia="en-150"/>
            </w:rPr>
          </w:pPr>
          <w:hyperlink w:anchor="_Toc536000975" w:history="1">
            <w:r w:rsidR="004C0A33" w:rsidRPr="003622DD">
              <w:rPr>
                <w:rStyle w:val="Hyperlink"/>
                <w:rFonts w:eastAsia="Times New Roman" w:cstheme="majorHAnsi"/>
                <w:noProof/>
              </w:rPr>
              <w:t>Shtojca 2 Lista e Anëtarëve të Ekipit të Punës (EP)</w:t>
            </w:r>
            <w:r w:rsidR="004C0A33">
              <w:rPr>
                <w:noProof/>
                <w:webHidden/>
              </w:rPr>
              <w:tab/>
            </w:r>
            <w:r w:rsidR="004C0A33">
              <w:rPr>
                <w:noProof/>
                <w:webHidden/>
              </w:rPr>
              <w:fldChar w:fldCharType="begin"/>
            </w:r>
            <w:r w:rsidR="004C0A33">
              <w:rPr>
                <w:noProof/>
                <w:webHidden/>
              </w:rPr>
              <w:instrText xml:space="preserve"> PAGEREF _Toc536000975 \h </w:instrText>
            </w:r>
            <w:r w:rsidR="004C0A33">
              <w:rPr>
                <w:noProof/>
                <w:webHidden/>
              </w:rPr>
            </w:r>
            <w:r w:rsidR="004C0A33">
              <w:rPr>
                <w:noProof/>
                <w:webHidden/>
              </w:rPr>
              <w:fldChar w:fldCharType="separate"/>
            </w:r>
            <w:r w:rsidR="009317EB">
              <w:rPr>
                <w:noProof/>
                <w:webHidden/>
              </w:rPr>
              <w:t>46</w:t>
            </w:r>
            <w:r w:rsidR="004C0A33">
              <w:rPr>
                <w:noProof/>
                <w:webHidden/>
              </w:rPr>
              <w:fldChar w:fldCharType="end"/>
            </w:r>
          </w:hyperlink>
        </w:p>
        <w:p w:rsidR="004C0A33" w:rsidRDefault="00683A01">
          <w:pPr>
            <w:pStyle w:val="TOC1"/>
            <w:tabs>
              <w:tab w:val="right" w:leader="dot" w:pos="9350"/>
            </w:tabs>
            <w:rPr>
              <w:rFonts w:asciiTheme="minorHAnsi" w:eastAsiaTheme="minorEastAsia" w:hAnsiTheme="minorHAnsi" w:cstheme="minorBidi"/>
              <w:noProof/>
              <w:szCs w:val="22"/>
              <w:lang w:val="en-150" w:eastAsia="en-150"/>
            </w:rPr>
          </w:pPr>
          <w:hyperlink w:anchor="_Toc536000976" w:history="1">
            <w:r w:rsidR="004C0A33" w:rsidRPr="003622DD">
              <w:rPr>
                <w:rStyle w:val="Hyperlink"/>
                <w:rFonts w:eastAsia="Times New Roman" w:cstheme="majorHAnsi"/>
                <w:noProof/>
              </w:rPr>
              <w:t>Shtojca 3 Organizimi Institucional</w:t>
            </w:r>
            <w:r w:rsidR="004C0A33">
              <w:rPr>
                <w:noProof/>
                <w:webHidden/>
              </w:rPr>
              <w:tab/>
            </w:r>
            <w:r w:rsidR="004C0A33">
              <w:rPr>
                <w:noProof/>
                <w:webHidden/>
              </w:rPr>
              <w:fldChar w:fldCharType="begin"/>
            </w:r>
            <w:r w:rsidR="004C0A33">
              <w:rPr>
                <w:noProof/>
                <w:webHidden/>
              </w:rPr>
              <w:instrText xml:space="preserve"> PAGEREF _Toc536000976 \h </w:instrText>
            </w:r>
            <w:r w:rsidR="004C0A33">
              <w:rPr>
                <w:noProof/>
                <w:webHidden/>
              </w:rPr>
            </w:r>
            <w:r w:rsidR="004C0A33">
              <w:rPr>
                <w:noProof/>
                <w:webHidden/>
              </w:rPr>
              <w:fldChar w:fldCharType="separate"/>
            </w:r>
            <w:r w:rsidR="009317EB">
              <w:rPr>
                <w:noProof/>
                <w:webHidden/>
              </w:rPr>
              <w:t>47</w:t>
            </w:r>
            <w:r w:rsidR="004C0A33">
              <w:rPr>
                <w:noProof/>
                <w:webHidden/>
              </w:rPr>
              <w:fldChar w:fldCharType="end"/>
            </w:r>
          </w:hyperlink>
        </w:p>
        <w:p w:rsidR="004C0A33" w:rsidRDefault="00683A01">
          <w:pPr>
            <w:pStyle w:val="TOC1"/>
            <w:tabs>
              <w:tab w:val="right" w:leader="dot" w:pos="9350"/>
            </w:tabs>
            <w:rPr>
              <w:rFonts w:asciiTheme="minorHAnsi" w:eastAsiaTheme="minorEastAsia" w:hAnsiTheme="minorHAnsi" w:cstheme="minorBidi"/>
              <w:noProof/>
              <w:szCs w:val="22"/>
              <w:lang w:val="en-150" w:eastAsia="en-150"/>
            </w:rPr>
          </w:pPr>
          <w:hyperlink w:anchor="_Toc536000977" w:history="1">
            <w:r w:rsidR="004C0A33" w:rsidRPr="003622DD">
              <w:rPr>
                <w:rStyle w:val="Hyperlink"/>
                <w:rFonts w:eastAsia="Times New Roman" w:cstheme="majorHAnsi"/>
                <w:noProof/>
              </w:rPr>
              <w:t>Shtojca 4 Përcaktimi i Treguesve Matës</w:t>
            </w:r>
            <w:r w:rsidR="004C0A33">
              <w:rPr>
                <w:noProof/>
                <w:webHidden/>
              </w:rPr>
              <w:tab/>
            </w:r>
            <w:r w:rsidR="004C0A33">
              <w:rPr>
                <w:noProof/>
                <w:webHidden/>
              </w:rPr>
              <w:fldChar w:fldCharType="begin"/>
            </w:r>
            <w:r w:rsidR="004C0A33">
              <w:rPr>
                <w:noProof/>
                <w:webHidden/>
              </w:rPr>
              <w:instrText xml:space="preserve"> PAGEREF _Toc536000977 \h </w:instrText>
            </w:r>
            <w:r w:rsidR="004C0A33">
              <w:rPr>
                <w:noProof/>
                <w:webHidden/>
              </w:rPr>
            </w:r>
            <w:r w:rsidR="004C0A33">
              <w:rPr>
                <w:noProof/>
                <w:webHidden/>
              </w:rPr>
              <w:fldChar w:fldCharType="separate"/>
            </w:r>
            <w:r w:rsidR="009317EB">
              <w:rPr>
                <w:noProof/>
                <w:webHidden/>
              </w:rPr>
              <w:t>48</w:t>
            </w:r>
            <w:r w:rsidR="004C0A33">
              <w:rPr>
                <w:noProof/>
                <w:webHidden/>
              </w:rPr>
              <w:fldChar w:fldCharType="end"/>
            </w:r>
          </w:hyperlink>
        </w:p>
        <w:p w:rsidR="004C0A33" w:rsidRDefault="00683A01">
          <w:pPr>
            <w:pStyle w:val="TOC1"/>
            <w:tabs>
              <w:tab w:val="right" w:leader="dot" w:pos="9350"/>
            </w:tabs>
            <w:rPr>
              <w:rFonts w:asciiTheme="minorHAnsi" w:eastAsiaTheme="minorEastAsia" w:hAnsiTheme="minorHAnsi" w:cstheme="minorBidi"/>
              <w:noProof/>
              <w:szCs w:val="22"/>
              <w:lang w:val="en-150" w:eastAsia="en-150"/>
            </w:rPr>
          </w:pPr>
          <w:hyperlink w:anchor="_Toc536000978" w:history="1">
            <w:r w:rsidR="004C0A33" w:rsidRPr="003622DD">
              <w:rPr>
                <w:rStyle w:val="Hyperlink"/>
                <w:rFonts w:eastAsia="Times New Roman" w:cstheme="majorHAnsi"/>
                <w:noProof/>
              </w:rPr>
              <w:t>Shtojca 5 Termat kryesore</w:t>
            </w:r>
            <w:r w:rsidR="004C0A33">
              <w:rPr>
                <w:noProof/>
                <w:webHidden/>
              </w:rPr>
              <w:tab/>
            </w:r>
            <w:r w:rsidR="004C0A33">
              <w:rPr>
                <w:noProof/>
                <w:webHidden/>
              </w:rPr>
              <w:fldChar w:fldCharType="begin"/>
            </w:r>
            <w:r w:rsidR="004C0A33">
              <w:rPr>
                <w:noProof/>
                <w:webHidden/>
              </w:rPr>
              <w:instrText xml:space="preserve"> PAGEREF _Toc536000978 \h </w:instrText>
            </w:r>
            <w:r w:rsidR="004C0A33">
              <w:rPr>
                <w:noProof/>
                <w:webHidden/>
              </w:rPr>
            </w:r>
            <w:r w:rsidR="004C0A33">
              <w:rPr>
                <w:noProof/>
                <w:webHidden/>
              </w:rPr>
              <w:fldChar w:fldCharType="separate"/>
            </w:r>
            <w:r w:rsidR="009317EB">
              <w:rPr>
                <w:noProof/>
                <w:webHidden/>
              </w:rPr>
              <w:t>49</w:t>
            </w:r>
            <w:r w:rsidR="004C0A33">
              <w:rPr>
                <w:noProof/>
                <w:webHidden/>
              </w:rPr>
              <w:fldChar w:fldCharType="end"/>
            </w:r>
          </w:hyperlink>
        </w:p>
        <w:p w:rsidR="00CF44A5" w:rsidRPr="00B6593D" w:rsidRDefault="00CF44A5" w:rsidP="00CF44A5">
          <w:pPr>
            <w:rPr>
              <w:rFonts w:cstheme="majorHAnsi"/>
              <w:color w:val="000000" w:themeColor="text1"/>
            </w:rPr>
          </w:pPr>
          <w:r w:rsidRPr="00B6593D">
            <w:rPr>
              <w:rFonts w:cstheme="majorHAnsi"/>
              <w:b/>
              <w:bCs/>
              <w:color w:val="000000" w:themeColor="text1"/>
            </w:rPr>
            <w:fldChar w:fldCharType="end"/>
          </w:r>
        </w:p>
      </w:sdtContent>
    </w:sdt>
    <w:p w:rsidR="00CF44A5" w:rsidRPr="00B6593D" w:rsidRDefault="00CF44A5" w:rsidP="00CF44A5">
      <w:pPr>
        <w:spacing w:after="160" w:line="259" w:lineRule="auto"/>
        <w:contextualSpacing w:val="0"/>
        <w:jc w:val="left"/>
        <w:rPr>
          <w:rFonts w:eastAsiaTheme="majorEastAsia" w:cstheme="majorHAnsi"/>
          <w:b/>
          <w:color w:val="000000" w:themeColor="text1"/>
          <w:sz w:val="24"/>
        </w:rPr>
      </w:pPr>
    </w:p>
    <w:p w:rsidR="00CF44A5" w:rsidRPr="00B6593D" w:rsidRDefault="00CF44A5" w:rsidP="00CF44A5">
      <w:pPr>
        <w:spacing w:after="160" w:line="259" w:lineRule="auto"/>
        <w:contextualSpacing w:val="0"/>
        <w:jc w:val="left"/>
        <w:rPr>
          <w:rFonts w:eastAsiaTheme="majorEastAsia" w:cstheme="majorHAnsi"/>
          <w:b/>
          <w:color w:val="000000" w:themeColor="text1"/>
          <w:sz w:val="24"/>
        </w:rPr>
      </w:pPr>
    </w:p>
    <w:p w:rsidR="00CF44A5" w:rsidRDefault="00CF44A5" w:rsidP="00CF44A5">
      <w:pPr>
        <w:spacing w:after="160" w:line="259" w:lineRule="auto"/>
        <w:contextualSpacing w:val="0"/>
        <w:jc w:val="left"/>
        <w:rPr>
          <w:rFonts w:eastAsiaTheme="majorEastAsia" w:cstheme="majorHAnsi"/>
          <w:b/>
          <w:color w:val="000000" w:themeColor="text1"/>
          <w:sz w:val="24"/>
        </w:rPr>
      </w:pPr>
    </w:p>
    <w:p w:rsidR="0021663F" w:rsidRDefault="0021663F" w:rsidP="00CF44A5">
      <w:pPr>
        <w:spacing w:after="160" w:line="259" w:lineRule="auto"/>
        <w:contextualSpacing w:val="0"/>
        <w:jc w:val="left"/>
        <w:rPr>
          <w:rFonts w:eastAsiaTheme="majorEastAsia" w:cstheme="majorHAnsi"/>
          <w:b/>
          <w:color w:val="000000" w:themeColor="text1"/>
          <w:sz w:val="24"/>
        </w:rPr>
      </w:pPr>
    </w:p>
    <w:p w:rsidR="0021663F" w:rsidRDefault="0021663F" w:rsidP="00CF44A5">
      <w:pPr>
        <w:spacing w:after="160" w:line="259" w:lineRule="auto"/>
        <w:contextualSpacing w:val="0"/>
        <w:jc w:val="left"/>
        <w:rPr>
          <w:rFonts w:eastAsiaTheme="majorEastAsia" w:cstheme="majorHAnsi"/>
          <w:b/>
          <w:color w:val="000000" w:themeColor="text1"/>
          <w:sz w:val="24"/>
        </w:rPr>
      </w:pPr>
    </w:p>
    <w:p w:rsidR="0021663F" w:rsidRDefault="0021663F" w:rsidP="00CF44A5">
      <w:pPr>
        <w:spacing w:after="160" w:line="259" w:lineRule="auto"/>
        <w:contextualSpacing w:val="0"/>
        <w:jc w:val="left"/>
        <w:rPr>
          <w:rFonts w:eastAsiaTheme="majorEastAsia" w:cstheme="majorHAnsi"/>
          <w:b/>
          <w:color w:val="000000" w:themeColor="text1"/>
          <w:sz w:val="24"/>
        </w:rPr>
      </w:pPr>
    </w:p>
    <w:p w:rsidR="00CF44A5" w:rsidRPr="00B6593D" w:rsidRDefault="00CF44A5" w:rsidP="00CF44A5">
      <w:pPr>
        <w:pStyle w:val="Heading1"/>
        <w:spacing w:line="276" w:lineRule="auto"/>
        <w:rPr>
          <w:rFonts w:cstheme="majorHAnsi"/>
          <w:color w:val="000000" w:themeColor="text1"/>
          <w:sz w:val="24"/>
          <w:szCs w:val="24"/>
          <w:u w:val="single"/>
        </w:rPr>
      </w:pPr>
      <w:bookmarkStart w:id="0" w:name="_Toc536000955"/>
      <w:r w:rsidRPr="00B6593D">
        <w:rPr>
          <w:rFonts w:cstheme="majorHAnsi"/>
          <w:color w:val="000000" w:themeColor="text1"/>
          <w:sz w:val="24"/>
          <w:szCs w:val="24"/>
          <w:u w:val="single"/>
        </w:rPr>
        <w:lastRenderedPageBreak/>
        <w:t>PËRMBLEDHJE EKZEKUTIVE</w:t>
      </w:r>
      <w:bookmarkEnd w:id="0"/>
      <w:r w:rsidRPr="00B6593D">
        <w:rPr>
          <w:rFonts w:cstheme="majorHAnsi"/>
          <w:color w:val="000000" w:themeColor="text1"/>
          <w:sz w:val="24"/>
          <w:szCs w:val="24"/>
          <w:u w:val="single"/>
        </w:rPr>
        <w:t xml:space="preserve"> </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Krijimi i një kornize përkra</w:t>
      </w:r>
      <w:r w:rsidR="00715F6E" w:rsidRPr="00B6593D">
        <w:rPr>
          <w:rFonts w:cstheme="majorHAnsi"/>
          <w:color w:val="000000" w:themeColor="text1"/>
          <w:szCs w:val="22"/>
        </w:rPr>
        <w:t>hëse</w:t>
      </w:r>
      <w:r w:rsidRPr="00B6593D">
        <w:rPr>
          <w:rFonts w:cstheme="majorHAnsi"/>
          <w:color w:val="000000" w:themeColor="text1"/>
          <w:szCs w:val="22"/>
        </w:rPr>
        <w:t xml:space="preserve"> ligjore, institucionale dhe financiare për bashkëpunim në mes të qeverisë dhe shoqërisë civile është një ndër treguesit thelbësor të pjekurisë së demokracive moderne. Shoqëria civile e fuqizuar dhe aktive mund të kontribuojë në formësimin e një legjislacioni më të mirë, ofrimin e shërbimeve më të mira publike, sigurimin e monitorimit më efikas të zbatimit të reformave kyçe të politikave dhe përmirësimin e vullnetarizmit qytetar. Roli i shoqërisë civile në procesin e integrimit evropian në parim është përfshirë në një sërë dokumentesh zyrtare të BE-së</w:t>
      </w:r>
      <w:r w:rsidR="003F5EEC" w:rsidRPr="00B6593D">
        <w:rPr>
          <w:rFonts w:cstheme="majorHAnsi"/>
          <w:color w:val="000000" w:themeColor="text1"/>
          <w:szCs w:val="22"/>
        </w:rPr>
        <w:t xml:space="preserve"> </w:t>
      </w:r>
      <w:r w:rsidRPr="00B6593D">
        <w:rPr>
          <w:rFonts w:cstheme="majorHAnsi"/>
          <w:color w:val="000000" w:themeColor="text1"/>
          <w:szCs w:val="22"/>
        </w:rPr>
        <w:t xml:space="preserve">dhe të Qeverisë së Republikës së Kosovës, ku partneriteti në mes të qeverisë dhe shoqërisë civile është kthyer në prioritet të saj. </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i/>
          <w:color w:val="000000" w:themeColor="text1"/>
          <w:szCs w:val="22"/>
        </w:rPr>
        <w:t xml:space="preserve"> </w:t>
      </w:r>
      <w:hyperlink r:id="rId9" w:history="1">
        <w:r w:rsidRPr="00B6593D">
          <w:rPr>
            <w:rStyle w:val="Hyperlink"/>
            <w:rFonts w:cstheme="majorHAnsi"/>
            <w:i/>
            <w:color w:val="000000" w:themeColor="text1"/>
            <w:sz w:val="24"/>
          </w:rPr>
          <w:t>Strategjia e parë Qeveri</w:t>
        </w:r>
        <w:r w:rsidR="007A1F86" w:rsidRPr="00B6593D">
          <w:rPr>
            <w:rStyle w:val="Hyperlink"/>
            <w:rFonts w:cstheme="majorHAnsi"/>
            <w:i/>
            <w:color w:val="000000" w:themeColor="text1"/>
            <w:sz w:val="24"/>
          </w:rPr>
          <w:t>tare</w:t>
        </w:r>
        <w:r w:rsidRPr="00B6593D">
          <w:rPr>
            <w:rStyle w:val="Hyperlink"/>
            <w:rFonts w:cstheme="majorHAnsi"/>
            <w:i/>
            <w:color w:val="000000" w:themeColor="text1"/>
            <w:sz w:val="24"/>
          </w:rPr>
          <w:t xml:space="preserve"> për Bashkëpunim me Shoqërinë Civile</w:t>
        </w:r>
      </w:hyperlink>
      <w:r w:rsidRPr="00B6593D">
        <w:rPr>
          <w:rFonts w:cstheme="majorHAnsi"/>
          <w:color w:val="000000" w:themeColor="text1"/>
          <w:sz w:val="24"/>
        </w:rPr>
        <w:t xml:space="preserve"> (2013-2017</w:t>
      </w:r>
      <w:r w:rsidRPr="00B6593D">
        <w:rPr>
          <w:rFonts w:cstheme="majorHAnsi"/>
          <w:color w:val="000000" w:themeColor="text1"/>
          <w:szCs w:val="22"/>
        </w:rPr>
        <w:t xml:space="preserve">) </w:t>
      </w:r>
      <w:r w:rsidR="00221DE3" w:rsidRPr="00B6593D">
        <w:rPr>
          <w:rFonts w:cstheme="majorHAnsi"/>
          <w:color w:val="000000" w:themeColor="text1"/>
          <w:szCs w:val="22"/>
        </w:rPr>
        <w:t xml:space="preserve">është </w:t>
      </w:r>
      <w:r w:rsidRPr="00B6593D">
        <w:rPr>
          <w:rFonts w:cstheme="majorHAnsi"/>
          <w:color w:val="000000" w:themeColor="text1"/>
          <w:szCs w:val="22"/>
        </w:rPr>
        <w:t>miratua</w:t>
      </w:r>
      <w:r w:rsidR="00221DE3" w:rsidRPr="00B6593D">
        <w:rPr>
          <w:rFonts w:cstheme="majorHAnsi"/>
          <w:color w:val="000000" w:themeColor="text1"/>
          <w:szCs w:val="22"/>
        </w:rPr>
        <w:t>r</w:t>
      </w:r>
      <w:r w:rsidRPr="00B6593D">
        <w:rPr>
          <w:rFonts w:cstheme="majorHAnsi"/>
          <w:color w:val="000000" w:themeColor="text1"/>
          <w:szCs w:val="22"/>
        </w:rPr>
        <w:t xml:space="preserve"> në </w:t>
      </w:r>
      <w:r w:rsidR="00596005">
        <w:rPr>
          <w:rFonts w:cstheme="majorHAnsi"/>
          <w:color w:val="000000" w:themeColor="text1"/>
          <w:szCs w:val="22"/>
        </w:rPr>
        <w:t xml:space="preserve">korrik </w:t>
      </w:r>
      <w:r w:rsidRPr="00B6593D">
        <w:rPr>
          <w:rFonts w:cstheme="majorHAnsi"/>
          <w:color w:val="000000" w:themeColor="text1"/>
          <w:szCs w:val="22"/>
        </w:rPr>
        <w:t>të vitit 2013 si shenjë e rëndësishme e njohjes së rolit të shoqërisë civile nga ana e Qeverisë së Republikës së Kosovës në politik</w:t>
      </w:r>
      <w:r w:rsidR="00221DE3" w:rsidRPr="00B6593D">
        <w:rPr>
          <w:rFonts w:cstheme="majorHAnsi"/>
          <w:color w:val="000000" w:themeColor="text1"/>
          <w:szCs w:val="22"/>
        </w:rPr>
        <w:t>ë-bërje</w:t>
      </w:r>
      <w:r w:rsidRPr="00B6593D">
        <w:rPr>
          <w:rFonts w:cstheme="majorHAnsi"/>
          <w:color w:val="000000" w:themeColor="text1"/>
          <w:szCs w:val="22"/>
        </w:rPr>
        <w:t xml:space="preserve"> dhe në qeverisje të mirë. Kjo Strategji u dizajnua për të ndihmuar në përmirësimin e bashkëpunimit të qeverisë me shoqërinë civile në kontekstin e katër objektivave strategjike: </w:t>
      </w:r>
    </w:p>
    <w:p w:rsidR="007A1F86" w:rsidRPr="00B6593D" w:rsidRDefault="007A1F86" w:rsidP="00CF44A5">
      <w:pPr>
        <w:spacing w:line="276" w:lineRule="auto"/>
        <w:rPr>
          <w:rFonts w:cstheme="majorHAnsi"/>
          <w:color w:val="000000" w:themeColor="text1"/>
          <w:szCs w:val="22"/>
        </w:rPr>
      </w:pPr>
    </w:p>
    <w:p w:rsidR="00CF44A5" w:rsidRPr="00B6593D" w:rsidRDefault="00CF44A5" w:rsidP="00024AAC">
      <w:pPr>
        <w:pStyle w:val="ListParagraph"/>
        <w:numPr>
          <w:ilvl w:val="0"/>
          <w:numId w:val="2"/>
        </w:numPr>
        <w:spacing w:line="276" w:lineRule="auto"/>
        <w:rPr>
          <w:rFonts w:asciiTheme="majorHAnsi" w:hAnsiTheme="majorHAnsi" w:cstheme="majorHAnsi"/>
          <w:color w:val="000000" w:themeColor="text1"/>
          <w:szCs w:val="22"/>
        </w:rPr>
      </w:pPr>
      <w:r w:rsidRPr="00B6593D">
        <w:rPr>
          <w:rFonts w:asciiTheme="majorHAnsi" w:hAnsiTheme="majorHAnsi" w:cstheme="majorHAnsi"/>
          <w:color w:val="000000" w:themeColor="text1"/>
          <w:szCs w:val="22"/>
        </w:rPr>
        <w:t>Sigurimi i pjesëmarrjes të shoqërisë civile në hartimin e politikave dhe legjislacionit,</w:t>
      </w:r>
    </w:p>
    <w:p w:rsidR="00CF44A5" w:rsidRPr="00B6593D" w:rsidRDefault="00CF44A5" w:rsidP="00024AAC">
      <w:pPr>
        <w:pStyle w:val="ListParagraph"/>
        <w:numPr>
          <w:ilvl w:val="0"/>
          <w:numId w:val="2"/>
        </w:numPr>
        <w:spacing w:line="276" w:lineRule="auto"/>
        <w:rPr>
          <w:rFonts w:asciiTheme="majorHAnsi" w:hAnsiTheme="majorHAnsi" w:cstheme="majorHAnsi"/>
          <w:color w:val="000000" w:themeColor="text1"/>
          <w:szCs w:val="22"/>
        </w:rPr>
      </w:pPr>
      <w:r w:rsidRPr="00B6593D">
        <w:rPr>
          <w:rFonts w:asciiTheme="majorHAnsi" w:hAnsiTheme="majorHAnsi" w:cstheme="majorHAnsi"/>
          <w:color w:val="000000" w:themeColor="text1"/>
          <w:szCs w:val="22"/>
        </w:rPr>
        <w:t>Krijimi i një sistemi për kontraktimin e OSHC-ve për ofrimin e shërbimeve ,</w:t>
      </w:r>
    </w:p>
    <w:p w:rsidR="00CF44A5" w:rsidRPr="00B6593D" w:rsidRDefault="00CF44A5" w:rsidP="00024AAC">
      <w:pPr>
        <w:pStyle w:val="ListParagraph"/>
        <w:numPr>
          <w:ilvl w:val="0"/>
          <w:numId w:val="2"/>
        </w:numPr>
        <w:spacing w:line="276" w:lineRule="auto"/>
        <w:rPr>
          <w:rFonts w:asciiTheme="majorHAnsi" w:hAnsiTheme="majorHAnsi" w:cstheme="majorHAnsi"/>
          <w:color w:val="000000" w:themeColor="text1"/>
          <w:szCs w:val="22"/>
        </w:rPr>
      </w:pPr>
      <w:r w:rsidRPr="00B6593D">
        <w:rPr>
          <w:rFonts w:asciiTheme="majorHAnsi" w:hAnsiTheme="majorHAnsi" w:cstheme="majorHAnsi"/>
          <w:color w:val="000000" w:themeColor="text1"/>
          <w:szCs w:val="22"/>
        </w:rPr>
        <w:t xml:space="preserve">Vendosja e sistemit financiar dhe paracaktimi i kritereve për mbështetjen e shoqërisë civile me fonde publike si dhe </w:t>
      </w:r>
    </w:p>
    <w:p w:rsidR="00CF44A5" w:rsidRPr="00B6593D" w:rsidRDefault="00CF44A5" w:rsidP="00024AAC">
      <w:pPr>
        <w:pStyle w:val="ListParagraph"/>
        <w:numPr>
          <w:ilvl w:val="0"/>
          <w:numId w:val="2"/>
        </w:numPr>
        <w:spacing w:line="276" w:lineRule="auto"/>
        <w:rPr>
          <w:rFonts w:asciiTheme="majorHAnsi" w:hAnsiTheme="majorHAnsi" w:cstheme="majorHAnsi"/>
          <w:color w:val="000000" w:themeColor="text1"/>
          <w:szCs w:val="22"/>
        </w:rPr>
      </w:pPr>
      <w:r w:rsidRPr="00B6593D">
        <w:rPr>
          <w:rFonts w:asciiTheme="majorHAnsi" w:hAnsiTheme="majorHAnsi" w:cstheme="majorHAnsi"/>
          <w:color w:val="000000" w:themeColor="text1"/>
          <w:szCs w:val="22"/>
        </w:rPr>
        <w:t xml:space="preserve">Promovimi i një qasjeje të integruar për zhvillimin e vullnetarizmit në vend. </w: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Vlerësimi i zbatimit të Strategjisë së parë për </w:t>
      </w:r>
      <w:r w:rsidR="006D4A8E">
        <w:rPr>
          <w:rFonts w:cstheme="majorHAnsi"/>
          <w:color w:val="000000" w:themeColor="text1"/>
          <w:szCs w:val="22"/>
        </w:rPr>
        <w:t>për</w:t>
      </w:r>
      <w:r w:rsidRPr="00B6593D">
        <w:rPr>
          <w:rFonts w:cstheme="majorHAnsi"/>
          <w:color w:val="000000" w:themeColor="text1"/>
          <w:szCs w:val="22"/>
        </w:rPr>
        <w:t>iudhën 2013-2017 është udhëhequr nga Zyra për Qeverisje të Mirë në Zyrën e Kryeministrit (ZQM</w:t>
      </w:r>
      <w:r w:rsidR="00221DE3" w:rsidRPr="00B6593D">
        <w:rPr>
          <w:rFonts w:cstheme="majorHAnsi"/>
          <w:color w:val="000000" w:themeColor="text1"/>
          <w:szCs w:val="22"/>
        </w:rPr>
        <w:t>/</w:t>
      </w:r>
      <w:r w:rsidRPr="00B6593D">
        <w:rPr>
          <w:rFonts w:cstheme="majorHAnsi"/>
          <w:color w:val="000000" w:themeColor="text1"/>
          <w:szCs w:val="22"/>
        </w:rPr>
        <w:t>ZKM)me mbështetjen e projektit për asistencë teknike të BE-së</w:t>
      </w:r>
      <w:r w:rsidR="003001BB" w:rsidRPr="00B6593D">
        <w:rPr>
          <w:rFonts w:cstheme="majorHAnsi"/>
          <w:color w:val="000000" w:themeColor="text1"/>
          <w:szCs w:val="22"/>
        </w:rPr>
        <w:t xml:space="preserve"> “Mbështetje për zbatimin e Strategjisë qeveritare për bashkëpunim me shoqëri civile 2013-2017”</w:t>
      </w:r>
      <w:r w:rsidRPr="00B6593D">
        <w:rPr>
          <w:rFonts w:cstheme="majorHAnsi"/>
          <w:color w:val="000000" w:themeColor="text1"/>
          <w:szCs w:val="22"/>
        </w:rPr>
        <w:t xml:space="preserve">, i cili ka konfirmuar arritjen e një përparimi domethënës në fushën e konsultimeve publike në procesin e </w:t>
      </w:r>
      <w:r w:rsidR="00221DE3" w:rsidRPr="00B6593D">
        <w:rPr>
          <w:rFonts w:cstheme="majorHAnsi"/>
          <w:color w:val="000000" w:themeColor="text1"/>
          <w:szCs w:val="22"/>
        </w:rPr>
        <w:t>politikë-bërje</w:t>
      </w:r>
      <w:r w:rsidR="00054A6F">
        <w:rPr>
          <w:rFonts w:cstheme="majorHAnsi"/>
          <w:color w:val="000000" w:themeColor="text1"/>
          <w:szCs w:val="22"/>
        </w:rPr>
        <w:t>s</w:t>
      </w:r>
      <w:r w:rsidRPr="00B6593D">
        <w:rPr>
          <w:rFonts w:cstheme="majorHAnsi"/>
          <w:color w:val="000000" w:themeColor="text1"/>
          <w:szCs w:val="22"/>
        </w:rPr>
        <w:t xml:space="preserve">, në financimin publik të programeve dhe projekteve të OSHC-ve, ndërsa më pak përparim është shënuar në fushat e zhvillimit të vullnetarizmit dhe në përmirësimin e standardeve në ofrimin e shërbimeve publike nga OSHC-të. Ky vlerësimi po ashtu ka theksuar rëndësinë e  e objektivave strategjike dhe ka adresuar edhe sfidat dhe mësimet e nxjerra nga ky proces. Në ketë vlerësim është përfshirë edhe nevoja për fuqizimin e mëtejmë të burimeve njerëzore dhe financiare </w:t>
      </w:r>
      <w:r w:rsidR="00221DE3" w:rsidRPr="00B6593D">
        <w:rPr>
          <w:rFonts w:cstheme="majorHAnsi"/>
          <w:color w:val="000000" w:themeColor="text1"/>
          <w:szCs w:val="22"/>
        </w:rPr>
        <w:t xml:space="preserve">për </w:t>
      </w:r>
      <w:r w:rsidRPr="00B6593D">
        <w:rPr>
          <w:rFonts w:cstheme="majorHAnsi"/>
          <w:color w:val="000000" w:themeColor="text1"/>
          <w:szCs w:val="22"/>
        </w:rPr>
        <w:t xml:space="preserve"> Z</w:t>
      </w:r>
      <w:r w:rsidR="00221DE3" w:rsidRPr="00B6593D">
        <w:rPr>
          <w:rFonts w:cstheme="majorHAnsi"/>
          <w:color w:val="000000" w:themeColor="text1"/>
          <w:szCs w:val="22"/>
        </w:rPr>
        <w:t>yrën për Qeverisje të Mirë/</w:t>
      </w:r>
      <w:r w:rsidRPr="00B6593D">
        <w:rPr>
          <w:rFonts w:cstheme="majorHAnsi"/>
          <w:color w:val="000000" w:themeColor="text1"/>
          <w:szCs w:val="22"/>
        </w:rPr>
        <w:t>Z</w:t>
      </w:r>
      <w:r w:rsidR="00221DE3" w:rsidRPr="00B6593D">
        <w:rPr>
          <w:rFonts w:cstheme="majorHAnsi"/>
          <w:color w:val="000000" w:themeColor="text1"/>
          <w:szCs w:val="22"/>
        </w:rPr>
        <w:t xml:space="preserve">yrën e </w:t>
      </w:r>
      <w:r w:rsidRPr="00B6593D">
        <w:rPr>
          <w:rFonts w:cstheme="majorHAnsi"/>
          <w:color w:val="000000" w:themeColor="text1"/>
          <w:szCs w:val="22"/>
        </w:rPr>
        <w:t>K</w:t>
      </w:r>
      <w:r w:rsidR="00221DE3" w:rsidRPr="00B6593D">
        <w:rPr>
          <w:rFonts w:cstheme="majorHAnsi"/>
          <w:color w:val="000000" w:themeColor="text1"/>
          <w:szCs w:val="22"/>
        </w:rPr>
        <w:t>ryeministrit</w:t>
      </w:r>
      <w:r w:rsidR="00715F6E" w:rsidRPr="00B6593D">
        <w:rPr>
          <w:rFonts w:cstheme="majorHAnsi"/>
          <w:color w:val="000000" w:themeColor="text1"/>
          <w:szCs w:val="22"/>
        </w:rPr>
        <w:t xml:space="preserve"> dhe pjesëmarrje të shtuar e cilësore të Institucioneve përgjegjëse për zbatimin e aktiviteteve përkatëse</w:t>
      </w:r>
      <w:r w:rsidRPr="00B6593D">
        <w:rPr>
          <w:rFonts w:cstheme="majorHAnsi"/>
          <w:color w:val="000000" w:themeColor="text1"/>
          <w:szCs w:val="22"/>
        </w:rPr>
        <w:t xml:space="preserve">.  </w:t>
      </w:r>
    </w:p>
    <w:p w:rsidR="00CF44A5" w:rsidRPr="00B6593D" w:rsidRDefault="00CF44A5" w:rsidP="00CF44A5">
      <w:pPr>
        <w:spacing w:line="276" w:lineRule="auto"/>
        <w:rPr>
          <w:rFonts w:cstheme="majorHAnsi"/>
          <w:color w:val="000000" w:themeColor="text1"/>
          <w:szCs w:val="22"/>
        </w:rPr>
      </w:pPr>
    </w:p>
    <w:p w:rsidR="007A1F86"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Me miratimin e </w:t>
      </w:r>
      <w:r w:rsidRPr="00B6593D">
        <w:rPr>
          <w:rFonts w:cstheme="majorHAnsi"/>
          <w:i/>
          <w:iCs/>
          <w:color w:val="000000" w:themeColor="text1"/>
          <w:szCs w:val="22"/>
        </w:rPr>
        <w:t>Strategjisë së re</w:t>
      </w:r>
      <w:r w:rsidR="00221DE3" w:rsidRPr="00B6593D">
        <w:rPr>
          <w:rFonts w:cstheme="majorHAnsi"/>
          <w:i/>
          <w:iCs/>
          <w:color w:val="000000" w:themeColor="text1"/>
          <w:szCs w:val="22"/>
        </w:rPr>
        <w:t xml:space="preserve"> Qeveritare</w:t>
      </w:r>
      <w:r w:rsidRPr="00B6593D">
        <w:rPr>
          <w:rFonts w:cstheme="majorHAnsi"/>
          <w:i/>
          <w:iCs/>
          <w:color w:val="000000" w:themeColor="text1"/>
          <w:szCs w:val="22"/>
        </w:rPr>
        <w:t xml:space="preserve"> për Bashkëpunim </w:t>
      </w:r>
      <w:r w:rsidR="00221DE3" w:rsidRPr="00B6593D">
        <w:rPr>
          <w:rFonts w:cstheme="majorHAnsi"/>
          <w:i/>
          <w:iCs/>
          <w:color w:val="000000" w:themeColor="text1"/>
          <w:szCs w:val="22"/>
        </w:rPr>
        <w:t xml:space="preserve">me </w:t>
      </w:r>
      <w:r w:rsidRPr="00B6593D">
        <w:rPr>
          <w:rFonts w:cstheme="majorHAnsi"/>
          <w:i/>
          <w:iCs/>
          <w:color w:val="000000" w:themeColor="text1"/>
          <w:szCs w:val="22"/>
        </w:rPr>
        <w:t>shoqëri</w:t>
      </w:r>
      <w:r w:rsidR="00221DE3" w:rsidRPr="00B6593D">
        <w:rPr>
          <w:rFonts w:cstheme="majorHAnsi"/>
          <w:i/>
          <w:iCs/>
          <w:color w:val="000000" w:themeColor="text1"/>
          <w:szCs w:val="22"/>
        </w:rPr>
        <w:t>n</w:t>
      </w:r>
      <w:r w:rsidRPr="00B6593D">
        <w:rPr>
          <w:rFonts w:cstheme="majorHAnsi"/>
          <w:i/>
          <w:iCs/>
          <w:color w:val="000000" w:themeColor="text1"/>
          <w:szCs w:val="22"/>
        </w:rPr>
        <w:t>ë civile 2019-2023</w:t>
      </w:r>
      <w:r w:rsidRPr="00B6593D">
        <w:rPr>
          <w:rFonts w:cstheme="majorHAnsi"/>
          <w:color w:val="000000" w:themeColor="text1"/>
          <w:szCs w:val="22"/>
        </w:rPr>
        <w:t xml:space="preserve">, Qeveria e Republikës së Kosovës tregon përkushtimin e saj për të investuar burime plotësuese financiare dhe njerëzore me qëllim të krijimit të mekanizmave funksional për një bashkëpunim të strukturuar në mes të qeverisë dhe organizatave të shoqërisë civile. Kjo do të ndihmojë në formësimin dhe zbatimin e politikave publike si dhe krijimin e një mjedisi më të favorshëm për zhvillimin e shoqërisë civile.  Për të arritur këtë synim janë vendosur katër objektiva strategjike për </w:t>
      </w:r>
      <w:r w:rsidR="006D4A8E">
        <w:rPr>
          <w:rFonts w:cstheme="majorHAnsi"/>
          <w:color w:val="000000" w:themeColor="text1"/>
          <w:szCs w:val="22"/>
        </w:rPr>
        <w:t>për</w:t>
      </w:r>
      <w:r w:rsidRPr="00B6593D">
        <w:rPr>
          <w:rFonts w:cstheme="majorHAnsi"/>
          <w:color w:val="000000" w:themeColor="text1"/>
          <w:szCs w:val="22"/>
        </w:rPr>
        <w:t xml:space="preserve">iudhën e zbatimit 2019-2023: </w:t>
      </w:r>
    </w:p>
    <w:p w:rsidR="007A1F86" w:rsidRPr="00B6593D" w:rsidRDefault="007A1F86" w:rsidP="00CF44A5">
      <w:pPr>
        <w:spacing w:line="276" w:lineRule="auto"/>
        <w:rPr>
          <w:rFonts w:cstheme="majorHAnsi"/>
          <w:color w:val="000000" w:themeColor="text1"/>
          <w:szCs w:val="22"/>
        </w:rPr>
      </w:pPr>
    </w:p>
    <w:p w:rsidR="003F5EEC" w:rsidRPr="00B6593D" w:rsidRDefault="003F5EEC" w:rsidP="00CF44A5">
      <w:pPr>
        <w:spacing w:line="276" w:lineRule="auto"/>
        <w:rPr>
          <w:rFonts w:cstheme="majorHAnsi"/>
          <w:color w:val="000000" w:themeColor="text1"/>
          <w:szCs w:val="22"/>
        </w:rPr>
      </w:pPr>
    </w:p>
    <w:p w:rsidR="00CF44A5" w:rsidRPr="00B6593D" w:rsidRDefault="00CF44A5" w:rsidP="00024AAC">
      <w:pPr>
        <w:pStyle w:val="ListParagraph"/>
        <w:numPr>
          <w:ilvl w:val="0"/>
          <w:numId w:val="3"/>
        </w:numPr>
        <w:spacing w:line="276" w:lineRule="auto"/>
        <w:rPr>
          <w:rFonts w:asciiTheme="majorHAnsi" w:hAnsiTheme="majorHAnsi" w:cstheme="majorHAnsi"/>
          <w:color w:val="000000" w:themeColor="text1"/>
          <w:szCs w:val="22"/>
        </w:rPr>
      </w:pPr>
      <w:r w:rsidRPr="00B6593D">
        <w:rPr>
          <w:rFonts w:asciiTheme="majorHAnsi" w:hAnsiTheme="majorHAnsi" w:cstheme="majorHAnsi"/>
          <w:color w:val="000000" w:themeColor="text1"/>
          <w:szCs w:val="22"/>
        </w:rPr>
        <w:t xml:space="preserve">Rritja e pjesëmarrjes së shoqërisë civile në </w:t>
      </w:r>
      <w:r w:rsidR="00221DE3" w:rsidRPr="00B6593D">
        <w:rPr>
          <w:rFonts w:asciiTheme="majorHAnsi" w:hAnsiTheme="majorHAnsi" w:cstheme="majorHAnsi"/>
          <w:color w:val="000000" w:themeColor="text1"/>
          <w:szCs w:val="22"/>
        </w:rPr>
        <w:t>politik</w:t>
      </w:r>
      <w:r w:rsidR="007A1F86" w:rsidRPr="00B6593D">
        <w:rPr>
          <w:rFonts w:asciiTheme="majorHAnsi" w:hAnsiTheme="majorHAnsi" w:cstheme="majorHAnsi"/>
          <w:color w:val="000000" w:themeColor="text1"/>
          <w:szCs w:val="22"/>
        </w:rPr>
        <w:t>ë-</w:t>
      </w:r>
      <w:r w:rsidRPr="00B6593D">
        <w:rPr>
          <w:rFonts w:asciiTheme="majorHAnsi" w:hAnsiTheme="majorHAnsi" w:cstheme="majorHAnsi"/>
          <w:color w:val="000000" w:themeColor="text1"/>
          <w:szCs w:val="22"/>
        </w:rPr>
        <w:t xml:space="preserve">bërje, </w:t>
      </w:r>
    </w:p>
    <w:p w:rsidR="00CF44A5" w:rsidRPr="00B6593D" w:rsidRDefault="00CF44A5" w:rsidP="00024AAC">
      <w:pPr>
        <w:pStyle w:val="ListParagraph"/>
        <w:numPr>
          <w:ilvl w:val="0"/>
          <w:numId w:val="3"/>
        </w:numPr>
        <w:spacing w:line="276" w:lineRule="auto"/>
        <w:rPr>
          <w:rFonts w:asciiTheme="majorHAnsi" w:hAnsiTheme="majorHAnsi" w:cstheme="majorHAnsi"/>
          <w:color w:val="000000" w:themeColor="text1"/>
          <w:szCs w:val="22"/>
        </w:rPr>
      </w:pPr>
      <w:r w:rsidRPr="00B6593D">
        <w:rPr>
          <w:rFonts w:asciiTheme="majorHAnsi" w:hAnsiTheme="majorHAnsi" w:cstheme="majorHAnsi"/>
          <w:color w:val="000000" w:themeColor="text1"/>
          <w:szCs w:val="22"/>
        </w:rPr>
        <w:t xml:space="preserve">Rritja e llogaridhënies dhe transparencës në financimin publik për OSHC-të, </w:t>
      </w:r>
    </w:p>
    <w:p w:rsidR="00CF44A5" w:rsidRPr="00B6593D" w:rsidRDefault="00CF44A5" w:rsidP="00024AAC">
      <w:pPr>
        <w:pStyle w:val="ListParagraph"/>
        <w:numPr>
          <w:ilvl w:val="0"/>
          <w:numId w:val="3"/>
        </w:numPr>
        <w:spacing w:line="276" w:lineRule="auto"/>
        <w:rPr>
          <w:rFonts w:asciiTheme="majorHAnsi" w:hAnsiTheme="majorHAnsi" w:cstheme="majorHAnsi"/>
          <w:color w:val="000000" w:themeColor="text1"/>
          <w:szCs w:val="22"/>
        </w:rPr>
      </w:pPr>
      <w:r w:rsidRPr="00B6593D">
        <w:rPr>
          <w:rFonts w:asciiTheme="majorHAnsi" w:hAnsiTheme="majorHAnsi" w:cstheme="majorHAnsi"/>
          <w:color w:val="000000" w:themeColor="text1"/>
          <w:szCs w:val="22"/>
        </w:rPr>
        <w:t>Zhvillimi i praktikave dhe procedurave për kontraktimin e OSHC-ve për ofrimin e shërbimeve publike</w:t>
      </w:r>
      <w:r w:rsidR="005C145D">
        <w:rPr>
          <w:rFonts w:asciiTheme="majorHAnsi" w:hAnsiTheme="majorHAnsi" w:cstheme="majorHAnsi"/>
          <w:color w:val="000000" w:themeColor="text1"/>
          <w:szCs w:val="22"/>
        </w:rPr>
        <w:t xml:space="preserve"> </w:t>
      </w:r>
      <w:r w:rsidRPr="00B6593D">
        <w:rPr>
          <w:rFonts w:asciiTheme="majorHAnsi" w:hAnsiTheme="majorHAnsi" w:cstheme="majorHAnsi"/>
          <w:color w:val="000000" w:themeColor="text1"/>
          <w:szCs w:val="22"/>
        </w:rPr>
        <w:t xml:space="preserve">dhe </w:t>
      </w:r>
    </w:p>
    <w:p w:rsidR="00CF44A5" w:rsidRPr="00B6593D" w:rsidRDefault="007A1F86" w:rsidP="00024AAC">
      <w:pPr>
        <w:pStyle w:val="ListParagraph"/>
        <w:numPr>
          <w:ilvl w:val="0"/>
          <w:numId w:val="3"/>
        </w:numPr>
        <w:spacing w:line="276" w:lineRule="auto"/>
        <w:rPr>
          <w:rFonts w:asciiTheme="majorHAnsi" w:hAnsiTheme="majorHAnsi" w:cstheme="majorHAnsi"/>
          <w:color w:val="000000" w:themeColor="text1"/>
          <w:szCs w:val="22"/>
        </w:rPr>
      </w:pPr>
      <w:r w:rsidRPr="00B6593D">
        <w:rPr>
          <w:rFonts w:asciiTheme="majorHAnsi" w:hAnsiTheme="majorHAnsi" w:cstheme="majorHAnsi"/>
          <w:color w:val="000000" w:themeColor="text1"/>
          <w:szCs w:val="22"/>
        </w:rPr>
        <w:t>Rritja</w:t>
      </w:r>
      <w:r w:rsidR="00CF44A5" w:rsidRPr="00B6593D">
        <w:rPr>
          <w:rFonts w:asciiTheme="majorHAnsi" w:hAnsiTheme="majorHAnsi" w:cstheme="majorHAnsi"/>
          <w:color w:val="000000" w:themeColor="text1"/>
          <w:szCs w:val="22"/>
        </w:rPr>
        <w:t xml:space="preserve"> dhe promovimi i vullnetarizmit në programet </w:t>
      </w:r>
      <w:r w:rsidRPr="00B6593D">
        <w:rPr>
          <w:rFonts w:asciiTheme="majorHAnsi" w:hAnsiTheme="majorHAnsi" w:cstheme="majorHAnsi"/>
          <w:color w:val="000000" w:themeColor="text1"/>
          <w:szCs w:val="22"/>
        </w:rPr>
        <w:t>me</w:t>
      </w:r>
      <w:r w:rsidR="00CF44A5" w:rsidRPr="00B6593D">
        <w:rPr>
          <w:rFonts w:asciiTheme="majorHAnsi" w:hAnsiTheme="majorHAnsi" w:cstheme="majorHAnsi"/>
          <w:color w:val="000000" w:themeColor="text1"/>
          <w:szCs w:val="22"/>
        </w:rPr>
        <w:t xml:space="preserve"> interes publik.  </w: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Krahas fondeve nga buxheti i shtetit, zbatimi i këtyre objektivave strategjike do të përkrahet edhe nga asistenca teknike e BE-së si dhe priten fonde shtesë nga donatorë në fushën e zhvillimit të shoqërisë civile</w:t>
      </w:r>
      <w:r w:rsidR="00715F6E" w:rsidRPr="00B6593D">
        <w:rPr>
          <w:rFonts w:cstheme="majorHAnsi"/>
          <w:color w:val="000000" w:themeColor="text1"/>
          <w:szCs w:val="22"/>
        </w:rPr>
        <w:t>, si dhe nga OSHC-të të cilat e kanë për mision zhvillimin e shoqerisë civile ose fushat specifike të trajtuara nga objektivat strategjike përkatëse</w:t>
      </w:r>
      <w:r w:rsidRPr="00B6593D">
        <w:rPr>
          <w:rFonts w:cstheme="majorHAnsi"/>
          <w:color w:val="000000" w:themeColor="text1"/>
          <w:szCs w:val="22"/>
        </w:rPr>
        <w:t>. Metodologjia e përgjithshme për monitorimin dhe raportimin mbi zbatimin e kësaj Strategjie është përshtatur duke e vënë theksin në përkufizimin e treguesve për secilin prej objektivave strategjike si dhe përcaktimin e arritjeve të qarta për secilin vit të caktuar sipas Planit të Veprimit.</w:t>
      </w:r>
    </w:p>
    <w:p w:rsidR="00CF44A5" w:rsidRPr="00B6593D" w:rsidRDefault="00CF44A5" w:rsidP="00CF44A5">
      <w:pPr>
        <w:spacing w:line="276" w:lineRule="auto"/>
        <w:rPr>
          <w:rFonts w:cstheme="majorHAnsi"/>
          <w:color w:val="000000" w:themeColor="text1"/>
          <w:szCs w:val="22"/>
          <w:u w:val="single"/>
        </w:rPr>
      </w:pPr>
    </w:p>
    <w:p w:rsidR="00CF44A5" w:rsidRPr="00B6593D" w:rsidRDefault="00CF44A5" w:rsidP="00CF44A5">
      <w:pPr>
        <w:pStyle w:val="Heading1"/>
        <w:spacing w:line="276" w:lineRule="auto"/>
        <w:rPr>
          <w:rFonts w:cstheme="majorHAnsi"/>
          <w:color w:val="000000" w:themeColor="text1"/>
          <w:sz w:val="24"/>
          <w:szCs w:val="24"/>
          <w:u w:val="single"/>
        </w:rPr>
      </w:pPr>
      <w:bookmarkStart w:id="1" w:name="_Toc536000956"/>
      <w:r w:rsidRPr="00B6593D">
        <w:rPr>
          <w:rFonts w:cstheme="majorHAnsi"/>
          <w:color w:val="000000" w:themeColor="text1"/>
          <w:sz w:val="24"/>
          <w:szCs w:val="24"/>
          <w:u w:val="single"/>
        </w:rPr>
        <w:t>Hyrje</w:t>
      </w:r>
      <w:bookmarkEnd w:id="1"/>
      <w:r w:rsidRPr="00B6593D">
        <w:rPr>
          <w:rFonts w:cstheme="majorHAnsi"/>
          <w:color w:val="000000" w:themeColor="text1"/>
          <w:sz w:val="24"/>
          <w:szCs w:val="24"/>
          <w:u w:val="single"/>
        </w:rPr>
        <w:t xml:space="preserve"> </w:t>
      </w:r>
    </w:p>
    <w:p w:rsidR="00547FF0" w:rsidRPr="00B6593D" w:rsidRDefault="00CF44A5" w:rsidP="00547FF0">
      <w:pPr>
        <w:spacing w:line="276" w:lineRule="auto"/>
        <w:rPr>
          <w:rFonts w:cstheme="majorHAnsi"/>
          <w:color w:val="000000" w:themeColor="text1"/>
          <w:szCs w:val="22"/>
        </w:rPr>
      </w:pPr>
      <w:r w:rsidRPr="00B6593D">
        <w:rPr>
          <w:rFonts w:cstheme="majorHAnsi"/>
          <w:color w:val="000000" w:themeColor="text1"/>
          <w:szCs w:val="22"/>
        </w:rPr>
        <w:t>Kjo Strategji i përkufizon objektivat strategjike dhe politikat që Qeveria e Republikës së Kosovës synon t’i arrijë në</w:t>
      </w:r>
      <w:r w:rsidR="007A1F86" w:rsidRPr="00B6593D">
        <w:rPr>
          <w:rFonts w:cstheme="majorHAnsi"/>
          <w:color w:val="000000" w:themeColor="text1"/>
          <w:szCs w:val="22"/>
        </w:rPr>
        <w:t xml:space="preserve"> një</w:t>
      </w:r>
      <w:r w:rsidRPr="00B6593D">
        <w:rPr>
          <w:rFonts w:cstheme="majorHAnsi"/>
          <w:color w:val="000000" w:themeColor="text1"/>
          <w:szCs w:val="22"/>
        </w:rPr>
        <w:t xml:space="preserve"> </w:t>
      </w:r>
      <w:r w:rsidR="006D4A8E">
        <w:rPr>
          <w:rFonts w:cstheme="majorHAnsi"/>
          <w:color w:val="000000" w:themeColor="text1"/>
          <w:szCs w:val="22"/>
        </w:rPr>
        <w:t>për</w:t>
      </w:r>
      <w:r w:rsidRPr="00B6593D">
        <w:rPr>
          <w:rFonts w:cstheme="majorHAnsi"/>
          <w:color w:val="000000" w:themeColor="text1"/>
          <w:szCs w:val="22"/>
        </w:rPr>
        <w:t>iudhë afatmesme</w:t>
      </w:r>
      <w:r w:rsidR="007A1F86" w:rsidRPr="00B6593D">
        <w:rPr>
          <w:rFonts w:cstheme="majorHAnsi"/>
          <w:color w:val="000000" w:themeColor="text1"/>
          <w:szCs w:val="22"/>
        </w:rPr>
        <w:t xml:space="preserve"> për </w:t>
      </w:r>
      <w:r w:rsidRPr="00B6593D">
        <w:rPr>
          <w:rFonts w:cstheme="majorHAnsi"/>
          <w:color w:val="000000" w:themeColor="text1"/>
          <w:szCs w:val="22"/>
        </w:rPr>
        <w:t xml:space="preserve">përmirësimin e mjedisit përkrahës </w:t>
      </w:r>
      <w:r w:rsidR="007A1F86" w:rsidRPr="00B6593D">
        <w:rPr>
          <w:rFonts w:cstheme="majorHAnsi"/>
          <w:color w:val="000000" w:themeColor="text1"/>
          <w:szCs w:val="22"/>
        </w:rPr>
        <w:t>në</w:t>
      </w:r>
      <w:r w:rsidRPr="00B6593D">
        <w:rPr>
          <w:rFonts w:cstheme="majorHAnsi"/>
          <w:color w:val="000000" w:themeColor="text1"/>
          <w:szCs w:val="22"/>
        </w:rPr>
        <w:t xml:space="preserve"> zhvillimin e shoqërisë civile</w:t>
      </w:r>
      <w:r w:rsidR="007A1F86" w:rsidRPr="00B6593D">
        <w:rPr>
          <w:rFonts w:cstheme="majorHAnsi"/>
          <w:color w:val="000000" w:themeColor="text1"/>
          <w:szCs w:val="22"/>
        </w:rPr>
        <w:t xml:space="preserve"> si</w:t>
      </w:r>
      <w:r w:rsidRPr="00B6593D">
        <w:rPr>
          <w:rFonts w:cstheme="majorHAnsi"/>
          <w:color w:val="000000" w:themeColor="text1"/>
          <w:szCs w:val="22"/>
        </w:rPr>
        <w:t xml:space="preserve"> dhe krijimin e parakushteve për një bashkëpunim më efektiv me OSHC-të</w:t>
      </w:r>
      <w:r w:rsidR="007A1F86" w:rsidRPr="00B6593D">
        <w:rPr>
          <w:rFonts w:cstheme="majorHAnsi"/>
          <w:color w:val="000000" w:themeColor="text1"/>
          <w:szCs w:val="22"/>
        </w:rPr>
        <w:t xml:space="preserve"> për</w:t>
      </w:r>
      <w:r w:rsidRPr="00B6593D">
        <w:rPr>
          <w:rFonts w:cstheme="majorHAnsi"/>
          <w:color w:val="000000" w:themeColor="text1"/>
          <w:szCs w:val="22"/>
        </w:rPr>
        <w:t xml:space="preserve"> reforma</w:t>
      </w:r>
      <w:r w:rsidR="007A1F86" w:rsidRPr="00B6593D">
        <w:rPr>
          <w:rFonts w:cstheme="majorHAnsi"/>
          <w:color w:val="000000" w:themeColor="text1"/>
          <w:szCs w:val="22"/>
        </w:rPr>
        <w:t>t</w:t>
      </w:r>
      <w:r w:rsidRPr="00B6593D">
        <w:rPr>
          <w:rFonts w:cstheme="majorHAnsi"/>
          <w:color w:val="000000" w:themeColor="text1"/>
          <w:szCs w:val="22"/>
        </w:rPr>
        <w:t xml:space="preserve"> kryesore në vend. Një shoqëri civile aktive dhe e fuqizuar konsiderohet si një përbërës thelbësor i demokracive moderne pluraliste. Prandaj, zhvillimi i bashkëpunimit në mes të qeverisë dhe shoqërisë civile në formësimin dhe zbatimin e politikave publike është thelbësore në zhvillimin gjithëpërfshirës të qeverisjes së orientuar drejt qytetarit dhe respektimin e diversitetit në të gjitha aspektet e shoqërisë. Strategjia e BE-së për </w:t>
      </w:r>
      <w:r w:rsidRPr="00B6593D">
        <w:rPr>
          <w:rFonts w:cstheme="majorHAnsi"/>
          <w:i/>
          <w:iCs/>
          <w:color w:val="000000" w:themeColor="text1"/>
          <w:szCs w:val="22"/>
        </w:rPr>
        <w:t>“</w:t>
      </w:r>
      <w:r w:rsidR="003001BB" w:rsidRPr="00B6593D">
        <w:rPr>
          <w:rFonts w:cstheme="majorHAnsi"/>
          <w:i/>
          <w:iCs/>
          <w:color w:val="000000" w:themeColor="text1"/>
          <w:szCs w:val="22"/>
        </w:rPr>
        <w:t xml:space="preserve">Një </w:t>
      </w:r>
      <w:r w:rsidR="006D4A8E">
        <w:rPr>
          <w:rFonts w:cstheme="majorHAnsi"/>
          <w:i/>
          <w:iCs/>
          <w:color w:val="000000" w:themeColor="text1"/>
          <w:szCs w:val="22"/>
        </w:rPr>
        <w:t>për</w:t>
      </w:r>
      <w:r w:rsidR="003001BB" w:rsidRPr="00B6593D">
        <w:rPr>
          <w:rFonts w:cstheme="majorHAnsi"/>
          <w:i/>
          <w:iCs/>
          <w:color w:val="000000" w:themeColor="text1"/>
          <w:szCs w:val="22"/>
        </w:rPr>
        <w:t>spektivë zgjerimi e besueshme për një angazhim të shtuar të BE-së me Ballkanin Perëndimor</w:t>
      </w:r>
      <w:r w:rsidR="003F5EEC" w:rsidRPr="00B6593D">
        <w:rPr>
          <w:rFonts w:cstheme="majorHAnsi"/>
          <w:color w:val="000000" w:themeColor="text1"/>
          <w:szCs w:val="22"/>
        </w:rPr>
        <w:t>”e</w:t>
      </w:r>
      <w:r w:rsidRPr="00B6593D">
        <w:rPr>
          <w:rFonts w:cstheme="majorHAnsi"/>
          <w:color w:val="000000" w:themeColor="text1"/>
          <w:szCs w:val="22"/>
        </w:rPr>
        <w:t xml:space="preserve"> muajit shkurt 2018</w:t>
      </w:r>
      <w:r w:rsidRPr="00B6593D">
        <w:rPr>
          <w:rStyle w:val="FootnoteReference"/>
          <w:rFonts w:cstheme="majorHAnsi"/>
          <w:color w:val="000000" w:themeColor="text1"/>
          <w:szCs w:val="22"/>
        </w:rPr>
        <w:footnoteReference w:id="1"/>
      </w:r>
      <w:r w:rsidRPr="00B6593D">
        <w:rPr>
          <w:rFonts w:cstheme="majorHAnsi"/>
          <w:color w:val="000000" w:themeColor="text1"/>
          <w:szCs w:val="22"/>
        </w:rPr>
        <w:t xml:space="preserve"> thekson se një mjedis përkrahës ligjor, institucional dhe financiar për shoqërinë civile është thelbësor dhe se qeveritë duhet të sigurojnë pjesëmarrje aktive të OSHC-ve në proceset e reformave dhe </w:t>
      </w:r>
      <w:r w:rsidR="00221DE3" w:rsidRPr="00B6593D">
        <w:rPr>
          <w:rFonts w:cstheme="majorHAnsi"/>
          <w:color w:val="000000" w:themeColor="text1"/>
          <w:szCs w:val="22"/>
        </w:rPr>
        <w:t>politikë-bërje</w:t>
      </w:r>
      <w:r w:rsidR="005C145D">
        <w:rPr>
          <w:rFonts w:cstheme="majorHAnsi"/>
          <w:color w:val="000000" w:themeColor="text1"/>
          <w:szCs w:val="22"/>
        </w:rPr>
        <w:t>s</w:t>
      </w:r>
      <w:r w:rsidRPr="00B6593D">
        <w:rPr>
          <w:rFonts w:cstheme="majorHAnsi"/>
          <w:color w:val="000000" w:themeColor="text1"/>
          <w:szCs w:val="22"/>
        </w:rPr>
        <w:t xml:space="preserve"> përmes vendosjes së një dialogu gjithëpërfshirës dhe të strukturuar. Udhëzimet për mbështetjen e BE-së për shoqërinë civile në vendet e zgjerimit 2014-2020</w:t>
      </w:r>
      <w:r w:rsidRPr="00B6593D">
        <w:rPr>
          <w:rStyle w:val="FootnoteReference"/>
          <w:rFonts w:cstheme="majorHAnsi"/>
          <w:color w:val="000000" w:themeColor="text1"/>
          <w:szCs w:val="22"/>
        </w:rPr>
        <w:footnoteReference w:id="2"/>
      </w:r>
      <w:r w:rsidRPr="00B6593D">
        <w:rPr>
          <w:rFonts w:cstheme="majorHAnsi"/>
          <w:color w:val="000000" w:themeColor="text1"/>
          <w:szCs w:val="22"/>
        </w:rPr>
        <w:t xml:space="preserve"> të miratuara nga Drejtoria e përgjithshme për Zgjerim e BE-së</w:t>
      </w:r>
      <w:r w:rsidR="003001BB" w:rsidRPr="00B6593D">
        <w:rPr>
          <w:rFonts w:cstheme="majorHAnsi"/>
          <w:color w:val="000000" w:themeColor="text1"/>
          <w:szCs w:val="22"/>
        </w:rPr>
        <w:t xml:space="preserve">, </w:t>
      </w:r>
      <w:r w:rsidRPr="00B6593D">
        <w:rPr>
          <w:rFonts w:cstheme="majorHAnsi"/>
          <w:color w:val="000000" w:themeColor="text1"/>
          <w:szCs w:val="22"/>
        </w:rPr>
        <w:t>theksojnë rëndësinë e vendosjes së objektivave</w:t>
      </w:r>
      <w:r w:rsidR="005C145D">
        <w:rPr>
          <w:rFonts w:cstheme="majorHAnsi"/>
          <w:color w:val="000000" w:themeColor="text1"/>
          <w:szCs w:val="22"/>
        </w:rPr>
        <w:t xml:space="preserve"> të qarta</w:t>
      </w:r>
      <w:r w:rsidRPr="00B6593D">
        <w:rPr>
          <w:rFonts w:cstheme="majorHAnsi"/>
          <w:color w:val="000000" w:themeColor="text1"/>
          <w:szCs w:val="22"/>
        </w:rPr>
        <w:t xml:space="preserve">, rezultateve dhe treguesve për monitorimin e përparimit të qeverive në këtë fushë. Këto elemente janë bërë një pjesë </w:t>
      </w:r>
      <w:r w:rsidR="003001BB" w:rsidRPr="00B6593D">
        <w:rPr>
          <w:rFonts w:cstheme="majorHAnsi"/>
          <w:color w:val="000000" w:themeColor="text1"/>
          <w:szCs w:val="22"/>
        </w:rPr>
        <w:t>e</w:t>
      </w:r>
      <w:r w:rsidRPr="00B6593D">
        <w:rPr>
          <w:rFonts w:cstheme="majorHAnsi"/>
          <w:color w:val="000000" w:themeColor="text1"/>
          <w:szCs w:val="22"/>
        </w:rPr>
        <w:t xml:space="preserve"> rëndësishme për kriteret politike dhe pasqyrohen rregullisht në raportet vjetore për progresin e Kosovës në procesin e integrimit në BE</w:t>
      </w:r>
      <w:r w:rsidR="00547FF0" w:rsidRPr="00B6593D">
        <w:rPr>
          <w:rFonts w:cstheme="majorHAnsi"/>
          <w:color w:val="000000" w:themeColor="text1"/>
          <w:szCs w:val="22"/>
        </w:rPr>
        <w:t xml:space="preserve"> duke ju refereruar preambulës së MSA-se, pika 4, zhvillimi i shoqërisë civile dhe demokratizimi përfshihen si elementet e para mbi të cilat palët (përfshirë Republikën e Kosovës) angazhohen për të kontribuar në stabilizimin politik, ekonomik dhe institucional të Kosovës dhe rajonit.</w:t>
      </w:r>
    </w:p>
    <w:p w:rsidR="00547FF0" w:rsidRPr="00B6593D" w:rsidRDefault="00547FF0" w:rsidP="00547FF0">
      <w:pPr>
        <w:spacing w:line="276" w:lineRule="auto"/>
        <w:rPr>
          <w:rFonts w:cstheme="majorHAnsi"/>
          <w:color w:val="000000" w:themeColor="text1"/>
          <w:szCs w:val="22"/>
        </w:rPr>
      </w:pPr>
    </w:p>
    <w:p w:rsidR="00CF44A5" w:rsidRDefault="005C145D" w:rsidP="00CF44A5">
      <w:pPr>
        <w:spacing w:line="276" w:lineRule="auto"/>
        <w:rPr>
          <w:rFonts w:cstheme="majorHAnsi"/>
          <w:color w:val="000000" w:themeColor="text1"/>
          <w:szCs w:val="22"/>
        </w:rPr>
      </w:pPr>
      <w:r w:rsidRPr="005C145D">
        <w:rPr>
          <w:rFonts w:cstheme="majorHAnsi"/>
          <w:color w:val="000000" w:themeColor="text1"/>
          <w:szCs w:val="22"/>
        </w:rPr>
        <w:lastRenderedPageBreak/>
        <w:t xml:space="preserve">Gjithashtu, vlen te theksohet edhe Strategjia </w:t>
      </w:r>
      <w:r w:rsidR="006D4A8E">
        <w:rPr>
          <w:rFonts w:cstheme="majorHAnsi"/>
          <w:color w:val="000000" w:themeColor="text1"/>
          <w:szCs w:val="22"/>
        </w:rPr>
        <w:t>për</w:t>
      </w:r>
      <w:r w:rsidRPr="005C145D">
        <w:rPr>
          <w:rFonts w:cstheme="majorHAnsi"/>
          <w:color w:val="000000" w:themeColor="text1"/>
          <w:szCs w:val="22"/>
        </w:rPr>
        <w:t xml:space="preserve"> Rregullim me te Mire 2.0, procesi i Reformes se Administrates Publike, si dhe Perkrahja Direkte Buxhetore e BE-se </w:t>
      </w:r>
      <w:r w:rsidR="006D4A8E">
        <w:rPr>
          <w:rFonts w:cstheme="majorHAnsi"/>
          <w:color w:val="000000" w:themeColor="text1"/>
          <w:szCs w:val="22"/>
        </w:rPr>
        <w:t>për</w:t>
      </w:r>
      <w:r w:rsidRPr="005C145D">
        <w:rPr>
          <w:rFonts w:cstheme="majorHAnsi"/>
          <w:color w:val="000000" w:themeColor="text1"/>
          <w:szCs w:val="22"/>
        </w:rPr>
        <w:t xml:space="preserve"> Reformen e Administrates Publike, procese te cilat janë të ndërlidhura drejt</w:t>
      </w:r>
      <w:r w:rsidR="006D4A8E">
        <w:rPr>
          <w:rFonts w:cstheme="majorHAnsi"/>
          <w:color w:val="000000" w:themeColor="text1"/>
          <w:szCs w:val="22"/>
        </w:rPr>
        <w:t>për</w:t>
      </w:r>
      <w:r w:rsidRPr="005C145D">
        <w:rPr>
          <w:rFonts w:cstheme="majorHAnsi"/>
          <w:color w:val="000000" w:themeColor="text1"/>
          <w:szCs w:val="22"/>
        </w:rPr>
        <w:t>drejte me kete Strategji.</w:t>
      </w:r>
    </w:p>
    <w:p w:rsidR="005C145D" w:rsidRPr="00B6593D" w:rsidRDefault="005C145D"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Për t’iu përgjigjur nevojës në rritje për një qasje më strategjike dhe për një plan të qartë drejt arritjes së bashkëpunimit domethënës me shoqërinë civile, në korrik të vitit 2013, Qeveria e Republikës së Kosovës kishte miratuar strategjinë e parë </w:t>
      </w:r>
      <w:r w:rsidR="003001BB" w:rsidRPr="00B6593D">
        <w:rPr>
          <w:rFonts w:cstheme="majorHAnsi"/>
          <w:color w:val="000000" w:themeColor="text1"/>
          <w:szCs w:val="22"/>
        </w:rPr>
        <w:t xml:space="preserve">qeveritare </w:t>
      </w:r>
      <w:r w:rsidRPr="00B6593D">
        <w:rPr>
          <w:rFonts w:cstheme="majorHAnsi"/>
          <w:color w:val="000000" w:themeColor="text1"/>
          <w:szCs w:val="22"/>
        </w:rPr>
        <w:t xml:space="preserve">dhe </w:t>
      </w:r>
      <w:r w:rsidR="00BE30EF">
        <w:rPr>
          <w:rFonts w:cstheme="majorHAnsi"/>
          <w:color w:val="000000" w:themeColor="text1"/>
          <w:szCs w:val="22"/>
        </w:rPr>
        <w:t>p</w:t>
      </w:r>
      <w:r w:rsidRPr="00B6593D">
        <w:rPr>
          <w:rFonts w:cstheme="majorHAnsi"/>
          <w:color w:val="000000" w:themeColor="text1"/>
          <w:szCs w:val="22"/>
        </w:rPr>
        <w:t>lanin e veprimit për bashkëpunimin</w:t>
      </w:r>
      <w:r w:rsidR="003001BB" w:rsidRPr="00B6593D">
        <w:rPr>
          <w:rFonts w:cstheme="majorHAnsi"/>
          <w:color w:val="000000" w:themeColor="text1"/>
          <w:szCs w:val="22"/>
        </w:rPr>
        <w:t xml:space="preserve"> </w:t>
      </w:r>
      <w:r w:rsidRPr="00B6593D">
        <w:rPr>
          <w:rFonts w:cstheme="majorHAnsi"/>
          <w:color w:val="000000" w:themeColor="text1"/>
          <w:szCs w:val="22"/>
        </w:rPr>
        <w:t xml:space="preserve">me shoqërinë civile 2013-2017. Me qëllim që të sigurohej monitorimi efektiv i zbatimit të asaj Strategjie, qeveria kishte themeluar Këshillin për zbatimin e strategjisë për bashkëpunim Qeveri-Shoqëri civile, i cili bashkë-kryesohej nga përfaqësues të qeverisë dhe shoqërisë civile me mbështetje profesionale dhe administrative nga Zyra për Qeverisje të Mirë në Zyrën e Kryeministrit.  Duke filluar nga marsi i vitit 2016, zbatimi i Strategjisë </w:t>
      </w:r>
      <w:r w:rsidR="003001BB" w:rsidRPr="00B6593D">
        <w:rPr>
          <w:rFonts w:cstheme="majorHAnsi"/>
          <w:color w:val="000000" w:themeColor="text1"/>
          <w:szCs w:val="22"/>
        </w:rPr>
        <w:t xml:space="preserve">është </w:t>
      </w:r>
      <w:r w:rsidRPr="00B6593D">
        <w:rPr>
          <w:rFonts w:cstheme="majorHAnsi"/>
          <w:color w:val="000000" w:themeColor="text1"/>
          <w:szCs w:val="22"/>
        </w:rPr>
        <w:t xml:space="preserve"> mbështet nga Projekti i Asistencës Teknike të BE-së, “Mbështetje për zbatimin e Strategjisë qeveritare për bashkëpunim me shoqëri civile 2013-2017”.</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Gjatë vitit të fundit të zbatimit të Strategjisë, më 12 korrik 2017, Sekretari i Përgjithshëm i Zyrës së Kryeministrit miratoi vendimin për krijimin e Ekipit të Punës për hartimin e Strategjisë së re </w:t>
      </w:r>
      <w:r w:rsidR="003001BB" w:rsidRPr="00B6593D">
        <w:rPr>
          <w:rFonts w:cstheme="majorHAnsi"/>
          <w:color w:val="000000" w:themeColor="text1"/>
          <w:szCs w:val="22"/>
        </w:rPr>
        <w:t xml:space="preserve">qeveritare </w:t>
      </w:r>
      <w:r w:rsidRPr="00B6593D">
        <w:rPr>
          <w:rFonts w:cstheme="majorHAnsi"/>
          <w:color w:val="000000" w:themeColor="text1"/>
          <w:szCs w:val="22"/>
        </w:rPr>
        <w:t>dhe Plani</w:t>
      </w:r>
      <w:r w:rsidR="00F3780F">
        <w:rPr>
          <w:rFonts w:cstheme="majorHAnsi"/>
          <w:color w:val="000000" w:themeColor="text1"/>
          <w:szCs w:val="22"/>
        </w:rPr>
        <w:t>n e</w:t>
      </w:r>
      <w:r w:rsidRPr="00B6593D">
        <w:rPr>
          <w:rFonts w:cstheme="majorHAnsi"/>
          <w:color w:val="000000" w:themeColor="text1"/>
          <w:szCs w:val="22"/>
        </w:rPr>
        <w:t xml:space="preserve"> Veprimit për bashkëpunimin </w:t>
      </w:r>
      <w:r w:rsidR="003001BB" w:rsidRPr="00B6593D">
        <w:rPr>
          <w:rFonts w:cstheme="majorHAnsi"/>
          <w:color w:val="000000" w:themeColor="text1"/>
          <w:szCs w:val="22"/>
        </w:rPr>
        <w:t>me s</w:t>
      </w:r>
      <w:r w:rsidRPr="00B6593D">
        <w:rPr>
          <w:rFonts w:cstheme="majorHAnsi"/>
          <w:color w:val="000000" w:themeColor="text1"/>
          <w:szCs w:val="22"/>
        </w:rPr>
        <w:t>hoqëri</w:t>
      </w:r>
      <w:r w:rsidR="003001BB" w:rsidRPr="00B6593D">
        <w:rPr>
          <w:rFonts w:cstheme="majorHAnsi"/>
          <w:color w:val="000000" w:themeColor="text1"/>
          <w:szCs w:val="22"/>
        </w:rPr>
        <w:t>në</w:t>
      </w:r>
      <w:r w:rsidRPr="00B6593D">
        <w:rPr>
          <w:rFonts w:cstheme="majorHAnsi"/>
          <w:color w:val="000000" w:themeColor="text1"/>
          <w:szCs w:val="22"/>
        </w:rPr>
        <w:t xml:space="preserve"> </w:t>
      </w:r>
      <w:r w:rsidR="003001BB" w:rsidRPr="00B6593D">
        <w:rPr>
          <w:rFonts w:cstheme="majorHAnsi"/>
          <w:color w:val="000000" w:themeColor="text1"/>
          <w:szCs w:val="22"/>
        </w:rPr>
        <w:t>c</w:t>
      </w:r>
      <w:r w:rsidRPr="00B6593D">
        <w:rPr>
          <w:rFonts w:cstheme="majorHAnsi"/>
          <w:color w:val="000000" w:themeColor="text1"/>
          <w:szCs w:val="22"/>
        </w:rPr>
        <w:t xml:space="preserve">ivile 2019-2023. Në </w:t>
      </w:r>
      <w:r w:rsidR="003001BB" w:rsidRPr="00B6593D">
        <w:rPr>
          <w:rFonts w:cstheme="majorHAnsi"/>
          <w:color w:val="000000" w:themeColor="text1"/>
          <w:szCs w:val="22"/>
        </w:rPr>
        <w:t>ekip</w:t>
      </w:r>
      <w:r w:rsidRPr="00B6593D">
        <w:rPr>
          <w:rFonts w:cstheme="majorHAnsi"/>
          <w:color w:val="000000" w:themeColor="text1"/>
          <w:szCs w:val="22"/>
        </w:rPr>
        <w:t xml:space="preserve"> janë përfshirë përfaqësues të institucioneve përkatëse të qeverisë dhe OSHC-ve</w:t>
      </w:r>
      <w:r w:rsidR="00547FF0" w:rsidRPr="00B6593D">
        <w:rPr>
          <w:rFonts w:cstheme="majorHAnsi"/>
          <w:color w:val="000000" w:themeColor="text1"/>
          <w:szCs w:val="22"/>
        </w:rPr>
        <w:t xml:space="preserve">, </w:t>
      </w:r>
      <w:bookmarkStart w:id="3" w:name="_Hlk535831400"/>
      <w:r w:rsidR="00547FF0" w:rsidRPr="00B6593D">
        <w:rPr>
          <w:rFonts w:cstheme="majorHAnsi"/>
          <w:color w:val="000000" w:themeColor="text1"/>
          <w:szCs w:val="22"/>
        </w:rPr>
        <w:t>ndërkohë grupi është zgjeruar edhe me përfaqësues tjerë të shoqërisë civile, nëpërmjet thirrjes dhe procesit të hapur të përzgjedhjes</w:t>
      </w:r>
      <w:bookmarkEnd w:id="3"/>
      <w:r w:rsidRPr="00B6593D">
        <w:rPr>
          <w:rFonts w:cstheme="majorHAnsi"/>
          <w:color w:val="000000" w:themeColor="text1"/>
          <w:szCs w:val="22"/>
        </w:rPr>
        <w:t xml:space="preserve">. Me qëllim të sigurimit të një baze të qëndrueshme analitike për zhvillimin e Strategjisë së re dhe Planit të Veprimit, është bërë vlerësimi i zbatimit të Strategjisë 2013-2017. Ky vlerësim ka analizuar shkaqet kryesore të problemeve në kuadër të secilit objektiv strategjik si dhe është përpiluar një listë e rekomandimeve që janë marrë parasysh gjatë hartimit të Strategjisë së re </w:t>
      </w:r>
      <w:r w:rsidR="003001BB" w:rsidRPr="00B6593D">
        <w:rPr>
          <w:rFonts w:cstheme="majorHAnsi"/>
          <w:color w:val="000000" w:themeColor="text1"/>
          <w:szCs w:val="22"/>
        </w:rPr>
        <w:t xml:space="preserve">qeveritare </w:t>
      </w:r>
      <w:r w:rsidRPr="00B6593D">
        <w:rPr>
          <w:rFonts w:cstheme="majorHAnsi"/>
          <w:color w:val="000000" w:themeColor="text1"/>
          <w:szCs w:val="22"/>
        </w:rPr>
        <w:t>dhe Planit të Veprimit.</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Objektivat e Strategjisë 2019-2023 janë vendosur në bazë të konsultimeve me shoqërinë civile duke i marrë parasysh rezultatet e vlerësimit për strategjinë e mëparshme si dhe prioritetet </w:t>
      </w:r>
      <w:r w:rsidR="003001BB" w:rsidRPr="00B6593D">
        <w:rPr>
          <w:rFonts w:cstheme="majorHAnsi"/>
          <w:color w:val="000000" w:themeColor="text1"/>
          <w:szCs w:val="22"/>
        </w:rPr>
        <w:t>e</w:t>
      </w:r>
      <w:r w:rsidRPr="00B6593D">
        <w:rPr>
          <w:rFonts w:cstheme="majorHAnsi"/>
          <w:color w:val="000000" w:themeColor="text1"/>
          <w:szCs w:val="22"/>
        </w:rPr>
        <w:t xml:space="preserve"> vendosura në dokumentet përkatëse të Bashkimit Evropian. Në këtë mënyrë është siguruar përmbushja dhe vazhdimësia e objektivave dhe masave të planifikuara në dokumentet e tjera strategjike përkatëse të qeverisë, gjegjësisht në Programin e Qeverisë së Republikës së Kosovës 2017-2021, Strategjinë </w:t>
      </w:r>
      <w:r w:rsidR="00BE30EF" w:rsidRPr="00B6593D">
        <w:rPr>
          <w:rFonts w:cstheme="majorHAnsi"/>
          <w:color w:val="000000" w:themeColor="text1"/>
          <w:szCs w:val="22"/>
        </w:rPr>
        <w:t xml:space="preserve">Kombëtare </w:t>
      </w:r>
      <w:r w:rsidR="00BE30EF">
        <w:rPr>
          <w:rFonts w:cstheme="majorHAnsi"/>
          <w:color w:val="000000" w:themeColor="text1"/>
          <w:szCs w:val="22"/>
        </w:rPr>
        <w:t>për z</w:t>
      </w:r>
      <w:r w:rsidRPr="00B6593D">
        <w:rPr>
          <w:rFonts w:cstheme="majorHAnsi"/>
          <w:color w:val="000000" w:themeColor="text1"/>
          <w:szCs w:val="22"/>
        </w:rPr>
        <w:t>hvillimore 2016-2021, Strategjinë për Rregullim më të Mirë 2017-2021</w:t>
      </w:r>
      <w:r w:rsidR="00BE30EF">
        <w:rPr>
          <w:rFonts w:cstheme="majorHAnsi"/>
          <w:color w:val="000000" w:themeColor="text1"/>
          <w:szCs w:val="22"/>
        </w:rPr>
        <w:t>,</w:t>
      </w:r>
      <w:r w:rsidRPr="00B6593D">
        <w:rPr>
          <w:rFonts w:cstheme="majorHAnsi"/>
          <w:color w:val="000000" w:themeColor="text1"/>
          <w:szCs w:val="22"/>
        </w:rPr>
        <w:t>Strategjinë për Përmirësimin e Planifikimit dhe Bashkërendimit të Politikave në Kosovë 2017-2021.</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rPr>
          <w:rFonts w:eastAsiaTheme="majorEastAsia" w:cstheme="majorHAnsi"/>
          <w:b/>
          <w:color w:val="000000" w:themeColor="text1"/>
          <w:sz w:val="32"/>
          <w:szCs w:val="32"/>
          <w:u w:val="single"/>
        </w:rPr>
      </w:pPr>
      <w:r w:rsidRPr="00B6593D">
        <w:rPr>
          <w:rFonts w:eastAsiaTheme="majorEastAsia" w:cstheme="majorHAnsi"/>
          <w:b/>
          <w:color w:val="000000" w:themeColor="text1"/>
          <w:sz w:val="32"/>
          <w:szCs w:val="32"/>
          <w:u w:val="single"/>
        </w:rPr>
        <w:t>Gjendja e shoqërisë civile dhe nevojat e saj</w:t>
      </w:r>
    </w:p>
    <w:p w:rsidR="00CF44A5" w:rsidRPr="00B6593D" w:rsidRDefault="00CF44A5" w:rsidP="00CF44A5">
      <w:pPr>
        <w:rPr>
          <w:rFonts w:cstheme="majorHAnsi"/>
          <w:color w:val="000000" w:themeColor="text1"/>
        </w:rPr>
      </w:pPr>
    </w:p>
    <w:p w:rsidR="00CF44A5" w:rsidRPr="00B6593D" w:rsidRDefault="00CF44A5" w:rsidP="00CF44A5">
      <w:pPr>
        <w:rPr>
          <w:rFonts w:cstheme="majorHAnsi"/>
          <w:color w:val="000000" w:themeColor="text1"/>
          <w:szCs w:val="22"/>
        </w:rPr>
      </w:pPr>
      <w:r w:rsidRPr="00B6593D">
        <w:rPr>
          <w:rFonts w:cstheme="majorHAnsi"/>
          <w:color w:val="000000" w:themeColor="text1"/>
          <w:szCs w:val="22"/>
        </w:rPr>
        <w:t xml:space="preserve">Hapi i parë në zhvillimin e një kornize për bashkëpunim </w:t>
      </w:r>
      <w:r w:rsidR="00BE30EF">
        <w:rPr>
          <w:rFonts w:cstheme="majorHAnsi"/>
          <w:color w:val="000000" w:themeColor="text1"/>
          <w:szCs w:val="22"/>
        </w:rPr>
        <w:t>me</w:t>
      </w:r>
      <w:r w:rsidRPr="00B6593D">
        <w:rPr>
          <w:rFonts w:cstheme="majorHAnsi"/>
          <w:color w:val="000000" w:themeColor="text1"/>
          <w:szCs w:val="22"/>
        </w:rPr>
        <w:t xml:space="preserve"> shoqëri</w:t>
      </w:r>
      <w:r w:rsidR="00BE30EF">
        <w:rPr>
          <w:rFonts w:cstheme="majorHAnsi"/>
          <w:color w:val="000000" w:themeColor="text1"/>
          <w:szCs w:val="22"/>
        </w:rPr>
        <w:t>n</w:t>
      </w:r>
      <w:r w:rsidRPr="00B6593D">
        <w:rPr>
          <w:rFonts w:cstheme="majorHAnsi"/>
          <w:color w:val="000000" w:themeColor="text1"/>
          <w:szCs w:val="22"/>
        </w:rPr>
        <w:t xml:space="preserve">ë civile në Kosovë ka qene nënshkrimi i Memorandumit të Mirëkuptimit ndërmjet Qeverisë dhe </w:t>
      </w:r>
      <w:r w:rsidR="00CC7F57" w:rsidRPr="00B6593D">
        <w:rPr>
          <w:rFonts w:cstheme="majorHAnsi"/>
          <w:color w:val="000000" w:themeColor="text1"/>
          <w:szCs w:val="22"/>
        </w:rPr>
        <w:t xml:space="preserve">platformës Civikos </w:t>
      </w:r>
      <w:r w:rsidRPr="00B6593D">
        <w:rPr>
          <w:rFonts w:cstheme="majorHAnsi"/>
          <w:color w:val="000000" w:themeColor="text1"/>
          <w:szCs w:val="22"/>
        </w:rPr>
        <w:t xml:space="preserve"> në vitin 2007. Në korrik të vitit 2013, Qeveria ka miratuar Strategjinë e saj të parë për </w:t>
      </w:r>
      <w:r w:rsidR="006F4A35" w:rsidRPr="00B6593D">
        <w:rPr>
          <w:rFonts w:cstheme="majorHAnsi"/>
          <w:color w:val="000000" w:themeColor="text1"/>
          <w:szCs w:val="22"/>
        </w:rPr>
        <w:t>b</w:t>
      </w:r>
      <w:r w:rsidRPr="00B6593D">
        <w:rPr>
          <w:rFonts w:cstheme="majorHAnsi"/>
          <w:color w:val="000000" w:themeColor="text1"/>
          <w:szCs w:val="22"/>
        </w:rPr>
        <w:t xml:space="preserve">ashkëpunim me </w:t>
      </w:r>
      <w:r w:rsidR="006F4A35" w:rsidRPr="00B6593D">
        <w:rPr>
          <w:rFonts w:cstheme="majorHAnsi"/>
          <w:color w:val="000000" w:themeColor="text1"/>
          <w:szCs w:val="22"/>
        </w:rPr>
        <w:t>s</w:t>
      </w:r>
      <w:r w:rsidRPr="00B6593D">
        <w:rPr>
          <w:rFonts w:cstheme="majorHAnsi"/>
          <w:color w:val="000000" w:themeColor="text1"/>
          <w:szCs w:val="22"/>
        </w:rPr>
        <w:t xml:space="preserve">hoqërinë </w:t>
      </w:r>
      <w:r w:rsidR="006F4A35" w:rsidRPr="00B6593D">
        <w:rPr>
          <w:rFonts w:cstheme="majorHAnsi"/>
          <w:color w:val="000000" w:themeColor="text1"/>
          <w:szCs w:val="22"/>
        </w:rPr>
        <w:t>c</w:t>
      </w:r>
      <w:r w:rsidRPr="00B6593D">
        <w:rPr>
          <w:rFonts w:cstheme="majorHAnsi"/>
          <w:color w:val="000000" w:themeColor="text1"/>
          <w:szCs w:val="22"/>
        </w:rPr>
        <w:t xml:space="preserve">ivile për </w:t>
      </w:r>
      <w:r w:rsidR="006D4A8E">
        <w:rPr>
          <w:rFonts w:cstheme="majorHAnsi"/>
          <w:color w:val="000000" w:themeColor="text1"/>
          <w:szCs w:val="22"/>
        </w:rPr>
        <w:t>për</w:t>
      </w:r>
      <w:r w:rsidRPr="00B6593D">
        <w:rPr>
          <w:rFonts w:cstheme="majorHAnsi"/>
          <w:color w:val="000000" w:themeColor="text1"/>
          <w:szCs w:val="22"/>
        </w:rPr>
        <w:t>iudhën 2013-2017.</w:t>
      </w:r>
    </w:p>
    <w:p w:rsidR="00CF44A5" w:rsidRPr="00B6593D" w:rsidRDefault="00CF44A5" w:rsidP="00CF44A5">
      <w:pPr>
        <w:rPr>
          <w:rFonts w:cstheme="majorHAnsi"/>
          <w:color w:val="000000" w:themeColor="text1"/>
        </w:rPr>
      </w:pPr>
      <w:r w:rsidRPr="00B6593D">
        <w:rPr>
          <w:rFonts w:cstheme="majorHAnsi"/>
          <w:color w:val="000000" w:themeColor="text1"/>
        </w:rPr>
        <w:t>OShC-të në Republikën e Kosovës veprojnë dhe funksionojnë si fondacione ose shoqata në b</w:t>
      </w:r>
      <w:r w:rsidR="003F5EEC" w:rsidRPr="00B6593D">
        <w:rPr>
          <w:rFonts w:cstheme="majorHAnsi"/>
          <w:color w:val="000000" w:themeColor="text1"/>
        </w:rPr>
        <w:t>azë të Ligjit për Lirinë e Asoci</w:t>
      </w:r>
      <w:r w:rsidRPr="00B6593D">
        <w:rPr>
          <w:rFonts w:cstheme="majorHAnsi"/>
          <w:color w:val="000000" w:themeColor="text1"/>
        </w:rPr>
        <w:t>mit të OJQ-ve (Ligji Nr. 04 / L-057) 2011</w:t>
      </w:r>
      <w:bookmarkStart w:id="4" w:name="_Hlk535831892"/>
      <w:r w:rsidRPr="00B6593D">
        <w:rPr>
          <w:rStyle w:val="FootnoteReference"/>
          <w:rFonts w:cstheme="majorHAnsi"/>
          <w:color w:val="000000" w:themeColor="text1"/>
          <w:szCs w:val="22"/>
        </w:rPr>
        <w:footnoteReference w:id="3"/>
      </w:r>
      <w:r w:rsidRPr="00B6593D">
        <w:rPr>
          <w:rFonts w:cstheme="majorHAnsi"/>
          <w:color w:val="000000" w:themeColor="text1"/>
        </w:rPr>
        <w:t xml:space="preserve"> </w:t>
      </w:r>
      <w:bookmarkEnd w:id="4"/>
    </w:p>
    <w:p w:rsidR="00CF44A5" w:rsidRPr="00B6593D" w:rsidRDefault="00CF44A5" w:rsidP="00CF44A5">
      <w:pPr>
        <w:rPr>
          <w:rFonts w:cstheme="majorHAnsi"/>
          <w:color w:val="000000" w:themeColor="text1"/>
          <w:szCs w:val="22"/>
        </w:rPr>
      </w:pPr>
    </w:p>
    <w:p w:rsidR="00CF44A5" w:rsidRPr="00B6593D" w:rsidRDefault="00CF44A5" w:rsidP="00CF44A5">
      <w:pPr>
        <w:rPr>
          <w:rFonts w:cstheme="majorHAnsi"/>
          <w:color w:val="000000" w:themeColor="text1"/>
          <w:szCs w:val="22"/>
        </w:rPr>
      </w:pPr>
      <w:r w:rsidRPr="00B6593D">
        <w:rPr>
          <w:rFonts w:cstheme="majorHAnsi"/>
          <w:color w:val="000000" w:themeColor="text1"/>
          <w:szCs w:val="22"/>
        </w:rPr>
        <w:lastRenderedPageBreak/>
        <w:t xml:space="preserve">Përfshirja </w:t>
      </w:r>
      <w:r w:rsidR="006F4A35" w:rsidRPr="00B6593D">
        <w:rPr>
          <w:rFonts w:cstheme="majorHAnsi"/>
          <w:color w:val="000000" w:themeColor="text1"/>
          <w:szCs w:val="22"/>
        </w:rPr>
        <w:t xml:space="preserve">e publikut dhe shoqërisë civile </w:t>
      </w:r>
      <w:r w:rsidRPr="00B6593D">
        <w:rPr>
          <w:rFonts w:cstheme="majorHAnsi"/>
          <w:color w:val="000000" w:themeColor="text1"/>
          <w:szCs w:val="22"/>
        </w:rPr>
        <w:t xml:space="preserve">në procesin e </w:t>
      </w:r>
      <w:r w:rsidR="003F5EEC" w:rsidRPr="00B6593D">
        <w:rPr>
          <w:rFonts w:cstheme="majorHAnsi"/>
          <w:color w:val="000000" w:themeColor="text1"/>
          <w:szCs w:val="22"/>
        </w:rPr>
        <w:t>politikë</w:t>
      </w:r>
      <w:r w:rsidR="006F4A35" w:rsidRPr="00B6593D">
        <w:rPr>
          <w:rFonts w:cstheme="majorHAnsi"/>
          <w:color w:val="000000" w:themeColor="text1"/>
          <w:szCs w:val="22"/>
        </w:rPr>
        <w:t>-</w:t>
      </w:r>
      <w:r w:rsidR="003F5EEC" w:rsidRPr="00B6593D">
        <w:rPr>
          <w:rFonts w:cstheme="majorHAnsi"/>
          <w:color w:val="000000" w:themeColor="text1"/>
          <w:szCs w:val="22"/>
        </w:rPr>
        <w:t>bërjes</w:t>
      </w:r>
      <w:r w:rsidRPr="00B6593D">
        <w:rPr>
          <w:rFonts w:cstheme="majorHAnsi"/>
          <w:color w:val="000000" w:themeColor="text1"/>
          <w:szCs w:val="22"/>
        </w:rPr>
        <w:t xml:space="preserve"> dhe vendim</w:t>
      </w:r>
      <w:r w:rsidR="006F4A35" w:rsidRPr="00B6593D">
        <w:rPr>
          <w:rFonts w:cstheme="majorHAnsi"/>
          <w:color w:val="000000" w:themeColor="text1"/>
          <w:szCs w:val="22"/>
        </w:rPr>
        <w:t>-</w:t>
      </w:r>
      <w:r w:rsidR="003F5EEC" w:rsidRPr="00B6593D">
        <w:rPr>
          <w:rFonts w:cstheme="majorHAnsi"/>
          <w:color w:val="000000" w:themeColor="text1"/>
          <w:szCs w:val="22"/>
        </w:rPr>
        <w:t>marrjes</w:t>
      </w:r>
      <w:r w:rsidRPr="00B6593D">
        <w:rPr>
          <w:rFonts w:cstheme="majorHAnsi"/>
          <w:color w:val="000000" w:themeColor="text1"/>
          <w:szCs w:val="22"/>
        </w:rPr>
        <w:t xml:space="preserve"> është vendosur </w:t>
      </w:r>
      <w:r w:rsidR="006D4A8E">
        <w:rPr>
          <w:rFonts w:cstheme="majorHAnsi"/>
          <w:color w:val="000000" w:themeColor="text1"/>
          <w:szCs w:val="22"/>
        </w:rPr>
        <w:t>për</w:t>
      </w:r>
      <w:r w:rsidRPr="00B6593D">
        <w:rPr>
          <w:rFonts w:cstheme="majorHAnsi"/>
          <w:color w:val="000000" w:themeColor="text1"/>
          <w:szCs w:val="22"/>
        </w:rPr>
        <w:t>mes Rregullorës për Standardet Minimale për Konsultimin Publik (Nr. 05/2016), e cila ka hyrë në fuqi në janar të vitit 2017. Rregullorja e obligon Qeverinë të fillojë procesin e konsultimit publik në faza të hershme të hartimit të ligjeve ose politikave dhe përcakton standardet minimale të procesit të konsultimit duke përfshirë afatet,</w:t>
      </w:r>
      <w:r w:rsidR="006F4A35" w:rsidRPr="00B6593D">
        <w:rPr>
          <w:rFonts w:cstheme="majorHAnsi"/>
          <w:color w:val="000000" w:themeColor="text1"/>
          <w:szCs w:val="22"/>
        </w:rPr>
        <w:t xml:space="preserve"> </w:t>
      </w:r>
      <w:r w:rsidRPr="00B6593D">
        <w:rPr>
          <w:rFonts w:cstheme="majorHAnsi"/>
          <w:color w:val="000000" w:themeColor="text1"/>
          <w:szCs w:val="22"/>
        </w:rPr>
        <w:t>metodat, monitorimin, raportimin, etj. Zbatimi i standardeve të vendosura është mundësuar nëpërmjet Platformës Online për konsultime</w:t>
      </w:r>
      <w:r w:rsidR="00D41989" w:rsidRPr="00B6593D">
        <w:rPr>
          <w:rFonts w:cstheme="majorHAnsi"/>
          <w:color w:val="000000" w:themeColor="text1"/>
          <w:szCs w:val="22"/>
        </w:rPr>
        <w:t>t me</w:t>
      </w:r>
      <w:r w:rsidRPr="00B6593D">
        <w:rPr>
          <w:rFonts w:cstheme="majorHAnsi"/>
          <w:color w:val="000000" w:themeColor="text1"/>
          <w:szCs w:val="22"/>
        </w:rPr>
        <w:t xml:space="preserve"> publik</w:t>
      </w:r>
      <w:r w:rsidR="00D41989" w:rsidRPr="00B6593D">
        <w:rPr>
          <w:rFonts w:cstheme="majorHAnsi"/>
          <w:color w:val="000000" w:themeColor="text1"/>
          <w:szCs w:val="22"/>
        </w:rPr>
        <w:t>un</w:t>
      </w:r>
      <w:r w:rsidRPr="00B6593D">
        <w:rPr>
          <w:rStyle w:val="FootnoteReference"/>
          <w:rFonts w:cstheme="majorHAnsi"/>
          <w:color w:val="000000" w:themeColor="text1"/>
          <w:szCs w:val="22"/>
        </w:rPr>
        <w:footnoteReference w:id="4"/>
      </w:r>
      <w:r w:rsidRPr="00B6593D">
        <w:rPr>
          <w:rFonts w:cstheme="majorHAnsi"/>
          <w:color w:val="000000" w:themeColor="text1"/>
          <w:szCs w:val="22"/>
        </w:rPr>
        <w:t xml:space="preserve">, e cila menaxhohet nga Zyra për Qeverisje të Mirë/Zyra e Kryeministrit. Institucionet qeveritare </w:t>
      </w:r>
      <w:r w:rsidR="00D41989" w:rsidRPr="00B6593D">
        <w:rPr>
          <w:rFonts w:cstheme="majorHAnsi"/>
          <w:color w:val="000000" w:themeColor="text1"/>
          <w:szCs w:val="22"/>
        </w:rPr>
        <w:t>obligohen</w:t>
      </w:r>
      <w:r w:rsidRPr="00B6593D">
        <w:rPr>
          <w:rFonts w:cstheme="majorHAnsi"/>
          <w:color w:val="000000" w:themeColor="text1"/>
          <w:szCs w:val="22"/>
        </w:rPr>
        <w:t xml:space="preserve"> të publikojnë të gjitha dokumentet që janë subjekt i konsultimeve publike, ndërsa publiku mund të kontribuojë </w:t>
      </w:r>
      <w:r w:rsidR="003F5EEC" w:rsidRPr="00B6593D">
        <w:rPr>
          <w:rFonts w:cstheme="majorHAnsi"/>
          <w:color w:val="000000" w:themeColor="text1"/>
          <w:szCs w:val="22"/>
        </w:rPr>
        <w:t>drejtpër</w:t>
      </w:r>
      <w:r w:rsidR="00D41989" w:rsidRPr="00B6593D">
        <w:rPr>
          <w:rFonts w:cstheme="majorHAnsi"/>
          <w:color w:val="000000" w:themeColor="text1"/>
          <w:szCs w:val="22"/>
        </w:rPr>
        <w:t>drejt</w:t>
      </w:r>
      <w:r w:rsidRPr="00B6593D">
        <w:rPr>
          <w:rFonts w:cstheme="majorHAnsi"/>
          <w:color w:val="000000" w:themeColor="text1"/>
          <w:szCs w:val="22"/>
        </w:rPr>
        <w:t xml:space="preserve"> në dokumentet e publikuara. Platforma online është metoda kryesore e konsultimit për dokumentet e hartuara nga Qeveria (</w:t>
      </w:r>
      <w:r w:rsidR="0079598B" w:rsidRPr="00B6593D">
        <w:rPr>
          <w:rFonts w:cstheme="majorHAnsi"/>
          <w:color w:val="000000" w:themeColor="text1"/>
          <w:szCs w:val="22"/>
        </w:rPr>
        <w:t>432</w:t>
      </w:r>
      <w:r w:rsidRPr="00B6593D">
        <w:rPr>
          <w:rFonts w:cstheme="majorHAnsi"/>
          <w:color w:val="000000" w:themeColor="text1"/>
          <w:szCs w:val="22"/>
        </w:rPr>
        <w:t xml:space="preserve"> dokumente </w:t>
      </w:r>
      <w:r w:rsidR="0079598B" w:rsidRPr="00B6593D">
        <w:rPr>
          <w:rFonts w:cstheme="majorHAnsi"/>
          <w:color w:val="000000" w:themeColor="text1"/>
          <w:szCs w:val="22"/>
        </w:rPr>
        <w:t>qe nga lansimi i platformës</w:t>
      </w:r>
      <w:r w:rsidRPr="00B6593D">
        <w:rPr>
          <w:rFonts w:cstheme="majorHAnsi"/>
          <w:color w:val="000000" w:themeColor="text1"/>
          <w:szCs w:val="22"/>
        </w:rPr>
        <w:t xml:space="preserve"> në </w:t>
      </w:r>
      <w:r w:rsidR="0079598B" w:rsidRPr="00B6593D">
        <w:rPr>
          <w:rFonts w:cstheme="majorHAnsi"/>
          <w:color w:val="000000" w:themeColor="text1"/>
          <w:szCs w:val="22"/>
        </w:rPr>
        <w:t>shkurt</w:t>
      </w:r>
      <w:r w:rsidRPr="00B6593D">
        <w:rPr>
          <w:rFonts w:cstheme="majorHAnsi"/>
          <w:color w:val="000000" w:themeColor="text1"/>
          <w:szCs w:val="22"/>
        </w:rPr>
        <w:t xml:space="preserve"> 2017</w:t>
      </w:r>
      <w:r w:rsidR="0079598B" w:rsidRPr="00B6593D">
        <w:rPr>
          <w:rFonts w:cstheme="majorHAnsi"/>
          <w:color w:val="000000" w:themeColor="text1"/>
          <w:szCs w:val="22"/>
        </w:rPr>
        <w:t xml:space="preserve"> deri me 31 dhjetor 2018. Zyra për Qeverisje të Mirë / Zyra e Kryeministrit ka hartuar dhe publikuar raportin e parë për rrjedhën e procesit të konsultimeve me publikun për vitin 2017</w:t>
      </w:r>
      <w:r w:rsidR="0079598B" w:rsidRPr="00B6593D">
        <w:rPr>
          <w:rStyle w:val="FootnoteReference"/>
          <w:rFonts w:cstheme="majorHAnsi"/>
          <w:color w:val="000000" w:themeColor="text1"/>
          <w:szCs w:val="22"/>
        </w:rPr>
        <w:footnoteReference w:id="5"/>
      </w:r>
    </w:p>
    <w:p w:rsidR="00CF44A5" w:rsidRPr="00B6593D" w:rsidRDefault="00CF44A5" w:rsidP="00CF44A5">
      <w:pPr>
        <w:rPr>
          <w:rFonts w:cstheme="majorHAnsi"/>
          <w:color w:val="000000" w:themeColor="text1"/>
          <w:szCs w:val="22"/>
        </w:rPr>
      </w:pPr>
      <w:r w:rsidRPr="00B6593D">
        <w:rPr>
          <w:rFonts w:cstheme="majorHAnsi"/>
          <w:color w:val="000000" w:themeColor="text1"/>
          <w:szCs w:val="22"/>
        </w:rPr>
        <w:t xml:space="preserve">Ndarja e </w:t>
      </w:r>
      <w:r w:rsidR="003F5EEC" w:rsidRPr="00B6593D">
        <w:rPr>
          <w:rFonts w:cstheme="majorHAnsi"/>
          <w:color w:val="000000" w:themeColor="text1"/>
          <w:szCs w:val="22"/>
        </w:rPr>
        <w:t>fondeve</w:t>
      </w:r>
      <w:r w:rsidRPr="00B6593D">
        <w:rPr>
          <w:rFonts w:cstheme="majorHAnsi"/>
          <w:color w:val="000000" w:themeColor="text1"/>
          <w:szCs w:val="22"/>
        </w:rPr>
        <w:t xml:space="preserve"> për OSHT-të nga buxheti i shtetit është përcaktuar nga Rregullorja për kriteret, standardet dhe procedurat për financimin publik të </w:t>
      </w:r>
      <w:r w:rsidR="0079598B" w:rsidRPr="00B6593D">
        <w:rPr>
          <w:rFonts w:cstheme="majorHAnsi"/>
          <w:color w:val="000000" w:themeColor="text1"/>
          <w:szCs w:val="22"/>
        </w:rPr>
        <w:t>OSHC</w:t>
      </w:r>
      <w:r w:rsidRPr="00B6593D">
        <w:rPr>
          <w:rFonts w:cstheme="majorHAnsi"/>
          <w:color w:val="000000" w:themeColor="text1"/>
          <w:szCs w:val="22"/>
        </w:rPr>
        <w:t xml:space="preserve">-ve (MF-04/2017) e miratuar në qershor të vitit 2017, e cila ka krijuar një sistem financimi publik për OSHC-të bazuar në merita, duke përfshirë rregulla dhe transparencë të përcaktuar qartë si në nivel qendror ashtu edhe në nivelin lokal . Në vitin 2017, Zyra për Qeverisje të Mirë/Zyra e Kryeministrit  ka publikuar raportin e parë në Republikën e Kosovës mbi financimin publik për </w:t>
      </w:r>
      <w:r w:rsidR="006D4A8E">
        <w:rPr>
          <w:rFonts w:cstheme="majorHAnsi"/>
          <w:color w:val="000000" w:themeColor="text1"/>
          <w:szCs w:val="22"/>
        </w:rPr>
        <w:t>për</w:t>
      </w:r>
      <w:r w:rsidR="003F5EEC" w:rsidRPr="00B6593D">
        <w:rPr>
          <w:rFonts w:cstheme="majorHAnsi"/>
          <w:color w:val="000000" w:themeColor="text1"/>
          <w:szCs w:val="22"/>
        </w:rPr>
        <w:t>iudhën</w:t>
      </w:r>
      <w:r w:rsidRPr="00B6593D">
        <w:rPr>
          <w:rFonts w:cstheme="majorHAnsi"/>
          <w:color w:val="000000" w:themeColor="text1"/>
          <w:szCs w:val="22"/>
        </w:rPr>
        <w:t xml:space="preserve"> 2015-2016 si dhe Raporti për vitin 2017</w:t>
      </w:r>
      <w:r w:rsidRPr="00B6593D">
        <w:rPr>
          <w:rStyle w:val="FootnoteReference"/>
          <w:rFonts w:cstheme="majorHAnsi"/>
          <w:color w:val="000000" w:themeColor="text1"/>
          <w:szCs w:val="22"/>
        </w:rPr>
        <w:footnoteReference w:id="6"/>
      </w:r>
      <w:r w:rsidRPr="00B6593D">
        <w:rPr>
          <w:rFonts w:cstheme="majorHAnsi"/>
          <w:color w:val="000000" w:themeColor="text1"/>
          <w:szCs w:val="22"/>
        </w:rPr>
        <w:t>.</w:t>
      </w:r>
    </w:p>
    <w:p w:rsidR="00CF44A5" w:rsidRPr="00B6593D" w:rsidRDefault="00CF44A5" w:rsidP="00CF44A5">
      <w:pPr>
        <w:rPr>
          <w:rFonts w:cstheme="majorHAnsi"/>
          <w:color w:val="000000" w:themeColor="text1"/>
          <w:szCs w:val="22"/>
        </w:rPr>
      </w:pPr>
    </w:p>
    <w:p w:rsidR="00CF44A5" w:rsidRPr="00B6593D" w:rsidRDefault="00CF44A5" w:rsidP="00CF44A5">
      <w:pPr>
        <w:rPr>
          <w:rFonts w:cstheme="majorHAnsi"/>
          <w:color w:val="000000" w:themeColor="text1"/>
          <w:szCs w:val="22"/>
        </w:rPr>
      </w:pPr>
      <w:r w:rsidRPr="00B6593D">
        <w:rPr>
          <w:rFonts w:cstheme="majorHAnsi"/>
          <w:color w:val="000000" w:themeColor="text1"/>
          <w:szCs w:val="22"/>
        </w:rPr>
        <w:t xml:space="preserve">Sa i përket ofrimit të shërbimeve nga ana e OSHC-ve, vlen te theksohet që legjislacioni ekzistues lejon që OshC-të të ofrojnë shërbime në fusha të ndryshme. OSHC-të kanë të drejtë të aplikojnë për ofrimin e shërbimeve </w:t>
      </w:r>
      <w:r w:rsidR="00883142" w:rsidRPr="00B6593D">
        <w:rPr>
          <w:rFonts w:cstheme="majorHAnsi"/>
          <w:color w:val="000000" w:themeColor="text1"/>
          <w:szCs w:val="22"/>
        </w:rPr>
        <w:t>sipas</w:t>
      </w:r>
      <w:r w:rsidRPr="00B6593D">
        <w:rPr>
          <w:rFonts w:cstheme="majorHAnsi"/>
          <w:color w:val="000000" w:themeColor="text1"/>
          <w:szCs w:val="22"/>
        </w:rPr>
        <w:t xml:space="preserve"> Ligji</w:t>
      </w:r>
      <w:r w:rsidR="00883142" w:rsidRPr="00B6593D">
        <w:rPr>
          <w:rFonts w:cstheme="majorHAnsi"/>
          <w:color w:val="000000" w:themeColor="text1"/>
          <w:szCs w:val="22"/>
        </w:rPr>
        <w:t>t</w:t>
      </w:r>
      <w:r w:rsidRPr="00B6593D">
        <w:rPr>
          <w:rFonts w:cstheme="majorHAnsi"/>
          <w:color w:val="000000" w:themeColor="text1"/>
          <w:szCs w:val="22"/>
        </w:rPr>
        <w:t xml:space="preserve"> për shërbime sociale dhe familjare (02 / L-17). OSHC-të kanë të drejtë të aplikojnë për licencim në shërbimet sociale specifike, në bazë të standardeve të përcaktuara. Licencat janë një parakusht për të aplikuar për ofrimin e shërbimeve përkatëse dhe kjo vlen edhe për ofruesit e tjerë të shërbimeve, përveç ofruesve të shërbimeve shtetërore. Në Kosovë, </w:t>
      </w:r>
      <w:r w:rsidR="00883142" w:rsidRPr="00B6593D">
        <w:rPr>
          <w:rFonts w:cstheme="majorHAnsi"/>
          <w:color w:val="000000" w:themeColor="text1"/>
          <w:szCs w:val="22"/>
        </w:rPr>
        <w:t>vetëm disa</w:t>
      </w:r>
      <w:r w:rsidRPr="00B6593D">
        <w:rPr>
          <w:rFonts w:cstheme="majorHAnsi"/>
          <w:color w:val="000000" w:themeColor="text1"/>
          <w:szCs w:val="22"/>
        </w:rPr>
        <w:t xml:space="preserve"> OShC janë të angazhuar</w:t>
      </w:r>
      <w:r w:rsidR="00883142" w:rsidRPr="00B6593D">
        <w:rPr>
          <w:rFonts w:cstheme="majorHAnsi"/>
          <w:color w:val="000000" w:themeColor="text1"/>
          <w:szCs w:val="22"/>
        </w:rPr>
        <w:t>a</w:t>
      </w:r>
      <w:r w:rsidRPr="00B6593D">
        <w:rPr>
          <w:rFonts w:cstheme="majorHAnsi"/>
          <w:color w:val="000000" w:themeColor="text1"/>
          <w:szCs w:val="22"/>
        </w:rPr>
        <w:t xml:space="preserve"> në shërbime të ndryshme që paguhen nga fondet shtetërore dhe shumica e tyre janë të angazhuar</w:t>
      </w:r>
      <w:r w:rsidR="00883142" w:rsidRPr="00B6593D">
        <w:rPr>
          <w:rFonts w:cstheme="majorHAnsi"/>
          <w:color w:val="000000" w:themeColor="text1"/>
          <w:szCs w:val="22"/>
        </w:rPr>
        <w:t>a</w:t>
      </w:r>
      <w:r w:rsidRPr="00B6593D">
        <w:rPr>
          <w:rFonts w:cstheme="majorHAnsi"/>
          <w:color w:val="000000" w:themeColor="text1"/>
          <w:szCs w:val="22"/>
        </w:rPr>
        <w:t xml:space="preserve"> në fushën e shërbimeve sociale. </w:t>
      </w:r>
    </w:p>
    <w:p w:rsidR="00CF44A5" w:rsidRPr="00B6593D" w:rsidRDefault="00CF44A5" w:rsidP="00CF44A5">
      <w:pPr>
        <w:rPr>
          <w:rFonts w:cstheme="majorHAnsi"/>
          <w:color w:val="000000" w:themeColor="text1"/>
          <w:szCs w:val="22"/>
        </w:rPr>
      </w:pPr>
    </w:p>
    <w:p w:rsidR="00CF44A5" w:rsidRPr="00B6593D" w:rsidRDefault="00CF44A5" w:rsidP="00CF44A5">
      <w:pPr>
        <w:rPr>
          <w:rFonts w:cstheme="majorHAnsi"/>
          <w:color w:val="000000" w:themeColor="text1"/>
          <w:szCs w:val="22"/>
        </w:rPr>
      </w:pPr>
      <w:r w:rsidRPr="00B6593D">
        <w:rPr>
          <w:rFonts w:cstheme="majorHAnsi"/>
          <w:color w:val="000000" w:themeColor="text1"/>
          <w:szCs w:val="22"/>
        </w:rPr>
        <w:t>Komponenti i vullnetarizmit momentalisht mbulohet përmes Ligjit për Fuqizimin</w:t>
      </w:r>
      <w:r w:rsidR="00883142" w:rsidRPr="00B6593D">
        <w:rPr>
          <w:rFonts w:cstheme="majorHAnsi"/>
          <w:color w:val="000000" w:themeColor="text1"/>
          <w:szCs w:val="22"/>
        </w:rPr>
        <w:t xml:space="preserve"> </w:t>
      </w:r>
      <w:r w:rsidRPr="00B6593D">
        <w:rPr>
          <w:rFonts w:cstheme="majorHAnsi"/>
          <w:color w:val="000000" w:themeColor="text1"/>
          <w:szCs w:val="22"/>
        </w:rPr>
        <w:t>dhe Pjesëmarrjen e Rinisë (Ligji Nr.03/L-145) dhe Udhëzimet Administrative të Ministrisë për Kulturë, Rini</w:t>
      </w:r>
      <w:r w:rsidR="008009C8">
        <w:rPr>
          <w:rFonts w:cstheme="majorHAnsi"/>
          <w:color w:val="000000" w:themeColor="text1"/>
          <w:szCs w:val="22"/>
        </w:rPr>
        <w:t xml:space="preserve"> </w:t>
      </w:r>
      <w:r w:rsidRPr="00B6593D">
        <w:rPr>
          <w:rFonts w:cstheme="majorHAnsi"/>
          <w:color w:val="000000" w:themeColor="text1"/>
          <w:szCs w:val="22"/>
        </w:rPr>
        <w:t>dhe Sport. Ky Ligj</w:t>
      </w:r>
      <w:r w:rsidR="00176052" w:rsidRPr="00B6593D">
        <w:rPr>
          <w:rFonts w:cstheme="majorHAnsi"/>
          <w:color w:val="000000" w:themeColor="text1"/>
          <w:szCs w:val="22"/>
        </w:rPr>
        <w:t xml:space="preserve"> </w:t>
      </w:r>
      <w:r w:rsidR="003F5EEC" w:rsidRPr="00B6593D">
        <w:rPr>
          <w:rFonts w:cstheme="majorHAnsi"/>
          <w:color w:val="000000" w:themeColor="text1"/>
          <w:szCs w:val="22"/>
        </w:rPr>
        <w:t>përkufizon</w:t>
      </w:r>
      <w:r w:rsidRPr="00B6593D">
        <w:rPr>
          <w:rFonts w:cstheme="majorHAnsi"/>
          <w:color w:val="000000" w:themeColor="text1"/>
          <w:szCs w:val="22"/>
        </w:rPr>
        <w:t xml:space="preserve"> aspektet rregulluese vetëm për të rinjtë nga mosha 15 deri 24 vjet. Rëndësia e vullnetarizmit është dhënë edhe përmes krijimit të ekipit të punës</w:t>
      </w:r>
      <w:r w:rsidR="00176052" w:rsidRPr="00B6593D">
        <w:rPr>
          <w:rFonts w:cstheme="majorHAnsi"/>
          <w:color w:val="000000" w:themeColor="text1"/>
          <w:szCs w:val="22"/>
        </w:rPr>
        <w:t xml:space="preserve"> që</w:t>
      </w:r>
      <w:r w:rsidRPr="00B6593D">
        <w:rPr>
          <w:rFonts w:cstheme="majorHAnsi"/>
          <w:color w:val="000000" w:themeColor="text1"/>
          <w:szCs w:val="22"/>
        </w:rPr>
        <w:t xml:space="preserve"> është duke punuar për hartimin e koncept dokumentit për vullnetarizëm</w:t>
      </w:r>
      <w:r w:rsidR="00176052" w:rsidRPr="00B6593D">
        <w:rPr>
          <w:rFonts w:cstheme="majorHAnsi"/>
          <w:color w:val="000000" w:themeColor="text1"/>
          <w:szCs w:val="22"/>
        </w:rPr>
        <w:t>.</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pStyle w:val="Heading1"/>
        <w:rPr>
          <w:rFonts w:cstheme="majorHAnsi"/>
          <w:color w:val="000000" w:themeColor="text1"/>
          <w:sz w:val="24"/>
          <w:szCs w:val="24"/>
          <w:u w:val="single"/>
        </w:rPr>
      </w:pPr>
      <w:bookmarkStart w:id="5" w:name="_Toc536000957"/>
      <w:r w:rsidRPr="00B6593D">
        <w:rPr>
          <w:rFonts w:eastAsia="Times New Roman" w:cstheme="majorHAnsi"/>
          <w:color w:val="000000" w:themeColor="text1"/>
          <w:u w:val="single"/>
        </w:rPr>
        <w:t>Metodologjia</w:t>
      </w:r>
      <w:bookmarkEnd w:id="5"/>
      <w:r w:rsidRPr="00B6593D">
        <w:rPr>
          <w:rFonts w:cstheme="majorHAnsi"/>
          <w:color w:val="000000" w:themeColor="text1"/>
          <w:sz w:val="24"/>
          <w:szCs w:val="24"/>
          <w:u w:val="single"/>
        </w:rPr>
        <w:t xml:space="preserve"> </w:t>
      </w:r>
    </w:p>
    <w:p w:rsidR="00CF44A5" w:rsidRPr="00B6593D" w:rsidRDefault="00CF44A5" w:rsidP="00CF44A5">
      <w:pPr>
        <w:spacing w:line="276" w:lineRule="auto"/>
        <w:rPr>
          <w:rFonts w:cstheme="majorHAnsi"/>
          <w:color w:val="000000" w:themeColor="text1"/>
          <w:szCs w:val="22"/>
        </w:rPr>
      </w:pPr>
      <w:r w:rsidRPr="00B6593D">
        <w:rPr>
          <w:rFonts w:cstheme="majorHAnsi"/>
          <w:i/>
          <w:iCs/>
          <w:color w:val="000000" w:themeColor="text1"/>
          <w:szCs w:val="22"/>
        </w:rPr>
        <w:t>Strategjia</w:t>
      </w:r>
      <w:r w:rsidR="00176052" w:rsidRPr="00B6593D">
        <w:rPr>
          <w:rFonts w:cstheme="majorHAnsi"/>
          <w:i/>
          <w:iCs/>
          <w:color w:val="000000" w:themeColor="text1"/>
          <w:szCs w:val="22"/>
        </w:rPr>
        <w:t xml:space="preserve"> qeveritare</w:t>
      </w:r>
      <w:r w:rsidRPr="00B6593D">
        <w:rPr>
          <w:rFonts w:cstheme="majorHAnsi"/>
          <w:i/>
          <w:iCs/>
          <w:color w:val="000000" w:themeColor="text1"/>
          <w:szCs w:val="22"/>
        </w:rPr>
        <w:t xml:space="preserve"> për bashkëpunim </w:t>
      </w:r>
      <w:r w:rsidR="008009C8">
        <w:rPr>
          <w:rFonts w:cstheme="majorHAnsi"/>
          <w:i/>
          <w:iCs/>
          <w:color w:val="000000" w:themeColor="text1"/>
          <w:szCs w:val="22"/>
        </w:rPr>
        <w:t xml:space="preserve">me </w:t>
      </w:r>
      <w:r w:rsidRPr="00B6593D">
        <w:rPr>
          <w:rFonts w:cstheme="majorHAnsi"/>
          <w:i/>
          <w:iCs/>
          <w:color w:val="000000" w:themeColor="text1"/>
          <w:szCs w:val="22"/>
        </w:rPr>
        <w:t>Shoqëri</w:t>
      </w:r>
      <w:r w:rsidR="008009C8">
        <w:rPr>
          <w:rFonts w:cstheme="majorHAnsi"/>
          <w:i/>
          <w:iCs/>
          <w:color w:val="000000" w:themeColor="text1"/>
          <w:szCs w:val="22"/>
        </w:rPr>
        <w:t>n</w:t>
      </w:r>
      <w:r w:rsidRPr="00B6593D">
        <w:rPr>
          <w:rFonts w:cstheme="majorHAnsi"/>
          <w:i/>
          <w:iCs/>
          <w:color w:val="000000" w:themeColor="text1"/>
          <w:szCs w:val="22"/>
        </w:rPr>
        <w:t>ë Civile 2019-2023</w:t>
      </w:r>
      <w:r w:rsidRPr="00B6593D">
        <w:rPr>
          <w:rFonts w:cstheme="majorHAnsi"/>
          <w:color w:val="000000" w:themeColor="text1"/>
          <w:szCs w:val="22"/>
        </w:rPr>
        <w:t xml:space="preserve"> është përgatitur nga Ekipi i Punës i themeluar nga Zyra e Kryeministrit, me përfaqësues të qeverisë dhe shoqërisë civile, me mbështetje profesionale nga Zyra për Qeverisje të Mirë dhe Projekti i Asistencës Teknike i BE-së “Mbështetje për Zbatimin e Strategjisë së Qeverisë për Bashkëpunim me Shoqërinë Civile". </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Ekipi i Punues (EP) për hartimin e Strategjisë është themeluar me vendimin e datës 12 korrik 2017, nga Sekretari i Përgjithshëm i ZKM-së para se të skadonte Strategjia e paraprake (2013-2017). Ky Ekip ka qenë </w:t>
      </w:r>
      <w:r w:rsidRPr="00B6593D">
        <w:rPr>
          <w:rFonts w:cstheme="majorHAnsi"/>
          <w:color w:val="000000" w:themeColor="text1"/>
          <w:szCs w:val="22"/>
        </w:rPr>
        <w:lastRenderedPageBreak/>
        <w:t xml:space="preserve">shumë </w:t>
      </w:r>
      <w:r w:rsidR="003F5EEC" w:rsidRPr="00B6593D">
        <w:rPr>
          <w:rFonts w:cstheme="majorHAnsi"/>
          <w:color w:val="000000" w:themeColor="text1"/>
          <w:szCs w:val="22"/>
        </w:rPr>
        <w:t>proaktiv</w:t>
      </w:r>
      <w:r w:rsidRPr="00B6593D">
        <w:rPr>
          <w:rFonts w:cstheme="majorHAnsi"/>
          <w:color w:val="000000" w:themeColor="text1"/>
          <w:szCs w:val="22"/>
        </w:rPr>
        <w:t xml:space="preserve"> në plotësimin dhe konfirmimin e vlerësimit të Strategjisë së mëparshme, duke përcaktuar fushat me prioritet dhe përkufizuar misionin/vizionin e Strategjisë për vitet 2019-2023. Ekipi </w:t>
      </w:r>
      <w:r w:rsidR="00176052" w:rsidRPr="00B6593D">
        <w:rPr>
          <w:rFonts w:cstheme="majorHAnsi"/>
          <w:color w:val="000000" w:themeColor="text1"/>
          <w:szCs w:val="22"/>
        </w:rPr>
        <w:t xml:space="preserve">është </w:t>
      </w:r>
      <w:r w:rsidRPr="00B6593D">
        <w:rPr>
          <w:rFonts w:cstheme="majorHAnsi"/>
          <w:color w:val="000000" w:themeColor="text1"/>
          <w:szCs w:val="22"/>
        </w:rPr>
        <w:t>udhëh</w:t>
      </w:r>
      <w:r w:rsidR="00176052" w:rsidRPr="00B6593D">
        <w:rPr>
          <w:rFonts w:cstheme="majorHAnsi"/>
          <w:color w:val="000000" w:themeColor="text1"/>
          <w:szCs w:val="22"/>
        </w:rPr>
        <w:t>equr</w:t>
      </w:r>
      <w:r w:rsidRPr="00B6593D">
        <w:rPr>
          <w:rFonts w:cstheme="majorHAnsi"/>
          <w:color w:val="000000" w:themeColor="text1"/>
          <w:szCs w:val="22"/>
        </w:rPr>
        <w:t xml:space="preserve"> nga Zyra për </w:t>
      </w:r>
      <w:r w:rsidR="00176052" w:rsidRPr="00B6593D">
        <w:rPr>
          <w:rFonts w:cstheme="majorHAnsi"/>
          <w:color w:val="000000" w:themeColor="text1"/>
          <w:szCs w:val="22"/>
        </w:rPr>
        <w:t>Q</w:t>
      </w:r>
      <w:r w:rsidRPr="00B6593D">
        <w:rPr>
          <w:rFonts w:cstheme="majorHAnsi"/>
          <w:color w:val="000000" w:themeColor="text1"/>
          <w:szCs w:val="22"/>
        </w:rPr>
        <w:t xml:space="preserve">everisje të </w:t>
      </w:r>
      <w:r w:rsidR="00176052" w:rsidRPr="00B6593D">
        <w:rPr>
          <w:rFonts w:cstheme="majorHAnsi"/>
          <w:color w:val="000000" w:themeColor="text1"/>
          <w:szCs w:val="22"/>
        </w:rPr>
        <w:t>M</w:t>
      </w:r>
      <w:r w:rsidRPr="00B6593D">
        <w:rPr>
          <w:rFonts w:cstheme="majorHAnsi"/>
          <w:color w:val="000000" w:themeColor="text1"/>
          <w:szCs w:val="22"/>
        </w:rPr>
        <w:t>irë</w:t>
      </w:r>
      <w:r w:rsidR="00176052" w:rsidRPr="00B6593D">
        <w:rPr>
          <w:rFonts w:cstheme="majorHAnsi"/>
          <w:color w:val="000000" w:themeColor="text1"/>
          <w:szCs w:val="22"/>
        </w:rPr>
        <w:t>/</w:t>
      </w:r>
      <w:r w:rsidRPr="00B6593D">
        <w:rPr>
          <w:rFonts w:cstheme="majorHAnsi"/>
          <w:color w:val="000000" w:themeColor="text1"/>
          <w:szCs w:val="22"/>
        </w:rPr>
        <w:t xml:space="preserve">Zyra e </w:t>
      </w:r>
      <w:r w:rsidR="00176052" w:rsidRPr="00B6593D">
        <w:rPr>
          <w:rFonts w:cstheme="majorHAnsi"/>
          <w:color w:val="000000" w:themeColor="text1"/>
          <w:szCs w:val="22"/>
        </w:rPr>
        <w:t>K</w:t>
      </w:r>
      <w:r w:rsidRPr="00B6593D">
        <w:rPr>
          <w:rFonts w:cstheme="majorHAnsi"/>
          <w:color w:val="000000" w:themeColor="text1"/>
          <w:szCs w:val="22"/>
        </w:rPr>
        <w:t xml:space="preserve">ryeministrit në </w:t>
      </w:r>
      <w:r w:rsidR="003F5EEC" w:rsidRPr="00B6593D">
        <w:rPr>
          <w:rFonts w:cstheme="majorHAnsi"/>
          <w:color w:val="000000" w:themeColor="text1"/>
          <w:szCs w:val="22"/>
        </w:rPr>
        <w:t>bashkë kryesim</w:t>
      </w:r>
      <w:r w:rsidRPr="00B6593D">
        <w:rPr>
          <w:rFonts w:cstheme="majorHAnsi"/>
          <w:color w:val="000000" w:themeColor="text1"/>
          <w:szCs w:val="22"/>
        </w:rPr>
        <w:t xml:space="preserve"> me </w:t>
      </w:r>
      <w:r w:rsidR="00CC7F57" w:rsidRPr="00B6593D">
        <w:rPr>
          <w:rFonts w:cstheme="majorHAnsi"/>
          <w:color w:val="000000" w:themeColor="text1"/>
          <w:szCs w:val="22"/>
        </w:rPr>
        <w:t>P</w:t>
      </w:r>
      <w:r w:rsidRPr="00B6593D">
        <w:rPr>
          <w:rFonts w:cstheme="majorHAnsi"/>
          <w:color w:val="000000" w:themeColor="text1"/>
          <w:szCs w:val="22"/>
        </w:rPr>
        <w:t xml:space="preserve">latformën Civikos në përbërje të te cilit </w:t>
      </w:r>
      <w:r w:rsidR="00176052" w:rsidRPr="00B6593D">
        <w:rPr>
          <w:rFonts w:cstheme="majorHAnsi"/>
          <w:color w:val="000000" w:themeColor="text1"/>
          <w:szCs w:val="22"/>
        </w:rPr>
        <w:t>kanë qene</w:t>
      </w:r>
      <w:r w:rsidRPr="00B6593D">
        <w:rPr>
          <w:rFonts w:cstheme="majorHAnsi"/>
          <w:color w:val="000000" w:themeColor="text1"/>
          <w:szCs w:val="22"/>
        </w:rPr>
        <w:t xml:space="preserve"> përfaqësues nga Ministritë e linjës dhe Organizatat e Shoqërisë Civile. </w: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Mjeti kryesor i analizës për hartimin e Strategjisë së re ka qenë “analiza e shkakut bazë”. Analiza e shkakut bazë është përdorur për të identifikuar problemet, sfidat dhe pengesat në zbatimin e Strategjisë së mëparshme. Ajo në thelb i ka përkufizuar problemet </w:t>
      </w:r>
      <w:r w:rsidR="00176052" w:rsidRPr="00B6593D">
        <w:rPr>
          <w:rFonts w:cstheme="majorHAnsi"/>
          <w:color w:val="000000" w:themeColor="text1"/>
          <w:szCs w:val="22"/>
        </w:rPr>
        <w:t xml:space="preserve">e </w:t>
      </w:r>
      <w:r w:rsidRPr="00B6593D">
        <w:rPr>
          <w:rFonts w:cstheme="majorHAnsi"/>
          <w:color w:val="000000" w:themeColor="text1"/>
          <w:szCs w:val="22"/>
        </w:rPr>
        <w:t>bashkëpunimi</w:t>
      </w:r>
      <w:r w:rsidR="00176052" w:rsidRPr="00B6593D">
        <w:rPr>
          <w:rFonts w:cstheme="majorHAnsi"/>
          <w:color w:val="000000" w:themeColor="text1"/>
          <w:szCs w:val="22"/>
        </w:rPr>
        <w:t>t</w:t>
      </w:r>
      <w:r w:rsidRPr="00B6593D">
        <w:rPr>
          <w:rFonts w:cstheme="majorHAnsi"/>
          <w:color w:val="000000" w:themeColor="text1"/>
          <w:szCs w:val="22"/>
        </w:rPr>
        <w:t xml:space="preserve"> në mes të qeverisë dhe shoqërisë civile si dhe mësimet e nxjerra për Strategjinë </w:t>
      </w:r>
      <w:r w:rsidR="00176052" w:rsidRPr="00B6593D">
        <w:rPr>
          <w:rFonts w:cstheme="majorHAnsi"/>
          <w:color w:val="000000" w:themeColor="text1"/>
          <w:szCs w:val="22"/>
        </w:rPr>
        <w:t>e re</w:t>
      </w:r>
      <w:r w:rsidRPr="00B6593D">
        <w:rPr>
          <w:rFonts w:cstheme="majorHAnsi"/>
          <w:color w:val="000000" w:themeColor="text1"/>
          <w:szCs w:val="22"/>
        </w:rPr>
        <w:t>. Aktivitetet</w:t>
      </w:r>
      <w:r w:rsidR="00063279" w:rsidRPr="00B6593D">
        <w:rPr>
          <w:rFonts w:cstheme="majorHAnsi"/>
          <w:color w:val="000000" w:themeColor="text1"/>
          <w:szCs w:val="22"/>
        </w:rPr>
        <w:t xml:space="preserve"> e ndërmarra për ketë</w:t>
      </w:r>
      <w:r w:rsidRPr="00B6593D">
        <w:rPr>
          <w:rFonts w:cstheme="majorHAnsi"/>
          <w:color w:val="000000" w:themeColor="text1"/>
          <w:szCs w:val="22"/>
        </w:rPr>
        <w:t xml:space="preserve"> analizë</w:t>
      </w:r>
      <w:r w:rsidR="00063279" w:rsidRPr="00B6593D">
        <w:rPr>
          <w:rFonts w:cstheme="majorHAnsi"/>
          <w:color w:val="000000" w:themeColor="text1"/>
          <w:szCs w:val="22"/>
        </w:rPr>
        <w:t>s</w:t>
      </w:r>
      <w:r w:rsidRPr="00B6593D">
        <w:rPr>
          <w:rFonts w:cstheme="majorHAnsi"/>
          <w:color w:val="000000" w:themeColor="text1"/>
          <w:szCs w:val="22"/>
        </w:rPr>
        <w:t xml:space="preserve"> kanë përfshirë sesionet me Ekipin e punës dhe tryezat e rrumbullakëta me shoqërinë civile. Menjëherë pas mbledhjes dhe analizimit të të gjitha të dhënave për problemet dhe shkaqet bazë, gjetjet janë </w:t>
      </w:r>
      <w:r w:rsidRPr="00B6593D">
        <w:rPr>
          <w:rFonts w:cstheme="majorHAnsi"/>
          <w:bCs/>
          <w:color w:val="000000" w:themeColor="text1"/>
          <w:szCs w:val="22"/>
        </w:rPr>
        <w:t>diskutua</w:t>
      </w:r>
      <w:r w:rsidR="00063279" w:rsidRPr="00B6593D">
        <w:rPr>
          <w:rFonts w:cstheme="majorHAnsi"/>
          <w:bCs/>
          <w:color w:val="000000" w:themeColor="text1"/>
          <w:szCs w:val="22"/>
        </w:rPr>
        <w:t>r</w:t>
      </w:r>
      <w:r w:rsidRPr="00B6593D">
        <w:rPr>
          <w:rFonts w:cstheme="majorHAnsi"/>
          <w:color w:val="000000" w:themeColor="text1"/>
          <w:szCs w:val="22"/>
        </w:rPr>
        <w:t xml:space="preserve"> dhe </w:t>
      </w:r>
      <w:r w:rsidRPr="00B6593D">
        <w:rPr>
          <w:rFonts w:cstheme="majorHAnsi"/>
          <w:bCs/>
          <w:color w:val="000000" w:themeColor="text1"/>
          <w:szCs w:val="22"/>
        </w:rPr>
        <w:t>vërtetua</w:t>
      </w:r>
      <w:r w:rsidR="00063279" w:rsidRPr="00B6593D">
        <w:rPr>
          <w:rFonts w:cstheme="majorHAnsi"/>
          <w:bCs/>
          <w:color w:val="000000" w:themeColor="text1"/>
          <w:szCs w:val="22"/>
        </w:rPr>
        <w:t>r</w:t>
      </w:r>
      <w:r w:rsidRPr="00B6593D">
        <w:rPr>
          <w:rFonts w:cstheme="majorHAnsi"/>
          <w:color w:val="000000" w:themeColor="text1"/>
          <w:szCs w:val="22"/>
        </w:rPr>
        <w:t xml:space="preserve"> përmes aktiviteteve të organizuara nga Z</w:t>
      </w:r>
      <w:r w:rsidR="00063279" w:rsidRPr="00B6593D">
        <w:rPr>
          <w:rFonts w:cstheme="majorHAnsi"/>
          <w:color w:val="000000" w:themeColor="text1"/>
          <w:szCs w:val="22"/>
        </w:rPr>
        <w:t xml:space="preserve">yra për </w:t>
      </w:r>
      <w:r w:rsidRPr="00B6593D">
        <w:rPr>
          <w:rFonts w:cstheme="majorHAnsi"/>
          <w:color w:val="000000" w:themeColor="text1"/>
          <w:szCs w:val="22"/>
        </w:rPr>
        <w:t>Q</w:t>
      </w:r>
      <w:r w:rsidR="00063279" w:rsidRPr="00B6593D">
        <w:rPr>
          <w:rFonts w:cstheme="majorHAnsi"/>
          <w:color w:val="000000" w:themeColor="text1"/>
          <w:szCs w:val="22"/>
        </w:rPr>
        <w:t xml:space="preserve">everisje të </w:t>
      </w:r>
      <w:r w:rsidRPr="00B6593D">
        <w:rPr>
          <w:rFonts w:cstheme="majorHAnsi"/>
          <w:color w:val="000000" w:themeColor="text1"/>
          <w:szCs w:val="22"/>
        </w:rPr>
        <w:t>M</w:t>
      </w:r>
      <w:r w:rsidR="00063279" w:rsidRPr="00B6593D">
        <w:rPr>
          <w:rFonts w:cstheme="majorHAnsi"/>
          <w:color w:val="000000" w:themeColor="text1"/>
          <w:szCs w:val="22"/>
        </w:rPr>
        <w:t>irë/Zyra e Kryeministrit</w:t>
      </w:r>
      <w:r w:rsidRPr="00B6593D">
        <w:rPr>
          <w:rFonts w:cstheme="majorHAnsi"/>
          <w:color w:val="000000" w:themeColor="text1"/>
          <w:szCs w:val="22"/>
        </w:rPr>
        <w:t>.</w: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rPr>
        <w:t xml:space="preserve">Ekipi i punës ka punuar profesionalisht në vendosjen e </w:t>
      </w:r>
      <w:r w:rsidR="00262402" w:rsidRPr="00B6593D">
        <w:rPr>
          <w:rFonts w:cstheme="majorHAnsi"/>
          <w:color w:val="000000" w:themeColor="text1"/>
        </w:rPr>
        <w:t xml:space="preserve">objektivave </w:t>
      </w:r>
      <w:r w:rsidRPr="00B6593D">
        <w:rPr>
          <w:rFonts w:cstheme="majorHAnsi"/>
          <w:color w:val="000000" w:themeColor="text1"/>
        </w:rPr>
        <w:t>të dokumentit dhe bazuar në ketë analizë</w:t>
      </w:r>
      <w:r w:rsidR="00262402" w:rsidRPr="00B6593D">
        <w:rPr>
          <w:rFonts w:cstheme="majorHAnsi"/>
          <w:color w:val="000000" w:themeColor="text1"/>
        </w:rPr>
        <w:t xml:space="preserve"> ka </w:t>
      </w:r>
      <w:r w:rsidRPr="00B6593D">
        <w:rPr>
          <w:rFonts w:cstheme="majorHAnsi"/>
          <w:color w:val="000000" w:themeColor="text1"/>
        </w:rPr>
        <w:t>zhvilluar drafti</w:t>
      </w:r>
      <w:r w:rsidR="00262402" w:rsidRPr="00B6593D">
        <w:rPr>
          <w:rFonts w:cstheme="majorHAnsi"/>
          <w:color w:val="000000" w:themeColor="text1"/>
        </w:rPr>
        <w:t>n e</w:t>
      </w:r>
      <w:r w:rsidRPr="00B6593D">
        <w:rPr>
          <w:rFonts w:cstheme="majorHAnsi"/>
          <w:color w:val="000000" w:themeColor="text1"/>
        </w:rPr>
        <w:t xml:space="preserve"> parë </w:t>
      </w:r>
      <w:r w:rsidR="00262402" w:rsidRPr="00B6593D">
        <w:rPr>
          <w:rFonts w:cstheme="majorHAnsi"/>
          <w:color w:val="000000" w:themeColor="text1"/>
        </w:rPr>
        <w:t xml:space="preserve">të Strategjisë, </w:t>
      </w:r>
      <w:r w:rsidRPr="00B6593D">
        <w:rPr>
          <w:rFonts w:cstheme="majorHAnsi"/>
          <w:color w:val="000000" w:themeColor="text1"/>
        </w:rPr>
        <w:t xml:space="preserve">i cili ka </w:t>
      </w:r>
      <w:r w:rsidR="00262402" w:rsidRPr="00B6593D">
        <w:rPr>
          <w:rFonts w:cstheme="majorHAnsi"/>
          <w:color w:val="000000" w:themeColor="text1"/>
        </w:rPr>
        <w:t>kaluar të gjitha fazat e</w:t>
      </w:r>
      <w:r w:rsidRPr="00B6593D">
        <w:rPr>
          <w:rFonts w:cstheme="majorHAnsi"/>
          <w:color w:val="000000" w:themeColor="text1"/>
        </w:rPr>
        <w:t xml:space="preserve"> konsultimit. Procesi i konsultimit publik të dokumentit së bashku me të gjitha detyrimet e përcaktuara me Rregulloren për Standardet Minimale për Konsultimet Publike është zhvilluar me sukses me disa sesione konsultative nëpër rajone. </w:t>
      </w:r>
      <w:r w:rsidRPr="00B6593D">
        <w:rPr>
          <w:rFonts w:cstheme="majorHAnsi"/>
          <w:color w:val="000000" w:themeColor="text1"/>
          <w:szCs w:val="22"/>
        </w:rPr>
        <w:t xml:space="preserve">Me qëllim të sigurimit të kontributit sa më të gjerë nga OSHC-të dhe palët e tjera, janë zhvilluar takime konsultative në 5 </w:t>
      </w:r>
      <w:r w:rsidR="00262402" w:rsidRPr="00B6593D">
        <w:rPr>
          <w:rFonts w:cstheme="majorHAnsi"/>
          <w:color w:val="000000" w:themeColor="text1"/>
          <w:szCs w:val="22"/>
        </w:rPr>
        <w:t>rajone</w:t>
      </w:r>
      <w:r w:rsidRPr="00B6593D">
        <w:rPr>
          <w:rFonts w:cstheme="majorHAnsi"/>
          <w:color w:val="000000" w:themeColor="text1"/>
          <w:szCs w:val="22"/>
        </w:rPr>
        <w:t xml:space="preserve"> - Mitrovicë, Pejë, Prishtinë, Prizren dhe Gjilan</w:t>
      </w:r>
      <w:r w:rsidRPr="00B6593D">
        <w:rPr>
          <w:rStyle w:val="FootnoteReference"/>
          <w:rFonts w:cstheme="majorHAnsi"/>
          <w:color w:val="000000" w:themeColor="text1"/>
          <w:szCs w:val="22"/>
        </w:rPr>
        <w:footnoteReference w:id="7"/>
      </w:r>
      <w:r w:rsidRPr="00B6593D">
        <w:rPr>
          <w:rFonts w:cstheme="majorHAnsi"/>
          <w:color w:val="000000" w:themeColor="text1"/>
          <w:szCs w:val="22"/>
        </w:rPr>
        <w:t xml:space="preserve">, në tetor dhe nëntor 2018. Paralelisht, Strategjia dhe teksti i Planit të Veprimit janë vënë në dispozicion për konsultim për të gjithë qytetarët e interesuar në </w:t>
      </w:r>
      <w:hyperlink r:id="rId10" w:history="1">
        <w:r w:rsidRPr="00B6593D">
          <w:rPr>
            <w:rStyle w:val="Hyperlink"/>
            <w:rFonts w:cstheme="majorHAnsi"/>
            <w:color w:val="000000" w:themeColor="text1"/>
            <w:szCs w:val="22"/>
            <w:u w:val="none"/>
          </w:rPr>
          <w:t>Platformën Online për konsultime publike</w:t>
        </w:r>
      </w:hyperlink>
      <w:r w:rsidRPr="00B6593D">
        <w:rPr>
          <w:rStyle w:val="Hyperlink"/>
          <w:rFonts w:cstheme="majorHAnsi"/>
          <w:color w:val="000000" w:themeColor="text1"/>
          <w:szCs w:val="22"/>
          <w:u w:val="none"/>
        </w:rPr>
        <w:t xml:space="preserve"> (konsultime.rks-gov.net)</w:t>
      </w:r>
      <w:r w:rsidRPr="00B6593D">
        <w:rPr>
          <w:rFonts w:cstheme="majorHAnsi"/>
          <w:color w:val="000000" w:themeColor="text1"/>
          <w:szCs w:val="22"/>
        </w:rPr>
        <w:t xml:space="preserve"> duke filluar nga data 4 tetor deri me 9 nëntor</w:t>
      </w:r>
      <w:r w:rsidRPr="00B6593D">
        <w:rPr>
          <w:rStyle w:val="FootnoteReference"/>
          <w:rFonts w:cstheme="majorHAnsi"/>
          <w:color w:val="000000" w:themeColor="text1"/>
          <w:szCs w:val="22"/>
        </w:rPr>
        <w:footnoteReference w:id="8"/>
      </w:r>
      <w:r w:rsidRPr="00B6593D">
        <w:rPr>
          <w:rFonts w:cstheme="majorHAnsi"/>
          <w:color w:val="000000" w:themeColor="text1"/>
          <w:szCs w:val="22"/>
        </w:rPr>
        <w:t xml:space="preserve"> (34 ditë). Pas përfundimit të procesit të konsultimit publik, E</w:t>
      </w:r>
      <w:r w:rsidR="00262402" w:rsidRPr="00B6593D">
        <w:rPr>
          <w:rFonts w:cstheme="majorHAnsi"/>
          <w:color w:val="000000" w:themeColor="text1"/>
          <w:szCs w:val="22"/>
        </w:rPr>
        <w:t xml:space="preserve">kipi i </w:t>
      </w:r>
      <w:r w:rsidRPr="00B6593D">
        <w:rPr>
          <w:rFonts w:cstheme="majorHAnsi"/>
          <w:color w:val="000000" w:themeColor="text1"/>
          <w:szCs w:val="22"/>
        </w:rPr>
        <w:t>P</w:t>
      </w:r>
      <w:r w:rsidR="00262402" w:rsidRPr="00B6593D">
        <w:rPr>
          <w:rFonts w:cstheme="majorHAnsi"/>
          <w:color w:val="000000" w:themeColor="text1"/>
          <w:szCs w:val="22"/>
        </w:rPr>
        <w:t>unës</w:t>
      </w:r>
      <w:r w:rsidRPr="00B6593D">
        <w:rPr>
          <w:rFonts w:cstheme="majorHAnsi"/>
          <w:color w:val="000000" w:themeColor="text1"/>
          <w:szCs w:val="22"/>
        </w:rPr>
        <w:t xml:space="preserve"> është </w:t>
      </w:r>
      <w:r w:rsidR="00262402" w:rsidRPr="00B6593D">
        <w:rPr>
          <w:rFonts w:cstheme="majorHAnsi"/>
          <w:color w:val="000000" w:themeColor="text1"/>
          <w:szCs w:val="22"/>
        </w:rPr>
        <w:t>takuar dhe</w:t>
      </w:r>
      <w:r w:rsidRPr="00B6593D">
        <w:rPr>
          <w:rFonts w:cstheme="majorHAnsi"/>
          <w:color w:val="000000" w:themeColor="text1"/>
          <w:szCs w:val="22"/>
        </w:rPr>
        <w:t xml:space="preserve"> i ka analizuar </w:t>
      </w:r>
      <w:r w:rsidR="00262402" w:rsidRPr="00B6593D">
        <w:rPr>
          <w:rFonts w:cstheme="majorHAnsi"/>
          <w:color w:val="000000" w:themeColor="text1"/>
          <w:szCs w:val="22"/>
        </w:rPr>
        <w:t>e</w:t>
      </w:r>
      <w:r w:rsidRPr="00B6593D">
        <w:rPr>
          <w:rFonts w:cstheme="majorHAnsi"/>
          <w:color w:val="000000" w:themeColor="text1"/>
          <w:szCs w:val="22"/>
        </w:rPr>
        <w:t xml:space="preserve"> diskutuar të gjitha kontributet e</w:t>
      </w:r>
      <w:r w:rsidR="00262402" w:rsidRPr="00B6593D">
        <w:rPr>
          <w:rFonts w:cstheme="majorHAnsi"/>
          <w:color w:val="000000" w:themeColor="text1"/>
          <w:szCs w:val="22"/>
        </w:rPr>
        <w:t xml:space="preserve"> pranuara nga procesi i konsultimit për ta</w:t>
      </w:r>
      <w:r w:rsidRPr="00B6593D">
        <w:rPr>
          <w:rFonts w:cstheme="majorHAnsi"/>
          <w:color w:val="000000" w:themeColor="text1"/>
          <w:szCs w:val="22"/>
        </w:rPr>
        <w:t xml:space="preserve"> finalizuar draftin e fundit</w:t>
      </w:r>
      <w:r w:rsidR="00262402" w:rsidRPr="00B6593D">
        <w:rPr>
          <w:rFonts w:cstheme="majorHAnsi"/>
          <w:color w:val="000000" w:themeColor="text1"/>
          <w:szCs w:val="22"/>
        </w:rPr>
        <w:t xml:space="preserve"> që </w:t>
      </w:r>
      <w:r w:rsidRPr="00B6593D">
        <w:rPr>
          <w:rFonts w:cstheme="majorHAnsi"/>
          <w:color w:val="000000" w:themeColor="text1"/>
          <w:szCs w:val="22"/>
        </w:rPr>
        <w:t xml:space="preserve">është përcjellë për miratim në Qeveri. </w:t>
      </w:r>
    </w:p>
    <w:p w:rsidR="00CF44A5" w:rsidRPr="00B6593D" w:rsidRDefault="00CF44A5" w:rsidP="00CF44A5">
      <w:pPr>
        <w:rPr>
          <w:rFonts w:cstheme="majorHAnsi"/>
          <w:color w:val="000000" w:themeColor="text1"/>
        </w:rPr>
      </w:pPr>
    </w:p>
    <w:p w:rsidR="00CF44A5" w:rsidRPr="00B6593D" w:rsidRDefault="00CF44A5" w:rsidP="00CF44A5">
      <w:pPr>
        <w:pStyle w:val="Heading1"/>
        <w:spacing w:before="0" w:after="0" w:line="276" w:lineRule="auto"/>
        <w:rPr>
          <w:rFonts w:eastAsia="Times New Roman" w:cstheme="majorHAnsi"/>
          <w:color w:val="000000" w:themeColor="text1"/>
          <w:u w:val="single"/>
        </w:rPr>
      </w:pPr>
      <w:bookmarkStart w:id="6" w:name="_Toc536000958"/>
      <w:r w:rsidRPr="00B6593D">
        <w:rPr>
          <w:rFonts w:eastAsia="Times New Roman" w:cstheme="majorHAnsi"/>
          <w:color w:val="000000" w:themeColor="text1"/>
          <w:u w:val="single"/>
        </w:rPr>
        <w:t>Historiku i Problemit</w:t>
      </w:r>
      <w:bookmarkEnd w:id="6"/>
      <w:r w:rsidRPr="00B6593D">
        <w:rPr>
          <w:rFonts w:eastAsia="Times New Roman" w:cstheme="majorHAnsi"/>
          <w:color w:val="000000" w:themeColor="text1"/>
          <w:u w:val="single"/>
        </w:rPr>
        <w:t xml:space="preserve"> </w: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Problemi kryesor që ky dokument strategjik synon të adresojë</w:t>
      </w:r>
      <w:r w:rsidR="00360FE3">
        <w:rPr>
          <w:rFonts w:cstheme="majorHAnsi"/>
          <w:color w:val="000000" w:themeColor="text1"/>
          <w:szCs w:val="22"/>
        </w:rPr>
        <w:t xml:space="preserve"> </w:t>
      </w:r>
      <w:r w:rsidRPr="00B6593D">
        <w:rPr>
          <w:rFonts w:cstheme="majorHAnsi"/>
          <w:color w:val="000000" w:themeColor="text1"/>
          <w:szCs w:val="22"/>
        </w:rPr>
        <w:t>në mënyrë specifike ndërlidhet me çështjet apo shqetësimet të cilat nuk janë implementuar në kohë në Strategjinë e mëparshme. Deri tani, pjesa më e madhe e progresit në zbatim të Strategjisë së mëparshme është arritur gjatë viteve 2016 dhe 2017</w:t>
      </w:r>
      <w:r w:rsidR="00360FE3">
        <w:rPr>
          <w:rFonts w:cstheme="majorHAnsi"/>
          <w:color w:val="000000" w:themeColor="text1"/>
          <w:szCs w:val="22"/>
        </w:rPr>
        <w:t xml:space="preserve"> </w:t>
      </w:r>
      <w:r w:rsidRPr="00B6593D">
        <w:rPr>
          <w:rFonts w:cstheme="majorHAnsi"/>
          <w:color w:val="000000" w:themeColor="text1"/>
          <w:szCs w:val="22"/>
        </w:rPr>
        <w:t>ku shkalla e progresit ka arritur në 73 përqind,</w:t>
      </w:r>
      <w:r w:rsidRPr="00B6593D">
        <w:rPr>
          <w:rStyle w:val="FootnoteReference"/>
          <w:rFonts w:cstheme="majorHAnsi"/>
          <w:color w:val="000000" w:themeColor="text1"/>
          <w:szCs w:val="22"/>
        </w:rPr>
        <w:footnoteReference w:id="9"/>
      </w:r>
      <w:r w:rsidR="00CC7F57" w:rsidRPr="00B6593D">
        <w:rPr>
          <w:rFonts w:cstheme="majorHAnsi"/>
          <w:color w:val="000000" w:themeColor="text1"/>
          <w:szCs w:val="22"/>
        </w:rPr>
        <w:t xml:space="preserve"> sa i përket </w:t>
      </w:r>
      <w:r w:rsidR="00360FE3">
        <w:rPr>
          <w:rFonts w:cstheme="majorHAnsi"/>
          <w:color w:val="000000" w:themeColor="text1"/>
          <w:szCs w:val="22"/>
        </w:rPr>
        <w:t>zbatimit</w:t>
      </w:r>
      <w:r w:rsidR="00CC7F57" w:rsidRPr="00B6593D">
        <w:rPr>
          <w:rFonts w:cstheme="majorHAnsi"/>
          <w:color w:val="000000" w:themeColor="text1"/>
          <w:szCs w:val="22"/>
        </w:rPr>
        <w:t xml:space="preserve"> të aktiviteteve</w:t>
      </w:r>
      <w:r w:rsidR="00CC7F57" w:rsidRPr="00B6593D">
        <w:rPr>
          <w:rFonts w:cstheme="majorHAnsi"/>
        </w:rPr>
        <w:t xml:space="preserve"> </w:t>
      </w:r>
      <w:r w:rsidR="00CC7F57" w:rsidRPr="00B6593D">
        <w:rPr>
          <w:rFonts w:cstheme="majorHAnsi"/>
          <w:color w:val="000000" w:themeColor="text1"/>
          <w:szCs w:val="22"/>
        </w:rPr>
        <w:t>ndërsa nëse progresi do të matej në bazë të rezultateve dhe ndikimit përqindj</w:t>
      </w:r>
      <w:r w:rsidR="00360FE3">
        <w:rPr>
          <w:rFonts w:cstheme="majorHAnsi"/>
          <w:color w:val="000000" w:themeColor="text1"/>
          <w:szCs w:val="22"/>
        </w:rPr>
        <w:t>a</w:t>
      </w:r>
      <w:r w:rsidR="00CC7F57" w:rsidRPr="00B6593D">
        <w:rPr>
          <w:rFonts w:cstheme="majorHAnsi"/>
          <w:color w:val="000000" w:themeColor="text1"/>
          <w:szCs w:val="22"/>
        </w:rPr>
        <w:t xml:space="preserve"> do të ishte më e vogël. Zbatimi i Strategjisë (2013-2017) ka filluar me vonesë pas hyrjes në fuqi në vitin 2013,  ku aktivitetet e planifikuara gjatë viteve 2013-2014 janë zhvendosur për vitin 2015</w:t>
      </w:r>
      <w:r w:rsidR="00351581">
        <w:rPr>
          <w:rFonts w:cstheme="majorHAnsi"/>
          <w:color w:val="000000" w:themeColor="text1"/>
          <w:szCs w:val="22"/>
        </w:rPr>
        <w:t>.</w:t>
      </w:r>
      <w:r w:rsidRPr="00B6593D">
        <w:rPr>
          <w:rFonts w:cstheme="majorHAnsi"/>
          <w:color w:val="000000" w:themeColor="text1"/>
          <w:szCs w:val="22"/>
        </w:rPr>
        <w:t xml:space="preserve"> Për shkak të mungesës së burimeve financiare dhe njerëzore, Strategjia</w:t>
      </w:r>
      <w:r w:rsidR="00262402" w:rsidRPr="00B6593D">
        <w:rPr>
          <w:rFonts w:cstheme="majorHAnsi"/>
          <w:color w:val="000000" w:themeColor="text1"/>
          <w:szCs w:val="22"/>
        </w:rPr>
        <w:t xml:space="preserve"> ka f</w:t>
      </w:r>
      <w:r w:rsidR="00351581">
        <w:rPr>
          <w:rFonts w:cstheme="majorHAnsi"/>
          <w:color w:val="000000" w:themeColor="text1"/>
          <w:szCs w:val="22"/>
        </w:rPr>
        <w:t>i</w:t>
      </w:r>
      <w:r w:rsidR="00262402" w:rsidRPr="00B6593D">
        <w:rPr>
          <w:rFonts w:cstheme="majorHAnsi"/>
          <w:color w:val="000000" w:themeColor="text1"/>
          <w:szCs w:val="22"/>
        </w:rPr>
        <w:t>lluar së zbatuari me</w:t>
      </w:r>
      <w:r w:rsidRPr="00B6593D">
        <w:rPr>
          <w:rFonts w:cstheme="majorHAnsi"/>
          <w:color w:val="000000" w:themeColor="text1"/>
          <w:szCs w:val="22"/>
        </w:rPr>
        <w:t xml:space="preserve"> një ritëm të ngadalshëm,</w:t>
      </w:r>
      <w:r w:rsidR="00262402" w:rsidRPr="00B6593D">
        <w:rPr>
          <w:rFonts w:cstheme="majorHAnsi"/>
          <w:color w:val="000000" w:themeColor="text1"/>
          <w:szCs w:val="22"/>
        </w:rPr>
        <w:t xml:space="preserve"> mirëpo </w:t>
      </w:r>
      <w:r w:rsidRPr="00B6593D">
        <w:rPr>
          <w:rFonts w:cstheme="majorHAnsi"/>
          <w:color w:val="000000" w:themeColor="text1"/>
          <w:szCs w:val="22"/>
        </w:rPr>
        <w:t xml:space="preserve">me </w:t>
      </w:r>
      <w:r w:rsidR="00262402" w:rsidRPr="00B6593D">
        <w:rPr>
          <w:rFonts w:cstheme="majorHAnsi"/>
          <w:color w:val="000000" w:themeColor="text1"/>
          <w:szCs w:val="22"/>
        </w:rPr>
        <w:t>përkushtimin</w:t>
      </w:r>
      <w:r w:rsidRPr="00B6593D">
        <w:rPr>
          <w:rFonts w:cstheme="majorHAnsi"/>
          <w:color w:val="000000" w:themeColor="text1"/>
          <w:szCs w:val="22"/>
        </w:rPr>
        <w:t xml:space="preserve"> e Zyrës për Qeverisje të Mirë</w:t>
      </w:r>
      <w:r w:rsidR="00262402" w:rsidRPr="00B6593D">
        <w:rPr>
          <w:rFonts w:cstheme="majorHAnsi"/>
          <w:color w:val="000000" w:themeColor="text1"/>
          <w:szCs w:val="22"/>
        </w:rPr>
        <w:t xml:space="preserve">/Zyrës së Kryeministrit </w:t>
      </w:r>
      <w:r w:rsidRPr="00B6593D">
        <w:rPr>
          <w:rFonts w:cstheme="majorHAnsi"/>
          <w:color w:val="000000" w:themeColor="text1"/>
          <w:szCs w:val="22"/>
        </w:rPr>
        <w:t>dhe mbështetjes nga një sërë organizata</w:t>
      </w:r>
      <w:r w:rsidR="00CC7F57" w:rsidRPr="00B6593D">
        <w:rPr>
          <w:rFonts w:cstheme="majorHAnsi"/>
          <w:color w:val="000000" w:themeColor="text1"/>
          <w:szCs w:val="22"/>
        </w:rPr>
        <w:t xml:space="preserve"> vendore</w:t>
      </w:r>
      <w:r w:rsidRPr="00B6593D">
        <w:rPr>
          <w:rFonts w:cstheme="majorHAnsi"/>
          <w:color w:val="000000" w:themeColor="text1"/>
          <w:szCs w:val="22"/>
        </w:rPr>
        <w:t>, donatorë ndërkombëtar dhe nga Projekti i Asistencës Teknike të BE-së</w:t>
      </w:r>
      <w:r w:rsidR="00262402" w:rsidRPr="00B6593D">
        <w:rPr>
          <w:rFonts w:cstheme="majorHAnsi"/>
          <w:color w:val="000000" w:themeColor="text1"/>
          <w:szCs w:val="22"/>
        </w:rPr>
        <w:t xml:space="preserve"> ka arritur që me sukses të implementojë shumicën e masave të planifikuara</w:t>
      </w:r>
      <w:r w:rsidRPr="00B6593D">
        <w:rPr>
          <w:rFonts w:cstheme="majorHAnsi"/>
          <w:color w:val="000000" w:themeColor="text1"/>
          <w:szCs w:val="22"/>
        </w:rPr>
        <w:t>.</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Gjatë katër (4) viteve të fundit, marrëdhëniet në mes të shoqërisë civile dhe qeverisë </w:t>
      </w:r>
      <w:r w:rsidRPr="00B6593D">
        <w:rPr>
          <w:rFonts w:cstheme="majorHAnsi"/>
          <w:bCs/>
          <w:color w:val="000000" w:themeColor="text1"/>
          <w:szCs w:val="22"/>
        </w:rPr>
        <w:t>janë përmirësuar dukshëm</w:t>
      </w:r>
      <w:r w:rsidRPr="00B6593D">
        <w:rPr>
          <w:rFonts w:cstheme="majorHAnsi"/>
          <w:color w:val="000000" w:themeColor="text1"/>
          <w:szCs w:val="22"/>
        </w:rPr>
        <w:t>. Strategjia (2013-2017) ka qenë një mjet i politikave duke e vendosur bazën e bashkëpunimit në mes të qeverisë dhe shoqërisë civile, me qëllim të krijimit të një mjedisi përkrahës për zhvillimin e sektorit të shoqërisë civile në vend!</w:t>
      </w:r>
      <w:r w:rsidRPr="00B6593D">
        <w:rPr>
          <w:rStyle w:val="FootnoteReference"/>
          <w:rFonts w:cstheme="majorHAnsi"/>
          <w:color w:val="000000" w:themeColor="text1"/>
          <w:szCs w:val="22"/>
        </w:rPr>
        <w:footnoteReference w:id="10"/>
      </w:r>
      <w:r w:rsidRPr="00B6593D">
        <w:rPr>
          <w:rFonts w:cstheme="majorHAnsi"/>
          <w:color w:val="000000" w:themeColor="text1"/>
          <w:szCs w:val="22"/>
        </w:rPr>
        <w:t xml:space="preserve"> Rrjedhimisht, shoqëria civile gjithnjë e më shumë është duke u përfshirë në politik</w:t>
      </w:r>
      <w:r w:rsidR="00262402" w:rsidRPr="00B6593D">
        <w:rPr>
          <w:rFonts w:cstheme="majorHAnsi"/>
          <w:color w:val="000000" w:themeColor="text1"/>
          <w:szCs w:val="22"/>
        </w:rPr>
        <w:t>ë-bërje</w:t>
      </w:r>
      <w:r w:rsidRPr="00B6593D">
        <w:rPr>
          <w:rFonts w:cstheme="majorHAnsi"/>
          <w:color w:val="000000" w:themeColor="text1"/>
          <w:szCs w:val="22"/>
        </w:rPr>
        <w:t xml:space="preserve">. </w:t>
      </w:r>
      <w:hyperlink r:id="rId11" w:history="1">
        <w:r w:rsidRPr="00B6593D">
          <w:rPr>
            <w:rStyle w:val="Hyperlink"/>
            <w:rFonts w:cstheme="majorHAnsi"/>
            <w:color w:val="000000" w:themeColor="text1"/>
            <w:szCs w:val="22"/>
            <w:u w:val="none"/>
          </w:rPr>
          <w:t>Miratimi i Rregullores Nr.05/2016 mbi Standardet Minimale për Procesin e Konsultimit me Publikun</w:t>
        </w:r>
      </w:hyperlink>
      <w:r w:rsidRPr="00B6593D">
        <w:rPr>
          <w:rFonts w:cstheme="majorHAnsi"/>
          <w:color w:val="000000" w:themeColor="text1"/>
          <w:szCs w:val="22"/>
        </w:rPr>
        <w:t xml:space="preserve"> (prill 2016) dhe </w:t>
      </w:r>
      <w:hyperlink r:id="rId12" w:history="1">
        <w:r w:rsidRPr="00B6593D">
          <w:rPr>
            <w:rStyle w:val="Hyperlink"/>
            <w:rFonts w:cstheme="majorHAnsi"/>
            <w:color w:val="000000" w:themeColor="text1"/>
            <w:szCs w:val="22"/>
            <w:u w:val="none"/>
          </w:rPr>
          <w:t>lansimi i Platformës Online për Procesin e Konsultimeve me Publikun</w:t>
        </w:r>
      </w:hyperlink>
      <w:r w:rsidRPr="00B6593D">
        <w:rPr>
          <w:rFonts w:cstheme="majorHAnsi"/>
          <w:color w:val="000000" w:themeColor="text1"/>
          <w:szCs w:val="22"/>
        </w:rPr>
        <w:t xml:space="preserve"> (</w:t>
      </w:r>
      <w:r w:rsidR="004B66B0" w:rsidRPr="00B6593D">
        <w:rPr>
          <w:rFonts w:cstheme="majorHAnsi"/>
          <w:color w:val="000000" w:themeColor="text1"/>
          <w:szCs w:val="22"/>
        </w:rPr>
        <w:t>shkurt</w:t>
      </w:r>
      <w:r w:rsidRPr="00B6593D">
        <w:rPr>
          <w:rFonts w:cstheme="majorHAnsi"/>
          <w:color w:val="000000" w:themeColor="text1"/>
          <w:szCs w:val="22"/>
        </w:rPr>
        <w:t xml:space="preserve"> 2017) tregojnë shembullin me të mirë të bashkëpunimit. Prandaj, për vazhdim të suksesit duhet të bëhen përpjekje shtesë siç edhe </w:t>
      </w:r>
      <w:r w:rsidR="004B66B0" w:rsidRPr="00B6593D">
        <w:rPr>
          <w:rFonts w:cstheme="majorHAnsi"/>
          <w:color w:val="000000" w:themeColor="text1"/>
          <w:szCs w:val="22"/>
        </w:rPr>
        <w:t>janë</w:t>
      </w:r>
      <w:r w:rsidRPr="00B6593D">
        <w:rPr>
          <w:rFonts w:cstheme="majorHAnsi"/>
          <w:color w:val="000000" w:themeColor="text1"/>
          <w:szCs w:val="22"/>
        </w:rPr>
        <w:t xml:space="preserve"> paraparë në ketë Strategjinë.   </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Në mars të vitit 2017, Zyra për Qeverisje të Mirë/Zyra e Kryeministrit në bashkëpunim me Ministrinë e Financave kanë përgatitur dhe publikuar </w:t>
      </w:r>
      <w:hyperlink r:id="rId13" w:history="1">
        <w:r w:rsidRPr="00B6593D">
          <w:rPr>
            <w:rStyle w:val="Hyperlink"/>
            <w:rFonts w:cstheme="majorHAnsi"/>
            <w:color w:val="000000" w:themeColor="text1"/>
            <w:szCs w:val="22"/>
            <w:u w:val="none"/>
          </w:rPr>
          <w:t xml:space="preserve">Raportin për Mbështetjen Financiare Publike për </w:t>
        </w:r>
        <w:r w:rsidR="004B66B0" w:rsidRPr="00B6593D">
          <w:rPr>
            <w:rStyle w:val="Hyperlink"/>
            <w:rFonts w:cstheme="majorHAnsi"/>
            <w:color w:val="000000" w:themeColor="text1"/>
            <w:szCs w:val="22"/>
            <w:u w:val="none"/>
          </w:rPr>
          <w:t>OSHC</w:t>
        </w:r>
        <w:r w:rsidRPr="00B6593D">
          <w:rPr>
            <w:rStyle w:val="Hyperlink"/>
            <w:rFonts w:cstheme="majorHAnsi"/>
            <w:color w:val="000000" w:themeColor="text1"/>
            <w:szCs w:val="22"/>
            <w:u w:val="none"/>
          </w:rPr>
          <w:t>-të nga Institucionet e Republikës së Kosovës për Vitet 2015 - 2016.</w:t>
        </w:r>
      </w:hyperlink>
      <w:r w:rsidRPr="00B6593D">
        <w:rPr>
          <w:rFonts w:cstheme="majorHAnsi"/>
          <w:color w:val="000000" w:themeColor="text1"/>
          <w:szCs w:val="22"/>
        </w:rPr>
        <w:t xml:space="preserve"> Shumë analistë të politikave dhe aktivist të shoqërisë civile e shohin këtë si një sukses madhor, pasi që informacioni për financimin e shoqërisë civile nga qeveria nuk është publikuar në të kaluarën. Krahas kësaj, në qershor të vitit 2017, është vendosur një sistem </w:t>
      </w:r>
      <w:r w:rsidR="00351581">
        <w:rPr>
          <w:rFonts w:cstheme="majorHAnsi"/>
          <w:color w:val="000000" w:themeColor="text1"/>
          <w:szCs w:val="22"/>
        </w:rPr>
        <w:t xml:space="preserve">transparent dhe llogaridhënës </w:t>
      </w:r>
      <w:r w:rsidRPr="00B6593D">
        <w:rPr>
          <w:rFonts w:cstheme="majorHAnsi"/>
          <w:color w:val="000000" w:themeColor="text1"/>
          <w:szCs w:val="22"/>
        </w:rPr>
        <w:t xml:space="preserve">për financimin e OSHC-ve përmes miratimit të </w:t>
      </w:r>
      <w:hyperlink r:id="rId14" w:history="1">
        <w:r w:rsidRPr="00B6593D">
          <w:rPr>
            <w:rStyle w:val="Hyperlink"/>
            <w:rFonts w:cstheme="majorHAnsi"/>
            <w:color w:val="000000" w:themeColor="text1"/>
            <w:szCs w:val="22"/>
            <w:u w:val="none"/>
          </w:rPr>
          <w:t>Rregullores MF-NR-04/2017 mbi Kriteret, Standardet dhe Procedurat për Financimin Publik të OJQ-ve nga Ministria e Financave</w:t>
        </w:r>
      </w:hyperlink>
      <w:r w:rsidRPr="00B6593D">
        <w:rPr>
          <w:rStyle w:val="Hyperlink"/>
          <w:rFonts w:cstheme="majorHAnsi"/>
          <w:color w:val="000000" w:themeColor="text1"/>
          <w:szCs w:val="22"/>
          <w:u w:val="none"/>
        </w:rPr>
        <w:t xml:space="preserve">. </w:t>
      </w:r>
      <w:r w:rsidRPr="00B6593D">
        <w:rPr>
          <w:rFonts w:cstheme="majorHAnsi"/>
          <w:color w:val="000000" w:themeColor="text1"/>
          <w:szCs w:val="22"/>
        </w:rPr>
        <w:t>Rregullorja MF-04/2017 është pranuar mirë nga institucionet publike dhe OSHC-të. Mirëpo, për të vazhduar aplikimin e saj në praktikë duhet të bëhen përpjekje plotësuese me ngritje t</w:t>
      </w:r>
      <w:r w:rsidR="006D4A8E">
        <w:rPr>
          <w:rFonts w:cstheme="majorHAnsi"/>
          <w:color w:val="000000" w:themeColor="text1"/>
          <w:szCs w:val="22"/>
        </w:rPr>
        <w:t>ë</w:t>
      </w:r>
      <w:r w:rsidRPr="00B6593D">
        <w:rPr>
          <w:rFonts w:cstheme="majorHAnsi"/>
          <w:color w:val="000000" w:themeColor="text1"/>
          <w:szCs w:val="22"/>
        </w:rPr>
        <w:t xml:space="preserve"> vazhdu</w:t>
      </w:r>
      <w:r w:rsidR="006D4A8E">
        <w:rPr>
          <w:rFonts w:cstheme="majorHAnsi"/>
          <w:color w:val="000000" w:themeColor="text1"/>
          <w:szCs w:val="22"/>
        </w:rPr>
        <w:t>ë</w:t>
      </w:r>
      <w:r w:rsidRPr="00B6593D">
        <w:rPr>
          <w:rFonts w:cstheme="majorHAnsi"/>
          <w:color w:val="000000" w:themeColor="text1"/>
          <w:szCs w:val="22"/>
        </w:rPr>
        <w:t>shme t</w:t>
      </w:r>
      <w:r w:rsidR="006D4A8E">
        <w:rPr>
          <w:rFonts w:cstheme="majorHAnsi"/>
          <w:color w:val="000000" w:themeColor="text1"/>
          <w:szCs w:val="22"/>
        </w:rPr>
        <w:t>ë</w:t>
      </w:r>
      <w:r w:rsidRPr="00B6593D">
        <w:rPr>
          <w:rFonts w:cstheme="majorHAnsi"/>
          <w:color w:val="000000" w:themeColor="text1"/>
          <w:szCs w:val="22"/>
        </w:rPr>
        <w:t xml:space="preserve"> kapaciteteve p</w:t>
      </w:r>
      <w:r w:rsidR="006D4A8E">
        <w:rPr>
          <w:rFonts w:cstheme="majorHAnsi"/>
          <w:color w:val="000000" w:themeColor="text1"/>
          <w:szCs w:val="22"/>
        </w:rPr>
        <w:t>ë</w:t>
      </w:r>
      <w:r w:rsidRPr="00B6593D">
        <w:rPr>
          <w:rFonts w:cstheme="majorHAnsi"/>
          <w:color w:val="000000" w:themeColor="text1"/>
          <w:szCs w:val="22"/>
        </w:rPr>
        <w:t xml:space="preserve">r institucionet dhe </w:t>
      </w:r>
      <w:r w:rsidR="004B66B0" w:rsidRPr="00B6593D">
        <w:rPr>
          <w:rFonts w:cstheme="majorHAnsi"/>
          <w:color w:val="000000" w:themeColor="text1"/>
          <w:szCs w:val="22"/>
        </w:rPr>
        <w:t>OSHC</w:t>
      </w:r>
      <w:r w:rsidRPr="00B6593D">
        <w:rPr>
          <w:rFonts w:cstheme="majorHAnsi"/>
          <w:color w:val="000000" w:themeColor="text1"/>
          <w:szCs w:val="22"/>
        </w:rPr>
        <w:t xml:space="preserve">-të. </w: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Përderisa për Objektivin e parë të Strategjisë 2013-2017, përfshirja e shoqërisë civile në </w:t>
      </w:r>
      <w:r w:rsidR="003F5EEC" w:rsidRPr="00B6593D">
        <w:rPr>
          <w:rFonts w:cstheme="majorHAnsi"/>
          <w:color w:val="000000" w:themeColor="text1"/>
          <w:szCs w:val="22"/>
        </w:rPr>
        <w:t>politikë bërje</w:t>
      </w:r>
      <w:r w:rsidRPr="00B6593D">
        <w:rPr>
          <w:rFonts w:cstheme="majorHAnsi"/>
          <w:color w:val="000000" w:themeColor="text1"/>
          <w:szCs w:val="22"/>
        </w:rPr>
        <w:t xml:space="preserve"> ka qenë më e suksesshmja, e cila tejkalon </w:t>
      </w:r>
      <w:r w:rsidRPr="00B6593D">
        <w:rPr>
          <w:rFonts w:cstheme="majorHAnsi"/>
          <w:bCs/>
          <w:color w:val="000000" w:themeColor="text1"/>
          <w:szCs w:val="22"/>
        </w:rPr>
        <w:t>90 përqind</w:t>
      </w:r>
      <w:r w:rsidRPr="00B6593D">
        <w:rPr>
          <w:rFonts w:cstheme="majorHAnsi"/>
          <w:color w:val="000000" w:themeColor="text1"/>
          <w:szCs w:val="22"/>
        </w:rPr>
        <w:t xml:space="preserve"> të nivelit të </w:t>
      </w:r>
      <w:r w:rsidR="004B66B0" w:rsidRPr="00B6593D">
        <w:rPr>
          <w:rFonts w:cstheme="majorHAnsi"/>
          <w:color w:val="000000" w:themeColor="text1"/>
          <w:szCs w:val="22"/>
        </w:rPr>
        <w:t>progres</w:t>
      </w:r>
      <w:r w:rsidR="006D4A8E">
        <w:rPr>
          <w:rFonts w:cstheme="majorHAnsi"/>
          <w:color w:val="000000" w:themeColor="text1"/>
          <w:szCs w:val="22"/>
        </w:rPr>
        <w:t>it</w:t>
      </w:r>
      <w:r w:rsidRPr="00B6593D">
        <w:rPr>
          <w:rFonts w:cstheme="majorHAnsi"/>
          <w:color w:val="000000" w:themeColor="text1"/>
          <w:szCs w:val="22"/>
        </w:rPr>
        <w:t xml:space="preserve">, te pjesa tjetër e fushave të politikave mbetet akoma punë për t’u bërë. </w:t>
      </w:r>
      <w:r w:rsidRPr="00B6593D">
        <w:rPr>
          <w:rFonts w:cstheme="majorHAnsi"/>
          <w:iCs/>
          <w:color w:val="000000" w:themeColor="text1"/>
          <w:szCs w:val="22"/>
        </w:rPr>
        <w:t>Krijimi i një sistemi për financimin publik të shoqërisë civile</w:t>
      </w:r>
      <w:r w:rsidRPr="00B6593D">
        <w:rPr>
          <w:rFonts w:cstheme="majorHAnsi"/>
          <w:color w:val="000000" w:themeColor="text1"/>
          <w:szCs w:val="22"/>
        </w:rPr>
        <w:t xml:space="preserve"> te paraparë te objektivi</w:t>
      </w:r>
      <w:r w:rsidR="006D4A8E">
        <w:rPr>
          <w:rFonts w:cstheme="majorHAnsi"/>
          <w:color w:val="000000" w:themeColor="text1"/>
          <w:szCs w:val="22"/>
        </w:rPr>
        <w:t xml:space="preserve"> i</w:t>
      </w:r>
      <w:r w:rsidR="004B66B0" w:rsidRPr="00B6593D">
        <w:rPr>
          <w:rFonts w:cstheme="majorHAnsi"/>
          <w:color w:val="000000" w:themeColor="text1"/>
          <w:szCs w:val="22"/>
        </w:rPr>
        <w:t xml:space="preserve"> tretë </w:t>
      </w:r>
      <w:r w:rsidR="006D4A8E">
        <w:rPr>
          <w:rFonts w:cstheme="majorHAnsi"/>
          <w:color w:val="000000" w:themeColor="text1"/>
          <w:szCs w:val="22"/>
        </w:rPr>
        <w:t>i</w:t>
      </w:r>
      <w:r w:rsidR="004B66B0" w:rsidRPr="00B6593D">
        <w:rPr>
          <w:rFonts w:cstheme="majorHAnsi"/>
          <w:color w:val="000000" w:themeColor="text1"/>
          <w:szCs w:val="22"/>
        </w:rPr>
        <w:t xml:space="preserve"> </w:t>
      </w:r>
      <w:r w:rsidRPr="00B6593D">
        <w:rPr>
          <w:rFonts w:cstheme="majorHAnsi"/>
          <w:color w:val="000000" w:themeColor="text1"/>
          <w:szCs w:val="22"/>
        </w:rPr>
        <w:t xml:space="preserve"> Strategjisë  ka arritur </w:t>
      </w:r>
      <w:r w:rsidRPr="00B6593D">
        <w:rPr>
          <w:rFonts w:cstheme="majorHAnsi"/>
          <w:bCs/>
          <w:color w:val="000000" w:themeColor="text1"/>
          <w:szCs w:val="22"/>
        </w:rPr>
        <w:t>70 përqind</w:t>
      </w:r>
      <w:r w:rsidRPr="00B6593D">
        <w:rPr>
          <w:rFonts w:cstheme="majorHAnsi"/>
          <w:color w:val="000000" w:themeColor="text1"/>
          <w:szCs w:val="22"/>
        </w:rPr>
        <w:t xml:space="preserve"> të nivelit të </w:t>
      </w:r>
      <w:r w:rsidR="004B66B0" w:rsidRPr="00B6593D">
        <w:rPr>
          <w:rFonts w:cstheme="majorHAnsi"/>
          <w:color w:val="000000" w:themeColor="text1"/>
          <w:szCs w:val="22"/>
        </w:rPr>
        <w:t>progresit</w:t>
      </w:r>
      <w:r w:rsidRPr="00B6593D">
        <w:rPr>
          <w:rFonts w:cstheme="majorHAnsi"/>
          <w:color w:val="000000" w:themeColor="text1"/>
          <w:szCs w:val="22"/>
        </w:rPr>
        <w:t xml:space="preserve">. Për sa i përket objektivit strategjik për krijimin e një sistemi për kontraktimin e OSHC-ve për ofrimin e shërbimeve publike, niveli i </w:t>
      </w:r>
      <w:r w:rsidR="004B66B0" w:rsidRPr="00B6593D">
        <w:rPr>
          <w:rFonts w:cstheme="majorHAnsi"/>
          <w:color w:val="000000" w:themeColor="text1"/>
          <w:szCs w:val="22"/>
        </w:rPr>
        <w:t>progresit</w:t>
      </w:r>
      <w:r w:rsidRPr="00B6593D">
        <w:rPr>
          <w:rFonts w:cstheme="majorHAnsi"/>
          <w:color w:val="000000" w:themeColor="text1"/>
          <w:szCs w:val="22"/>
        </w:rPr>
        <w:t xml:space="preserve"> ka arritur në </w:t>
      </w:r>
      <w:r w:rsidRPr="00B6593D">
        <w:rPr>
          <w:rFonts w:cstheme="majorHAnsi"/>
          <w:bCs/>
          <w:color w:val="000000" w:themeColor="text1"/>
          <w:szCs w:val="22"/>
        </w:rPr>
        <w:t>50 përqind</w:t>
      </w:r>
      <w:r w:rsidRPr="00B6593D">
        <w:rPr>
          <w:rFonts w:cstheme="majorHAnsi"/>
          <w:color w:val="000000" w:themeColor="text1"/>
          <w:szCs w:val="22"/>
        </w:rPr>
        <w:t xml:space="preserve">.  Ndërsa niveli i </w:t>
      </w:r>
      <w:r w:rsidRPr="00B6593D">
        <w:rPr>
          <w:rFonts w:cstheme="majorHAnsi"/>
          <w:iCs/>
          <w:color w:val="000000" w:themeColor="text1"/>
          <w:szCs w:val="22"/>
        </w:rPr>
        <w:t>promovimit të një qasjeje të integruar ndaj vullnetarizmit</w:t>
      </w:r>
      <w:r w:rsidRPr="00B6593D">
        <w:rPr>
          <w:rFonts w:cstheme="majorHAnsi"/>
          <w:color w:val="000000" w:themeColor="text1"/>
          <w:szCs w:val="22"/>
        </w:rPr>
        <w:t xml:space="preserve"> ka arritur në </w:t>
      </w:r>
      <w:r w:rsidRPr="00B6593D">
        <w:rPr>
          <w:rFonts w:cstheme="majorHAnsi"/>
          <w:bCs/>
          <w:color w:val="000000" w:themeColor="text1"/>
          <w:szCs w:val="22"/>
        </w:rPr>
        <w:t>83 përqind</w:t>
      </w:r>
      <w:r w:rsidRPr="00B6593D">
        <w:rPr>
          <w:rFonts w:cstheme="majorHAnsi"/>
          <w:color w:val="000000" w:themeColor="text1"/>
          <w:szCs w:val="22"/>
        </w:rPr>
        <w:t>.  Pra, vlen të theksohet se mbetet shumë për të punuar në krijimin dhe vendosjen e “</w:t>
      </w:r>
      <w:r w:rsidRPr="00B6593D">
        <w:rPr>
          <w:rFonts w:cstheme="majorHAnsi"/>
          <w:i/>
          <w:color w:val="000000" w:themeColor="text1"/>
          <w:szCs w:val="22"/>
        </w:rPr>
        <w:t xml:space="preserve">një sistemi për </w:t>
      </w:r>
      <w:r w:rsidRPr="00B6593D">
        <w:rPr>
          <w:rFonts w:cstheme="majorHAnsi"/>
          <w:i/>
          <w:iCs/>
          <w:color w:val="000000" w:themeColor="text1"/>
          <w:szCs w:val="22"/>
        </w:rPr>
        <w:t>kontraktimin e OSHC-ve për të ofruar shërbime publike</w:t>
      </w:r>
      <w:r w:rsidRPr="00B6593D">
        <w:rPr>
          <w:rFonts w:cstheme="majorHAnsi"/>
          <w:color w:val="000000" w:themeColor="text1"/>
          <w:szCs w:val="22"/>
        </w:rPr>
        <w:t xml:space="preserve">” dhe për të </w:t>
      </w:r>
      <w:r w:rsidRPr="00B6593D">
        <w:rPr>
          <w:rFonts w:cstheme="majorHAnsi"/>
          <w:iCs/>
          <w:color w:val="000000" w:themeColor="text1"/>
          <w:szCs w:val="22"/>
        </w:rPr>
        <w:t>“</w:t>
      </w:r>
      <w:r w:rsidRPr="00B6593D">
        <w:rPr>
          <w:rFonts w:cstheme="majorHAnsi"/>
          <w:i/>
          <w:iCs/>
          <w:color w:val="000000" w:themeColor="text1"/>
          <w:szCs w:val="22"/>
        </w:rPr>
        <w:t>zhvilluar vullnetarizmin</w:t>
      </w:r>
      <w:r w:rsidRPr="00B6593D">
        <w:rPr>
          <w:rFonts w:cstheme="majorHAnsi"/>
          <w:iCs/>
          <w:color w:val="000000" w:themeColor="text1"/>
          <w:szCs w:val="22"/>
        </w:rPr>
        <w:t>”</w:t>
      </w:r>
      <w:r w:rsidRPr="00B6593D">
        <w:rPr>
          <w:rFonts w:cstheme="majorHAnsi"/>
          <w:color w:val="000000" w:themeColor="text1"/>
          <w:szCs w:val="22"/>
        </w:rPr>
        <w:t>.</w:t>
      </w:r>
      <w:r w:rsidR="00CC7F57" w:rsidRPr="00B6593D">
        <w:rPr>
          <w:rFonts w:cstheme="majorHAnsi"/>
          <w:color w:val="000000" w:themeColor="text1"/>
          <w:szCs w:val="22"/>
        </w:rPr>
        <w:t xml:space="preserve"> Mirëpo prap se prap kjo përqindje është vetëm matje kuantitative sepse nëse do të kishte indikatorë matës kualitativ, kjo përqindje do të ishte shumë më e vogël</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w:t>
      </w:r>
      <w:r w:rsidRPr="00B6593D">
        <w:rPr>
          <w:rFonts w:cstheme="majorHAnsi"/>
          <w:iCs/>
          <w:color w:val="000000" w:themeColor="text1"/>
          <w:szCs w:val="22"/>
        </w:rPr>
        <w:t>Analiza e shkaqeve bazë</w:t>
      </w:r>
      <w:r w:rsidRPr="00B6593D">
        <w:rPr>
          <w:rFonts w:cstheme="majorHAnsi"/>
          <w:color w:val="000000" w:themeColor="text1"/>
          <w:szCs w:val="22"/>
        </w:rPr>
        <w:t xml:space="preserve"> ” ka ndihmuar në identifikimin e të gjitha problemeve për secilën fushë me prioritet në kuadër të bashkëpunimit të qeverisë me shoqërinë civile. Për të siguruar raportimin e të gjitha problemeve dhe shkaqeve të drejtpërdrejta, raporti i vlerësimit është konsultuar ngushtë me të gjithë partnerët relevant të fushës. </w:t>
      </w:r>
    </w:p>
    <w:p w:rsidR="00691D3B" w:rsidRPr="00B6593D" w:rsidRDefault="00691D3B" w:rsidP="00CF44A5">
      <w:pPr>
        <w:spacing w:line="276" w:lineRule="auto"/>
        <w:rPr>
          <w:rFonts w:cstheme="majorHAnsi"/>
          <w:color w:val="000000" w:themeColor="text1"/>
          <w:szCs w:val="22"/>
        </w:rPr>
      </w:pPr>
    </w:p>
    <w:p w:rsidR="00691D3B" w:rsidRDefault="00691D3B" w:rsidP="00CF44A5">
      <w:pPr>
        <w:spacing w:line="276" w:lineRule="auto"/>
        <w:rPr>
          <w:rFonts w:cstheme="majorHAnsi"/>
          <w:color w:val="000000" w:themeColor="text1"/>
          <w:szCs w:val="22"/>
        </w:rPr>
      </w:pPr>
    </w:p>
    <w:p w:rsidR="0021663F" w:rsidRDefault="0021663F" w:rsidP="00CF44A5">
      <w:pPr>
        <w:spacing w:line="276" w:lineRule="auto"/>
        <w:rPr>
          <w:rFonts w:cstheme="majorHAnsi"/>
          <w:color w:val="000000" w:themeColor="text1"/>
          <w:szCs w:val="22"/>
        </w:rPr>
      </w:pPr>
    </w:p>
    <w:p w:rsidR="0021663F" w:rsidRPr="00B6593D" w:rsidRDefault="0021663F" w:rsidP="00CF44A5">
      <w:pPr>
        <w:spacing w:line="276" w:lineRule="auto"/>
        <w:rPr>
          <w:rFonts w:cstheme="majorHAnsi"/>
          <w:color w:val="000000" w:themeColor="text1"/>
          <w:szCs w:val="22"/>
        </w:rPr>
      </w:pPr>
    </w:p>
    <w:p w:rsidR="003F5EEC" w:rsidRPr="00B6593D" w:rsidRDefault="003F5EEC" w:rsidP="00CF44A5">
      <w:pPr>
        <w:spacing w:line="276" w:lineRule="auto"/>
        <w:rPr>
          <w:rFonts w:cstheme="majorHAnsi"/>
          <w:b/>
          <w:color w:val="000000" w:themeColor="text1"/>
          <w:szCs w:val="22"/>
          <w:u w:val="single"/>
        </w:rPr>
      </w:pPr>
    </w:p>
    <w:p w:rsidR="00CF44A5" w:rsidRPr="00B6593D" w:rsidRDefault="00CF44A5" w:rsidP="00CF44A5">
      <w:pPr>
        <w:spacing w:line="276" w:lineRule="auto"/>
        <w:rPr>
          <w:rFonts w:cstheme="majorHAnsi"/>
          <w:b/>
          <w:color w:val="000000" w:themeColor="text1"/>
          <w:szCs w:val="22"/>
          <w:u w:val="single"/>
        </w:rPr>
      </w:pPr>
      <w:r w:rsidRPr="00B6593D">
        <w:rPr>
          <w:rFonts w:cstheme="majorHAnsi"/>
          <w:b/>
          <w:color w:val="000000" w:themeColor="text1"/>
          <w:szCs w:val="22"/>
          <w:u w:val="single"/>
        </w:rPr>
        <w:lastRenderedPageBreak/>
        <w:t xml:space="preserve">Lista e problemeve te identifikuara bazuar ne </w:t>
      </w:r>
      <w:r w:rsidR="003F5EEC" w:rsidRPr="00B6593D">
        <w:rPr>
          <w:rFonts w:cstheme="majorHAnsi"/>
          <w:b/>
          <w:color w:val="000000" w:themeColor="text1"/>
          <w:szCs w:val="22"/>
          <w:u w:val="single"/>
        </w:rPr>
        <w:t>vlerësimin</w:t>
      </w:r>
      <w:r w:rsidRPr="00B6593D">
        <w:rPr>
          <w:rFonts w:cstheme="majorHAnsi"/>
          <w:b/>
          <w:color w:val="000000" w:themeColor="text1"/>
          <w:szCs w:val="22"/>
          <w:u w:val="single"/>
        </w:rPr>
        <w:t xml:space="preserve"> e shkaqeve bazë: </w:t>
      </w:r>
    </w:p>
    <w:p w:rsidR="00CF44A5" w:rsidRPr="00B6593D" w:rsidRDefault="00683A01" w:rsidP="00CF44A5">
      <w:pPr>
        <w:spacing w:line="276" w:lineRule="auto"/>
        <w:rPr>
          <w:rFonts w:cstheme="majorHAnsi"/>
          <w:color w:val="000000" w:themeColor="text1"/>
          <w:szCs w:val="22"/>
        </w:rPr>
      </w:pPr>
      <w:r>
        <w:rPr>
          <w:rFonts w:cstheme="majorHAnsi"/>
          <w:b/>
          <w:color w:val="000000" w:themeColor="text1"/>
          <w:szCs w:val="22"/>
          <w:u w:val="single"/>
        </w:rPr>
        <w:pict>
          <v:rect id="_x0000_i1025" style="width:468pt;height:1.5pt" o:hralign="center" o:hrstd="t" o:hrnoshade="t" o:hr="t" fillcolor="gray [1629]" stroked="f"/>
        </w:pict>
      </w:r>
    </w:p>
    <w:tbl>
      <w:tblPr>
        <w:tblW w:w="0" w:type="auto"/>
        <w:tblLook w:val="04A0" w:firstRow="1" w:lastRow="0" w:firstColumn="1" w:lastColumn="0" w:noHBand="0" w:noVBand="1"/>
      </w:tblPr>
      <w:tblGrid>
        <w:gridCol w:w="445"/>
        <w:gridCol w:w="8905"/>
      </w:tblGrid>
      <w:tr w:rsidR="00CF44A5" w:rsidRPr="00B6593D" w:rsidTr="00221DE3">
        <w:tc>
          <w:tcPr>
            <w:tcW w:w="445" w:type="dxa"/>
            <w:tcBorders>
              <w:bottom w:val="single" w:sz="12" w:space="0" w:color="7F7F7F" w:themeColor="text1" w:themeTint="80"/>
              <w:right w:val="single" w:sz="4" w:space="0" w:color="auto"/>
            </w:tcBorders>
            <w:shd w:val="clear" w:color="auto" w:fill="FFD966" w:themeFill="accent4" w:themeFillTint="99"/>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1</w:t>
            </w:r>
          </w:p>
        </w:tc>
        <w:tc>
          <w:tcPr>
            <w:tcW w:w="8905" w:type="dxa"/>
            <w:tcBorders>
              <w:left w:val="single" w:sz="4" w:space="0" w:color="auto"/>
              <w:bottom w:val="single" w:sz="12" w:space="0" w:color="7F7F7F" w:themeColor="text1" w:themeTint="80"/>
            </w:tcBorders>
            <w:shd w:val="clear" w:color="auto" w:fill="FFD966" w:themeFill="accent4" w:themeFillTint="99"/>
            <w:vAlign w:val="center"/>
          </w:tcPr>
          <w:p w:rsidR="00CF44A5" w:rsidRPr="00B6593D" w:rsidRDefault="00CF44A5" w:rsidP="00221DE3">
            <w:pPr>
              <w:spacing w:line="276" w:lineRule="auto"/>
              <w:rPr>
                <w:rFonts w:cstheme="majorHAnsi"/>
                <w:i/>
                <w:color w:val="000000" w:themeColor="text1"/>
                <w:szCs w:val="22"/>
              </w:rPr>
            </w:pPr>
            <w:r w:rsidRPr="00B6593D">
              <w:rPr>
                <w:rFonts w:cstheme="majorHAnsi"/>
                <w:i/>
                <w:color w:val="000000" w:themeColor="text1"/>
                <w:szCs w:val="22"/>
              </w:rPr>
              <w:t xml:space="preserve">Mungesa e pjesëmarrjes adekuate të OSHC-ve në formulimin e politikave dhe legjislacionit </w:t>
            </w:r>
          </w:p>
        </w:tc>
      </w:tr>
      <w:tr w:rsidR="00CF44A5" w:rsidRPr="00B6593D" w:rsidTr="00221DE3">
        <w:tc>
          <w:tcPr>
            <w:tcW w:w="445" w:type="dxa"/>
            <w:tcBorders>
              <w:top w:val="single" w:sz="12" w:space="0" w:color="7F7F7F" w:themeColor="text1" w:themeTint="80"/>
              <w:right w:val="single" w:sz="4" w:space="0" w:color="auto"/>
            </w:tcBorders>
          </w:tcPr>
          <w:p w:rsidR="00CF44A5" w:rsidRPr="00B6593D" w:rsidRDefault="00CF44A5" w:rsidP="00221DE3">
            <w:pPr>
              <w:spacing w:line="276" w:lineRule="auto"/>
              <w:rPr>
                <w:rFonts w:cstheme="majorHAnsi"/>
                <w:color w:val="000000" w:themeColor="text1"/>
                <w:szCs w:val="22"/>
              </w:rPr>
            </w:pPr>
            <w:r w:rsidRPr="00B6593D">
              <w:rPr>
                <w:rFonts w:cstheme="majorHAnsi"/>
                <w:noProof/>
                <w:color w:val="000000" w:themeColor="text1"/>
              </w:rPr>
              <mc:AlternateContent>
                <mc:Choice Requires="wps">
                  <w:drawing>
                    <wp:anchor distT="0" distB="0" distL="114300" distR="114300" simplePos="0" relativeHeight="251673600" behindDoc="0" locked="0" layoutInCell="1" allowOverlap="1" wp14:anchorId="50DA9E12" wp14:editId="6DEF076E">
                      <wp:simplePos x="0" y="0"/>
                      <wp:positionH relativeFrom="column">
                        <wp:posOffset>0</wp:posOffset>
                      </wp:positionH>
                      <wp:positionV relativeFrom="paragraph">
                        <wp:posOffset>100168</wp:posOffset>
                      </wp:positionV>
                      <wp:extent cx="101600" cy="101600"/>
                      <wp:effectExtent l="0" t="0" r="12700" b="12700"/>
                      <wp:wrapNone/>
                      <wp:docPr id="11" name="Oval 11"/>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E429A1" id="Oval 11" o:spid="_x0000_s1026" style="position:absolute;margin-left:0;margin-top:7.9pt;width:8pt;height: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" fillcolor="gray [1629]" strokecolor="gray [1629]" strokeweight="1pt">
                      <v:stroke joinstyle="miter"/>
                    </v:oval>
                  </w:pict>
                </mc:Fallback>
              </mc:AlternateContent>
            </w:r>
          </w:p>
        </w:tc>
        <w:tc>
          <w:tcPr>
            <w:tcW w:w="8905" w:type="dxa"/>
            <w:tcBorders>
              <w:top w:val="single" w:sz="12" w:space="0" w:color="7F7F7F" w:themeColor="text1" w:themeTint="80"/>
              <w:left w:val="single" w:sz="4" w:space="0" w:color="auto"/>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Mungesa e resurseve njerëzore dhe financiare për të monitoruar e raportuar procesin e konsultimeve me publikun</w:t>
            </w:r>
          </w:p>
        </w:tc>
      </w:tr>
      <w:tr w:rsidR="00CF44A5" w:rsidRPr="00B6593D" w:rsidTr="00221DE3">
        <w:tc>
          <w:tcPr>
            <w:tcW w:w="445" w:type="dxa"/>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59264" behindDoc="0" locked="0" layoutInCell="1" allowOverlap="1" wp14:anchorId="05FD0093" wp14:editId="560BB362">
                      <wp:simplePos x="0" y="0"/>
                      <wp:positionH relativeFrom="column">
                        <wp:posOffset>8467</wp:posOffset>
                      </wp:positionH>
                      <wp:positionV relativeFrom="paragraph">
                        <wp:posOffset>104140</wp:posOffset>
                      </wp:positionV>
                      <wp:extent cx="101600" cy="101600"/>
                      <wp:effectExtent l="0" t="0" r="12700" b="12700"/>
                      <wp:wrapNone/>
                      <wp:docPr id="3" name="Oval 3"/>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91E2F" id="Oval 3" o:spid="_x0000_s1026" style="position:absolute;margin-left:.65pt;margin-top:8.2pt;width:8pt;height: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AoJAOWmgIAAB8GAAAOAAAAAAAAAAAAAAAAAC4CAABkcnMvZTJvRG9j&#10;LnhtbFBLAQItABQABgAIAAAAIQA8lNDE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rsidR="00CF44A5" w:rsidRPr="00B6593D" w:rsidRDefault="00CF44A5" w:rsidP="00221DE3">
            <w:pPr>
              <w:pStyle w:val="HTMLPreformatted"/>
              <w:shd w:val="clear" w:color="auto" w:fill="FFFFFF"/>
              <w:spacing w:line="276" w:lineRule="auto"/>
              <w:rPr>
                <w:rFonts w:asciiTheme="majorHAnsi" w:hAnsiTheme="majorHAnsi" w:cstheme="majorHAnsi"/>
                <w:color w:val="000000" w:themeColor="text1"/>
                <w:sz w:val="22"/>
                <w:szCs w:val="22"/>
              </w:rPr>
            </w:pPr>
            <w:r w:rsidRPr="00B6593D">
              <w:rPr>
                <w:rFonts w:asciiTheme="majorHAnsi" w:hAnsiTheme="majorHAnsi" w:cstheme="majorHAnsi"/>
                <w:color w:val="000000" w:themeColor="text1"/>
                <w:sz w:val="22"/>
                <w:szCs w:val="22"/>
              </w:rPr>
              <w:t>Ministritë e linjës kanë pasur mungesa të kapaciteteve të zyrtarëve për të planifikuar, zbatuar dhe raportuar për standardet minimale për konsultim me publikun.</w:t>
            </w:r>
          </w:p>
        </w:tc>
      </w:tr>
      <w:tr w:rsidR="00CF44A5" w:rsidRPr="00B6593D" w:rsidTr="00221DE3">
        <w:tc>
          <w:tcPr>
            <w:tcW w:w="445" w:type="dxa"/>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60288" behindDoc="0" locked="0" layoutInCell="1" allowOverlap="1" wp14:anchorId="19EDA858" wp14:editId="4D600778">
                      <wp:simplePos x="0" y="0"/>
                      <wp:positionH relativeFrom="column">
                        <wp:posOffset>8467</wp:posOffset>
                      </wp:positionH>
                      <wp:positionV relativeFrom="paragraph">
                        <wp:posOffset>104775</wp:posOffset>
                      </wp:positionV>
                      <wp:extent cx="101600" cy="101600"/>
                      <wp:effectExtent l="0" t="0" r="12700" b="12700"/>
                      <wp:wrapNone/>
                      <wp:docPr id="5" name="Oval 5"/>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EF35FB" id="Oval 5" o:spid="_x0000_s1026" style="position:absolute;margin-left:.65pt;margin-top:8.25pt;width:8pt;height: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DxEIlpmgIAAB8GAAAOAAAAAAAAAAAAAAAAAC4CAABkcnMvZTJvRG9j&#10;LnhtbFBLAQItABQABgAIAAAAIQCsA6zc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 xml:space="preserve">Mungesa e njohurive të organizatave të shoqërisë civile (OSHC-ve) për pjesëmarrje në konsultimet publike dhe bërjen e politikave në përgjithësi. </w:t>
            </w:r>
          </w:p>
        </w:tc>
      </w:tr>
      <w:tr w:rsidR="00CF44A5" w:rsidRPr="00B6593D" w:rsidTr="00221DE3">
        <w:tc>
          <w:tcPr>
            <w:tcW w:w="445" w:type="dxa"/>
            <w:tcBorders>
              <w:bottom w:val="single" w:sz="12" w:space="0" w:color="7F7F7F" w:themeColor="text1" w:themeTint="80"/>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61312" behindDoc="0" locked="0" layoutInCell="1" allowOverlap="1" wp14:anchorId="780B55B7" wp14:editId="65E4467D">
                      <wp:simplePos x="0" y="0"/>
                      <wp:positionH relativeFrom="column">
                        <wp:posOffset>7620</wp:posOffset>
                      </wp:positionH>
                      <wp:positionV relativeFrom="paragraph">
                        <wp:posOffset>92710</wp:posOffset>
                      </wp:positionV>
                      <wp:extent cx="101600" cy="101600"/>
                      <wp:effectExtent l="0" t="0" r="12700" b="12700"/>
                      <wp:wrapNone/>
                      <wp:docPr id="6" name="Oval 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495B43" id="Oval 6" o:spid="_x0000_s1026" style="position:absolute;margin-left:.6pt;margin-top:7.3pt;width:8pt;height: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bottom w:val="single" w:sz="12" w:space="0" w:color="7F7F7F" w:themeColor="text1" w:themeTint="80"/>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 xml:space="preserve">Mungesa e kapaciteteve profesionale në kuadër të organizatave të shoqërisë civile (OSHC-ve) për të kontribuar në procesin e konsultimeve me publikun. </w:t>
            </w:r>
          </w:p>
        </w:tc>
      </w:tr>
    </w:tbl>
    <w:p w:rsidR="00CF44A5" w:rsidRPr="00B6593D" w:rsidRDefault="00683A01" w:rsidP="00CF44A5">
      <w:pPr>
        <w:spacing w:line="276" w:lineRule="auto"/>
        <w:rPr>
          <w:rFonts w:cstheme="majorHAnsi"/>
          <w:color w:val="000000" w:themeColor="text1"/>
          <w:szCs w:val="22"/>
        </w:rPr>
      </w:pPr>
      <w:r>
        <w:rPr>
          <w:rFonts w:cstheme="majorHAnsi"/>
          <w:color w:val="000000" w:themeColor="text1"/>
          <w:szCs w:val="22"/>
        </w:rPr>
        <w:pict>
          <v:rect id="_x0000_i1026" style="width:468pt;height:1.5pt" o:hralign="center" o:hrstd="t" o:hrnoshade="t" o:hr="t" fillcolor="gray [1629]" stroked="f"/>
        </w:pict>
      </w:r>
    </w:p>
    <w:tbl>
      <w:tblPr>
        <w:tblW w:w="0" w:type="auto"/>
        <w:tblLook w:val="04A0" w:firstRow="1" w:lastRow="0" w:firstColumn="1" w:lastColumn="0" w:noHBand="0" w:noVBand="1"/>
      </w:tblPr>
      <w:tblGrid>
        <w:gridCol w:w="445"/>
        <w:gridCol w:w="8905"/>
      </w:tblGrid>
      <w:tr w:rsidR="00CF44A5" w:rsidRPr="00B6593D" w:rsidTr="00221DE3">
        <w:tc>
          <w:tcPr>
            <w:tcW w:w="445" w:type="dxa"/>
            <w:tcBorders>
              <w:bottom w:val="single" w:sz="12" w:space="0" w:color="7F7F7F" w:themeColor="text1" w:themeTint="80"/>
              <w:right w:val="single" w:sz="4" w:space="0" w:color="auto"/>
            </w:tcBorders>
            <w:shd w:val="clear" w:color="auto" w:fill="FFD966" w:themeFill="accent4" w:themeFillTint="99"/>
            <w:vAlign w:val="center"/>
          </w:tcPr>
          <w:p w:rsidR="00CF44A5" w:rsidRPr="00B6593D" w:rsidRDefault="00CF44A5" w:rsidP="00221DE3">
            <w:pPr>
              <w:spacing w:line="276" w:lineRule="auto"/>
              <w:rPr>
                <w:rFonts w:cstheme="majorHAnsi"/>
                <w:i/>
                <w:color w:val="000000" w:themeColor="text1"/>
                <w:szCs w:val="22"/>
              </w:rPr>
            </w:pPr>
            <w:r w:rsidRPr="00B6593D">
              <w:rPr>
                <w:rFonts w:cstheme="majorHAnsi"/>
                <w:i/>
                <w:color w:val="000000" w:themeColor="text1"/>
                <w:szCs w:val="22"/>
              </w:rPr>
              <w:t>2</w:t>
            </w:r>
          </w:p>
        </w:tc>
        <w:tc>
          <w:tcPr>
            <w:tcW w:w="8905" w:type="dxa"/>
            <w:tcBorders>
              <w:left w:val="single" w:sz="4" w:space="0" w:color="auto"/>
              <w:bottom w:val="single" w:sz="12" w:space="0" w:color="7F7F7F" w:themeColor="text1" w:themeTint="80"/>
            </w:tcBorders>
            <w:shd w:val="clear" w:color="auto" w:fill="FFD966" w:themeFill="accent4" w:themeFillTint="99"/>
            <w:vAlign w:val="center"/>
          </w:tcPr>
          <w:p w:rsidR="00CF44A5" w:rsidRPr="00B6593D" w:rsidRDefault="00CF44A5" w:rsidP="00221DE3">
            <w:pPr>
              <w:spacing w:line="276" w:lineRule="auto"/>
              <w:rPr>
                <w:rFonts w:cstheme="majorHAnsi"/>
                <w:i/>
                <w:color w:val="000000" w:themeColor="text1"/>
                <w:szCs w:val="22"/>
              </w:rPr>
            </w:pPr>
            <w:r w:rsidRPr="00B6593D">
              <w:rPr>
                <w:rFonts w:cstheme="majorHAnsi"/>
                <w:i/>
                <w:color w:val="000000" w:themeColor="text1"/>
                <w:szCs w:val="22"/>
              </w:rPr>
              <w:t>Financimi direkt dhe indirekt i OSHC-ve ende nuk është o</w:t>
            </w:r>
            <w:r w:rsidR="006D4A8E">
              <w:rPr>
                <w:rFonts w:cstheme="majorHAnsi"/>
                <w:i/>
                <w:color w:val="000000" w:themeColor="text1"/>
                <w:szCs w:val="22"/>
              </w:rPr>
              <w:t>për</w:t>
            </w:r>
            <w:r w:rsidRPr="00B6593D">
              <w:rPr>
                <w:rFonts w:cstheme="majorHAnsi"/>
                <w:i/>
                <w:color w:val="000000" w:themeColor="text1"/>
                <w:szCs w:val="22"/>
              </w:rPr>
              <w:t xml:space="preserve">acional  </w:t>
            </w:r>
          </w:p>
        </w:tc>
      </w:tr>
      <w:tr w:rsidR="00CF44A5" w:rsidRPr="00B6593D" w:rsidTr="00221DE3">
        <w:tc>
          <w:tcPr>
            <w:tcW w:w="445" w:type="dxa"/>
            <w:tcBorders>
              <w:top w:val="single" w:sz="12" w:space="0" w:color="7F7F7F" w:themeColor="text1" w:themeTint="80"/>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62336" behindDoc="0" locked="0" layoutInCell="1" allowOverlap="1" wp14:anchorId="017110BE" wp14:editId="699BE8A4">
                      <wp:simplePos x="0" y="0"/>
                      <wp:positionH relativeFrom="column">
                        <wp:posOffset>7409</wp:posOffset>
                      </wp:positionH>
                      <wp:positionV relativeFrom="paragraph">
                        <wp:posOffset>97790</wp:posOffset>
                      </wp:positionV>
                      <wp:extent cx="101600" cy="101600"/>
                      <wp:effectExtent l="0" t="0" r="12700" b="12700"/>
                      <wp:wrapNone/>
                      <wp:docPr id="7" name="Oval 7"/>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DEC2E4" id="Oval 7" o:spid="_x0000_s1026" style="position:absolute;margin-left:.6pt;margin-top:7.7pt;width:8pt;height: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" fillcolor="gray [1629]" strokecolor="gray [1629]" strokeweight="1pt">
                      <v:stroke joinstyle="miter"/>
                    </v:oval>
                  </w:pict>
                </mc:Fallback>
              </mc:AlternateContent>
            </w:r>
          </w:p>
        </w:tc>
        <w:tc>
          <w:tcPr>
            <w:tcW w:w="8905" w:type="dxa"/>
            <w:tcBorders>
              <w:top w:val="single" w:sz="12" w:space="0" w:color="7F7F7F" w:themeColor="text1" w:themeTint="80"/>
              <w:left w:val="single" w:sz="4" w:space="0" w:color="auto"/>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 xml:space="preserve">Mungesa e kapaciteteve të Ministrive dhe Komunave për programim, zbatim, monitorim dhe raportim të fondeve publike për OSHC-të ne nivelin e duhur. </w:t>
            </w:r>
          </w:p>
        </w:tc>
      </w:tr>
      <w:tr w:rsidR="00CF44A5" w:rsidRPr="00B6593D" w:rsidTr="00221DE3">
        <w:tc>
          <w:tcPr>
            <w:tcW w:w="445" w:type="dxa"/>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63360" behindDoc="0" locked="0" layoutInCell="1" allowOverlap="1" wp14:anchorId="1D38CE72" wp14:editId="2754BBD0">
                      <wp:simplePos x="0" y="0"/>
                      <wp:positionH relativeFrom="column">
                        <wp:posOffset>8467</wp:posOffset>
                      </wp:positionH>
                      <wp:positionV relativeFrom="paragraph">
                        <wp:posOffset>104140</wp:posOffset>
                      </wp:positionV>
                      <wp:extent cx="101600" cy="101600"/>
                      <wp:effectExtent l="0" t="0" r="12700" b="12700"/>
                      <wp:wrapNone/>
                      <wp:docPr id="8" name="Oval 8"/>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F87E68" id="Oval 8" o:spid="_x0000_s1026" style="position:absolute;margin-left:.65pt;margin-top:8.2pt;width:8pt;height: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DG9zg8mgIAAB8GAAAOAAAAAAAAAAAAAAAAAC4CAABkcnMvZTJvRG9j&#10;LnhtbFBLAQItABQABgAIAAAAIQA8lNDE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rsidR="00CF44A5" w:rsidRPr="00B6593D" w:rsidRDefault="00CF44A5" w:rsidP="00221DE3">
            <w:pPr>
              <w:pStyle w:val="HTMLPreformatted"/>
              <w:shd w:val="clear" w:color="auto" w:fill="FFFFFF"/>
              <w:spacing w:line="276" w:lineRule="auto"/>
              <w:rPr>
                <w:rFonts w:asciiTheme="majorHAnsi" w:hAnsiTheme="majorHAnsi" w:cstheme="majorHAnsi"/>
                <w:color w:val="000000" w:themeColor="text1"/>
                <w:sz w:val="22"/>
                <w:szCs w:val="22"/>
              </w:rPr>
            </w:pPr>
            <w:r w:rsidRPr="00B6593D">
              <w:rPr>
                <w:rFonts w:asciiTheme="majorHAnsi" w:hAnsiTheme="majorHAnsi" w:cstheme="majorHAnsi"/>
                <w:color w:val="000000" w:themeColor="text1"/>
                <w:sz w:val="22"/>
                <w:szCs w:val="22"/>
              </w:rPr>
              <w:t xml:space="preserve">Mungesa e një kornize ligjore koherente dhe mbështetëse për zhvillimin e filantropisë individuale dhe të korporatave. </w:t>
            </w:r>
          </w:p>
        </w:tc>
      </w:tr>
      <w:tr w:rsidR="00CF44A5" w:rsidRPr="00B6593D" w:rsidTr="00221DE3">
        <w:tc>
          <w:tcPr>
            <w:tcW w:w="445" w:type="dxa"/>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64384" behindDoc="0" locked="0" layoutInCell="1" allowOverlap="1" wp14:anchorId="78B5F094" wp14:editId="76DB4BAF">
                      <wp:simplePos x="0" y="0"/>
                      <wp:positionH relativeFrom="column">
                        <wp:posOffset>7620</wp:posOffset>
                      </wp:positionH>
                      <wp:positionV relativeFrom="paragraph">
                        <wp:posOffset>83185</wp:posOffset>
                      </wp:positionV>
                      <wp:extent cx="101600" cy="101600"/>
                      <wp:effectExtent l="0" t="0" r="12700" b="12700"/>
                      <wp:wrapNone/>
                      <wp:docPr id="12" name="Oval 1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E9715E" id="Oval 12" o:spid="_x0000_s1026" style="position:absolute;margin-left:.6pt;margin-top:6.55pt;width:8pt;height: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Aktivitetet ekonomike të organizatave të shoqërisë civile (OSHC-ve) janë të kufizuara.</w:t>
            </w:r>
          </w:p>
          <w:p w:rsidR="00CF44A5" w:rsidRPr="00B6593D" w:rsidRDefault="00CF44A5" w:rsidP="00221DE3">
            <w:pPr>
              <w:spacing w:line="276" w:lineRule="auto"/>
              <w:jc w:val="left"/>
              <w:rPr>
                <w:rFonts w:cstheme="majorHAnsi"/>
                <w:color w:val="000000" w:themeColor="text1"/>
                <w:szCs w:val="22"/>
              </w:rPr>
            </w:pPr>
          </w:p>
        </w:tc>
      </w:tr>
      <w:tr w:rsidR="00CF44A5" w:rsidRPr="00B6593D" w:rsidTr="00221DE3">
        <w:tc>
          <w:tcPr>
            <w:tcW w:w="445" w:type="dxa"/>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74624" behindDoc="0" locked="0" layoutInCell="1" allowOverlap="1" wp14:anchorId="55F36465" wp14:editId="755F5F37">
                      <wp:simplePos x="0" y="0"/>
                      <wp:positionH relativeFrom="column">
                        <wp:posOffset>8467</wp:posOffset>
                      </wp:positionH>
                      <wp:positionV relativeFrom="paragraph">
                        <wp:posOffset>104775</wp:posOffset>
                      </wp:positionV>
                      <wp:extent cx="101600" cy="101600"/>
                      <wp:effectExtent l="0" t="0" r="12700" b="12700"/>
                      <wp:wrapNone/>
                      <wp:docPr id="9" name="Oval 9"/>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7FBBA0" id="Oval 9" o:spid="_x0000_s1026" style="position:absolute;margin-left:.65pt;margin-top:8.25pt;width:8pt;height: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ACf+xNmgIAAB8GAAAOAAAAAAAAAAAAAAAAAC4CAABkcnMvZTJvRG9j&#10;LnhtbFBLAQItABQABgAIAAAAIQCsA6zc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 xml:space="preserve">Mungesa e sistemit të bashkëfinancimit në mënyrë që organizatat e shoqërisë civile (OSHC-të) të pranojnë fonde nga Bashkimi Evropian (BE-ja). </w:t>
            </w:r>
          </w:p>
        </w:tc>
      </w:tr>
    </w:tbl>
    <w:p w:rsidR="00CF44A5" w:rsidRPr="00B6593D" w:rsidRDefault="00683A01" w:rsidP="00CF44A5">
      <w:pPr>
        <w:spacing w:line="276" w:lineRule="auto"/>
        <w:rPr>
          <w:rFonts w:cstheme="majorHAnsi"/>
          <w:bCs/>
          <w:color w:val="000000" w:themeColor="text1"/>
          <w:szCs w:val="22"/>
        </w:rPr>
      </w:pPr>
      <w:r>
        <w:rPr>
          <w:rFonts w:cstheme="majorHAnsi"/>
          <w:color w:val="000000" w:themeColor="text1"/>
          <w:szCs w:val="22"/>
        </w:rPr>
        <w:pict>
          <v:rect id="_x0000_i1027" style="width:468pt;height:1.5pt" o:hralign="center" o:hrstd="t" o:hrnoshade="t" o:hr="t" fillcolor="gray [1629]" stroked="f"/>
        </w:pict>
      </w:r>
    </w:p>
    <w:tbl>
      <w:tblPr>
        <w:tblW w:w="0" w:type="auto"/>
        <w:tblLook w:val="04A0" w:firstRow="1" w:lastRow="0" w:firstColumn="1" w:lastColumn="0" w:noHBand="0" w:noVBand="1"/>
      </w:tblPr>
      <w:tblGrid>
        <w:gridCol w:w="445"/>
        <w:gridCol w:w="8905"/>
      </w:tblGrid>
      <w:tr w:rsidR="00CF44A5" w:rsidRPr="00B6593D" w:rsidTr="00221DE3">
        <w:tc>
          <w:tcPr>
            <w:tcW w:w="445" w:type="dxa"/>
            <w:tcBorders>
              <w:bottom w:val="single" w:sz="12" w:space="0" w:color="7F7F7F" w:themeColor="text1" w:themeTint="80"/>
              <w:right w:val="single" w:sz="4" w:space="0" w:color="auto"/>
            </w:tcBorders>
            <w:shd w:val="clear" w:color="auto" w:fill="FFD966" w:themeFill="accent4" w:themeFillTint="99"/>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3</w:t>
            </w:r>
          </w:p>
        </w:tc>
        <w:tc>
          <w:tcPr>
            <w:tcW w:w="8905" w:type="dxa"/>
            <w:tcBorders>
              <w:left w:val="single" w:sz="4" w:space="0" w:color="auto"/>
              <w:bottom w:val="single" w:sz="12" w:space="0" w:color="7F7F7F" w:themeColor="text1" w:themeTint="80"/>
            </w:tcBorders>
            <w:shd w:val="clear" w:color="auto" w:fill="FFD966" w:themeFill="accent4" w:themeFillTint="99"/>
            <w:vAlign w:val="center"/>
          </w:tcPr>
          <w:p w:rsidR="00CF44A5" w:rsidRPr="00B6593D" w:rsidRDefault="00CF44A5" w:rsidP="00221DE3">
            <w:pPr>
              <w:spacing w:line="276" w:lineRule="auto"/>
              <w:rPr>
                <w:rFonts w:cstheme="majorHAnsi"/>
                <w:i/>
                <w:color w:val="000000" w:themeColor="text1"/>
                <w:szCs w:val="22"/>
              </w:rPr>
            </w:pPr>
            <w:r w:rsidRPr="00B6593D">
              <w:rPr>
                <w:rFonts w:cstheme="majorHAnsi"/>
                <w:i/>
                <w:color w:val="000000" w:themeColor="text1"/>
                <w:szCs w:val="22"/>
              </w:rPr>
              <w:t xml:space="preserve">Praktikat e pazhvilluara dhe jo transparente për kontraktimin e OSHC-ve për të ofruar shërbime publike </w:t>
            </w:r>
          </w:p>
        </w:tc>
      </w:tr>
      <w:tr w:rsidR="00CF44A5" w:rsidRPr="00B6593D" w:rsidTr="00221DE3">
        <w:tc>
          <w:tcPr>
            <w:tcW w:w="445" w:type="dxa"/>
            <w:tcBorders>
              <w:top w:val="single" w:sz="12" w:space="0" w:color="7F7F7F" w:themeColor="text1" w:themeTint="80"/>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65408" behindDoc="0" locked="0" layoutInCell="1" allowOverlap="1" wp14:anchorId="66D4A9BA" wp14:editId="07804261">
                      <wp:simplePos x="0" y="0"/>
                      <wp:positionH relativeFrom="column">
                        <wp:posOffset>7409</wp:posOffset>
                      </wp:positionH>
                      <wp:positionV relativeFrom="paragraph">
                        <wp:posOffset>97790</wp:posOffset>
                      </wp:positionV>
                      <wp:extent cx="101600" cy="101600"/>
                      <wp:effectExtent l="0" t="0" r="12700" b="12700"/>
                      <wp:wrapNone/>
                      <wp:docPr id="13" name="Oval 13"/>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B8F419" id="Oval 13" o:spid="_x0000_s1026" style="position:absolute;margin-left:.6pt;margin-top:7.7pt;width:8pt;height: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" fillcolor="gray [1629]" strokecolor="gray [1629]" strokeweight="1pt">
                      <v:stroke joinstyle="miter"/>
                    </v:oval>
                  </w:pict>
                </mc:Fallback>
              </mc:AlternateContent>
            </w:r>
          </w:p>
        </w:tc>
        <w:tc>
          <w:tcPr>
            <w:tcW w:w="8905" w:type="dxa"/>
            <w:tcBorders>
              <w:top w:val="single" w:sz="12" w:space="0" w:color="7F7F7F" w:themeColor="text1" w:themeTint="80"/>
              <w:left w:val="single" w:sz="4" w:space="0" w:color="auto"/>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 xml:space="preserve">Mungesa e njohurive në Ministri dhe Komuna për kornizën ligjore dhe modeleve që janë në dispozicion për të kontraktuar OSHC-të në ofrimin e shërbimeve publike. </w:t>
            </w:r>
          </w:p>
        </w:tc>
      </w:tr>
      <w:tr w:rsidR="00CF44A5" w:rsidRPr="00B6593D" w:rsidTr="00221DE3">
        <w:tc>
          <w:tcPr>
            <w:tcW w:w="445" w:type="dxa"/>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66432" behindDoc="0" locked="0" layoutInCell="1" allowOverlap="1" wp14:anchorId="5E7F35BD" wp14:editId="513D7DD5">
                      <wp:simplePos x="0" y="0"/>
                      <wp:positionH relativeFrom="column">
                        <wp:posOffset>8467</wp:posOffset>
                      </wp:positionH>
                      <wp:positionV relativeFrom="paragraph">
                        <wp:posOffset>104140</wp:posOffset>
                      </wp:positionV>
                      <wp:extent cx="101600" cy="101600"/>
                      <wp:effectExtent l="0" t="0" r="12700" b="12700"/>
                      <wp:wrapNone/>
                      <wp:docPr id="14" name="Oval 14"/>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52259E" id="Oval 14" o:spid="_x0000_s1026" style="position:absolute;margin-left:.65pt;margin-top:8.2pt;width:8pt;height: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AzGaA+mgIAACEGAAAOAAAAAAAAAAAAAAAAAC4CAABkcnMvZTJvRG9j&#10;LnhtbFBLAQItABQABgAIAAAAIQA8lNDE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rsidR="00CF44A5" w:rsidRPr="00B6593D" w:rsidRDefault="00CF44A5" w:rsidP="00221DE3">
            <w:pPr>
              <w:pStyle w:val="HTMLPreformatted"/>
              <w:shd w:val="clear" w:color="auto" w:fill="FFFFFF"/>
              <w:spacing w:line="276" w:lineRule="auto"/>
              <w:rPr>
                <w:rFonts w:asciiTheme="majorHAnsi" w:hAnsiTheme="majorHAnsi" w:cstheme="majorHAnsi"/>
                <w:color w:val="000000" w:themeColor="text1"/>
                <w:sz w:val="22"/>
                <w:szCs w:val="22"/>
              </w:rPr>
            </w:pPr>
            <w:r w:rsidRPr="00B6593D">
              <w:rPr>
                <w:rFonts w:asciiTheme="majorHAnsi" w:hAnsiTheme="majorHAnsi" w:cstheme="majorHAnsi"/>
                <w:color w:val="000000" w:themeColor="text1"/>
                <w:sz w:val="22"/>
                <w:szCs w:val="22"/>
              </w:rPr>
              <w:t xml:space="preserve">Mungesa e vlerësimit të nevojave dhe potencialit për ofrimin e shërbimeve publike nga organizatat e shoqërisë civile (OSHC-të) në fusha të ndryshme. </w:t>
            </w:r>
          </w:p>
        </w:tc>
      </w:tr>
      <w:tr w:rsidR="00CF44A5" w:rsidRPr="00B6593D" w:rsidTr="00221DE3">
        <w:tc>
          <w:tcPr>
            <w:tcW w:w="445" w:type="dxa"/>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67456" behindDoc="0" locked="0" layoutInCell="1" allowOverlap="1" wp14:anchorId="3F113CFB" wp14:editId="135D328B">
                      <wp:simplePos x="0" y="0"/>
                      <wp:positionH relativeFrom="column">
                        <wp:posOffset>8467</wp:posOffset>
                      </wp:positionH>
                      <wp:positionV relativeFrom="paragraph">
                        <wp:posOffset>104775</wp:posOffset>
                      </wp:positionV>
                      <wp:extent cx="101600" cy="101600"/>
                      <wp:effectExtent l="0" t="0" r="12700" b="12700"/>
                      <wp:wrapNone/>
                      <wp:docPr id="15" name="Oval 15"/>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154EA5" id="Oval 15" o:spid="_x0000_s1026" style="position:absolute;margin-left:.65pt;margin-top:8.25pt;width:8pt;height: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DD3SeUmgIAACEGAAAOAAAAAAAAAAAAAAAAAC4CAABkcnMvZTJvRG9j&#10;LnhtbFBLAQItABQABgAIAAAAIQCsA6zc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 xml:space="preserve">Mungesa e të dhënave kombëtare për organizatat e shoqërisë civile (OSHC-të) si ofrues të shërbimeve publike në fusha të ndryshme. </w:t>
            </w:r>
          </w:p>
        </w:tc>
      </w:tr>
      <w:tr w:rsidR="00CF44A5" w:rsidRPr="00B6593D" w:rsidTr="00221DE3">
        <w:tc>
          <w:tcPr>
            <w:tcW w:w="445" w:type="dxa"/>
            <w:tcBorders>
              <w:bottom w:val="single" w:sz="12" w:space="0" w:color="7F7F7F" w:themeColor="text1" w:themeTint="80"/>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68480" behindDoc="0" locked="0" layoutInCell="1" allowOverlap="1" wp14:anchorId="7968AB4D" wp14:editId="3F809AA4">
                      <wp:simplePos x="0" y="0"/>
                      <wp:positionH relativeFrom="column">
                        <wp:posOffset>7620</wp:posOffset>
                      </wp:positionH>
                      <wp:positionV relativeFrom="paragraph">
                        <wp:posOffset>92710</wp:posOffset>
                      </wp:positionV>
                      <wp:extent cx="101600" cy="101600"/>
                      <wp:effectExtent l="0" t="0" r="12700" b="12700"/>
                      <wp:wrapNone/>
                      <wp:docPr id="16" name="Oval 1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B78A04" id="Oval 16" o:spid="_x0000_s1026" style="position:absolute;margin-left:.6pt;margin-top:7.3pt;width:8pt;height: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bottom w:val="single" w:sz="12" w:space="0" w:color="7F7F7F" w:themeColor="text1" w:themeTint="80"/>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 xml:space="preserve">Mungesa e standardeve dhe procedurave për ofrimin e shërbimeve publike nga organizatat e shoqërisë civile (OSHC-të). </w:t>
            </w:r>
          </w:p>
        </w:tc>
      </w:tr>
    </w:tbl>
    <w:p w:rsidR="00CF44A5" w:rsidRPr="00B6593D" w:rsidRDefault="00683A01" w:rsidP="00CF44A5">
      <w:pPr>
        <w:spacing w:line="276" w:lineRule="auto"/>
        <w:rPr>
          <w:rFonts w:cstheme="majorHAnsi"/>
          <w:color w:val="000000" w:themeColor="text1"/>
          <w:szCs w:val="22"/>
        </w:rPr>
      </w:pPr>
      <w:r>
        <w:rPr>
          <w:rFonts w:cstheme="majorHAnsi"/>
          <w:color w:val="000000" w:themeColor="text1"/>
          <w:szCs w:val="22"/>
        </w:rPr>
        <w:pict>
          <v:rect id="_x0000_i1028" style="width:468pt;height:1.5pt" o:hralign="center" o:hrstd="t" o:hrnoshade="t" o:hr="t" fillcolor="gray [1629]" stroked="f"/>
        </w:pict>
      </w:r>
    </w:p>
    <w:tbl>
      <w:tblPr>
        <w:tblW w:w="0" w:type="auto"/>
        <w:tblLook w:val="04A0" w:firstRow="1" w:lastRow="0" w:firstColumn="1" w:lastColumn="0" w:noHBand="0" w:noVBand="1"/>
      </w:tblPr>
      <w:tblGrid>
        <w:gridCol w:w="445"/>
        <w:gridCol w:w="8905"/>
      </w:tblGrid>
      <w:tr w:rsidR="00CF44A5" w:rsidRPr="00B6593D" w:rsidTr="00221DE3">
        <w:tc>
          <w:tcPr>
            <w:tcW w:w="445" w:type="dxa"/>
            <w:tcBorders>
              <w:bottom w:val="single" w:sz="12" w:space="0" w:color="7F7F7F" w:themeColor="text1" w:themeTint="80"/>
              <w:right w:val="single" w:sz="4" w:space="0" w:color="auto"/>
            </w:tcBorders>
            <w:shd w:val="clear" w:color="auto" w:fill="FFD966" w:themeFill="accent4" w:themeFillTint="99"/>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4</w:t>
            </w:r>
          </w:p>
        </w:tc>
        <w:tc>
          <w:tcPr>
            <w:tcW w:w="8905" w:type="dxa"/>
            <w:tcBorders>
              <w:left w:val="single" w:sz="4" w:space="0" w:color="auto"/>
              <w:bottom w:val="single" w:sz="12" w:space="0" w:color="7F7F7F" w:themeColor="text1" w:themeTint="80"/>
            </w:tcBorders>
            <w:shd w:val="clear" w:color="auto" w:fill="FFD966" w:themeFill="accent4" w:themeFillTint="99"/>
            <w:vAlign w:val="center"/>
          </w:tcPr>
          <w:p w:rsidR="00CF44A5" w:rsidRPr="00B6593D" w:rsidRDefault="00CF44A5" w:rsidP="00221DE3">
            <w:pPr>
              <w:spacing w:line="276" w:lineRule="auto"/>
              <w:rPr>
                <w:rFonts w:cstheme="majorHAnsi"/>
                <w:i/>
                <w:color w:val="000000" w:themeColor="text1"/>
                <w:szCs w:val="22"/>
              </w:rPr>
            </w:pPr>
            <w:r w:rsidRPr="00B6593D">
              <w:rPr>
                <w:rFonts w:cstheme="majorHAnsi"/>
                <w:i/>
                <w:color w:val="000000" w:themeColor="text1"/>
                <w:szCs w:val="22"/>
              </w:rPr>
              <w:t xml:space="preserve">Mungesa e vullnetarizmit në programet në interes të publikut </w:t>
            </w:r>
          </w:p>
        </w:tc>
      </w:tr>
      <w:tr w:rsidR="00CF44A5" w:rsidRPr="00B6593D" w:rsidTr="00221DE3">
        <w:tc>
          <w:tcPr>
            <w:tcW w:w="445" w:type="dxa"/>
            <w:tcBorders>
              <w:top w:val="single" w:sz="12" w:space="0" w:color="7F7F7F" w:themeColor="text1" w:themeTint="80"/>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69504" behindDoc="0" locked="0" layoutInCell="1" allowOverlap="1" wp14:anchorId="43B94E2F" wp14:editId="36F93B4A">
                      <wp:simplePos x="0" y="0"/>
                      <wp:positionH relativeFrom="column">
                        <wp:posOffset>7409</wp:posOffset>
                      </wp:positionH>
                      <wp:positionV relativeFrom="paragraph">
                        <wp:posOffset>97790</wp:posOffset>
                      </wp:positionV>
                      <wp:extent cx="101600" cy="101600"/>
                      <wp:effectExtent l="0" t="0" r="12700" b="12700"/>
                      <wp:wrapNone/>
                      <wp:docPr id="17" name="Oval 17"/>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2308AB" id="Oval 17" o:spid="_x0000_s1026" style="position:absolute;margin-left:.6pt;margin-top:7.7pt;width:8pt;height: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" fillcolor="gray [1629]" strokecolor="gray [1629]" strokeweight="1pt">
                      <v:stroke joinstyle="miter"/>
                    </v:oval>
                  </w:pict>
                </mc:Fallback>
              </mc:AlternateContent>
            </w:r>
          </w:p>
        </w:tc>
        <w:tc>
          <w:tcPr>
            <w:tcW w:w="8905" w:type="dxa"/>
            <w:tcBorders>
              <w:top w:val="single" w:sz="12" w:space="0" w:color="7F7F7F" w:themeColor="text1" w:themeTint="80"/>
              <w:left w:val="single" w:sz="4" w:space="0" w:color="auto"/>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 xml:space="preserve">Organizatorët e vullnetarëve përballen me disa pengesa administrative dhe ligjore në angazhimin dhe mbajtjen e vullnetarëve.   </w:t>
            </w:r>
          </w:p>
        </w:tc>
      </w:tr>
      <w:tr w:rsidR="00CF44A5" w:rsidRPr="00B6593D" w:rsidTr="00221DE3">
        <w:tc>
          <w:tcPr>
            <w:tcW w:w="445" w:type="dxa"/>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70528" behindDoc="0" locked="0" layoutInCell="1" allowOverlap="1" wp14:anchorId="12645409" wp14:editId="2DF8A20E">
                      <wp:simplePos x="0" y="0"/>
                      <wp:positionH relativeFrom="column">
                        <wp:posOffset>8467</wp:posOffset>
                      </wp:positionH>
                      <wp:positionV relativeFrom="paragraph">
                        <wp:posOffset>104140</wp:posOffset>
                      </wp:positionV>
                      <wp:extent cx="101600" cy="101600"/>
                      <wp:effectExtent l="0" t="0" r="12700" b="12700"/>
                      <wp:wrapNone/>
                      <wp:docPr id="18" name="Oval 18"/>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12189D" id="Oval 18" o:spid="_x0000_s1026" style="position:absolute;margin-left:.65pt;margin-top:8.2pt;width:8pt;height: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B3NEWtmgIAACEGAAAOAAAAAAAAAAAAAAAAAC4CAABkcnMvZTJvRG9j&#10;LnhtbFBLAQItABQABgAIAAAAIQA8lNDE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rsidR="00CF44A5" w:rsidRPr="00B6593D" w:rsidRDefault="00CF44A5" w:rsidP="00221DE3">
            <w:pPr>
              <w:pStyle w:val="HTMLPreformatted"/>
              <w:shd w:val="clear" w:color="auto" w:fill="FFFFFF"/>
              <w:spacing w:line="276" w:lineRule="auto"/>
              <w:rPr>
                <w:rFonts w:asciiTheme="majorHAnsi" w:hAnsiTheme="majorHAnsi" w:cstheme="majorHAnsi"/>
                <w:color w:val="000000" w:themeColor="text1"/>
                <w:sz w:val="22"/>
                <w:szCs w:val="22"/>
              </w:rPr>
            </w:pPr>
            <w:r w:rsidRPr="00B6593D">
              <w:rPr>
                <w:rFonts w:asciiTheme="majorHAnsi" w:hAnsiTheme="majorHAnsi" w:cstheme="majorHAnsi"/>
                <w:color w:val="000000" w:themeColor="text1"/>
                <w:sz w:val="22"/>
                <w:szCs w:val="22"/>
              </w:rPr>
              <w:t xml:space="preserve">Mungesa e standardeve dhe kapaciteteve të organizatave të shoqërisë civile (OSHC-ve) për të rekrutuar, angazhuar dhe menaxhuar vullnetarët. </w:t>
            </w:r>
          </w:p>
        </w:tc>
      </w:tr>
      <w:tr w:rsidR="00CF44A5" w:rsidRPr="00B6593D" w:rsidTr="00221DE3">
        <w:tc>
          <w:tcPr>
            <w:tcW w:w="445" w:type="dxa"/>
            <w:tcBorders>
              <w:bottom w:val="single" w:sz="12" w:space="0" w:color="7F7F7F" w:themeColor="text1" w:themeTint="80"/>
              <w:right w:val="single" w:sz="4" w:space="0" w:color="auto"/>
            </w:tcBorders>
          </w:tcPr>
          <w:p w:rsidR="00CF44A5" w:rsidRPr="00B6593D" w:rsidRDefault="00CF44A5" w:rsidP="00221DE3">
            <w:pPr>
              <w:spacing w:line="276" w:lineRule="auto"/>
              <w:jc w:val="center"/>
              <w:rPr>
                <w:rFonts w:cstheme="majorHAnsi"/>
                <w:color w:val="000000" w:themeColor="text1"/>
                <w:szCs w:val="22"/>
              </w:rPr>
            </w:pPr>
            <w:r w:rsidRPr="00B6593D">
              <w:rPr>
                <w:rFonts w:cstheme="majorHAnsi"/>
                <w:noProof/>
                <w:color w:val="000000" w:themeColor="text1"/>
                <w:szCs w:val="22"/>
              </w:rPr>
              <mc:AlternateContent>
                <mc:Choice Requires="wps">
                  <w:drawing>
                    <wp:anchor distT="0" distB="0" distL="114300" distR="114300" simplePos="0" relativeHeight="251671552" behindDoc="0" locked="0" layoutInCell="1" allowOverlap="1" wp14:anchorId="366DC32F" wp14:editId="2BE5C295">
                      <wp:simplePos x="0" y="0"/>
                      <wp:positionH relativeFrom="column">
                        <wp:posOffset>7620</wp:posOffset>
                      </wp:positionH>
                      <wp:positionV relativeFrom="paragraph">
                        <wp:posOffset>92710</wp:posOffset>
                      </wp:positionV>
                      <wp:extent cx="101600" cy="101600"/>
                      <wp:effectExtent l="0" t="0" r="12700" b="12700"/>
                      <wp:wrapNone/>
                      <wp:docPr id="20" name="Oval 2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D645DF" id="Oval 20" o:spid="_x0000_s1026" style="position:absolute;margin-left:.6pt;margin-top:7.3pt;width:8pt;height: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bottom w:val="single" w:sz="12" w:space="0" w:color="7F7F7F" w:themeColor="text1" w:themeTint="80"/>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 xml:space="preserve">Mungesa e njohurive të publikut/qytetarëve për mundësitë, përfitimet dhe vlerat e angazhimit në aktivitetet vullnetare.  </w:t>
            </w:r>
          </w:p>
        </w:tc>
      </w:tr>
    </w:tbl>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rPr>
          <w:rFonts w:eastAsia="Calibri" w:cstheme="majorHAnsi"/>
          <w:color w:val="000000" w:themeColor="text1"/>
        </w:rPr>
      </w:pPr>
      <w:r w:rsidRPr="00B6593D">
        <w:rPr>
          <w:rFonts w:eastAsia="Calibri" w:cstheme="majorHAnsi"/>
          <w:color w:val="000000" w:themeColor="text1"/>
        </w:rPr>
        <w:lastRenderedPageBreak/>
        <w:t>Shkaqet e drejtpërdrejta të identifikuara nga analiza janë adresuar detajish në raportin “Vlerësimi i Zbatimit të Strategjisë Qeveritare për Bashkëpunim me Shoqërinë Civile (2013-2017).”  Megjithatë, duhet të kemi parasysh mungesën e statistikave zyrtare dhe të besueshme si dhe statistikave për sektorin e shoqërisë civile.</w:t>
      </w:r>
      <w:r w:rsidR="004B66B0" w:rsidRPr="00B6593D">
        <w:rPr>
          <w:rFonts w:eastAsia="Calibri" w:cstheme="majorHAnsi"/>
          <w:color w:val="000000" w:themeColor="text1"/>
        </w:rPr>
        <w:br/>
      </w:r>
    </w:p>
    <w:p w:rsidR="00CF44A5" w:rsidRPr="00B6593D" w:rsidRDefault="00CF44A5" w:rsidP="00CF44A5">
      <w:pPr>
        <w:pStyle w:val="Heading1"/>
        <w:rPr>
          <w:rFonts w:eastAsia="Times New Roman" w:cstheme="majorHAnsi"/>
          <w:color w:val="000000" w:themeColor="text1"/>
          <w:u w:val="single"/>
        </w:rPr>
      </w:pPr>
      <w:bookmarkStart w:id="7" w:name="_Toc536000959"/>
      <w:r w:rsidRPr="00B6593D">
        <w:rPr>
          <w:rFonts w:eastAsia="Times New Roman" w:cstheme="majorHAnsi"/>
          <w:color w:val="000000" w:themeColor="text1"/>
          <w:u w:val="single"/>
        </w:rPr>
        <w:t>Objektivat Strategjike</w:t>
      </w:r>
      <w:bookmarkEnd w:id="7"/>
      <w:r w:rsidRPr="00B6593D">
        <w:rPr>
          <w:rFonts w:eastAsia="Times New Roman" w:cstheme="majorHAnsi"/>
          <w:color w:val="000000" w:themeColor="text1"/>
          <w:u w:val="single"/>
        </w:rPr>
        <w:t xml:space="preserve"> </w: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Objektivat strategjike janë qëllime që vlerësohen si më të rëndësishme për bashkëpunimin në mes të qeverisë dhe shoqërisë civile. </w:t>
      </w:r>
      <w:r w:rsidR="004B66B0" w:rsidRPr="00B6593D">
        <w:rPr>
          <w:rFonts w:cstheme="majorHAnsi"/>
          <w:color w:val="000000" w:themeColor="text1"/>
          <w:szCs w:val="22"/>
        </w:rPr>
        <w:t>Ekipi i Punues i’u ka dhënë prioritet o</w:t>
      </w:r>
      <w:r w:rsidRPr="00B6593D">
        <w:rPr>
          <w:rFonts w:cstheme="majorHAnsi"/>
          <w:color w:val="000000" w:themeColor="text1"/>
          <w:szCs w:val="22"/>
        </w:rPr>
        <w:t xml:space="preserve">bjektivave strategjike me sa vijon: </w:t>
      </w:r>
    </w:p>
    <w:p w:rsidR="00CF44A5" w:rsidRPr="00B6593D" w:rsidRDefault="00683A01" w:rsidP="00CF44A5">
      <w:pPr>
        <w:spacing w:line="276" w:lineRule="auto"/>
        <w:rPr>
          <w:rFonts w:cstheme="majorHAnsi"/>
          <w:color w:val="000000" w:themeColor="text1"/>
          <w:szCs w:val="22"/>
        </w:rPr>
      </w:pPr>
      <w:r>
        <w:rPr>
          <w:rFonts w:cstheme="majorHAnsi"/>
          <w:color w:val="000000" w:themeColor="text1"/>
          <w:szCs w:val="22"/>
        </w:rPr>
        <w:pict>
          <v:rect id="_x0000_i1029" style="width:468pt;height:1.5pt" o:hralign="center" o:hrstd="t" o:hrnoshade="t" o:hr="t" fillcolor="gray [1629]" stroked="f"/>
        </w:pict>
      </w:r>
    </w:p>
    <w:p w:rsidR="00CF44A5" w:rsidRPr="00B6593D" w:rsidRDefault="00CF44A5" w:rsidP="00024AAC">
      <w:pPr>
        <w:pStyle w:val="ListParagraph"/>
        <w:numPr>
          <w:ilvl w:val="0"/>
          <w:numId w:val="1"/>
        </w:numPr>
        <w:spacing w:line="276" w:lineRule="auto"/>
        <w:rPr>
          <w:rFonts w:asciiTheme="majorHAnsi" w:hAnsiTheme="majorHAnsi" w:cstheme="majorHAnsi"/>
          <w:color w:val="000000" w:themeColor="text1"/>
          <w:sz w:val="22"/>
          <w:szCs w:val="22"/>
        </w:rPr>
      </w:pPr>
      <w:r w:rsidRPr="00B6593D">
        <w:rPr>
          <w:rFonts w:asciiTheme="majorHAnsi" w:hAnsiTheme="majorHAnsi" w:cstheme="majorHAnsi"/>
          <w:color w:val="000000" w:themeColor="text1"/>
          <w:sz w:val="22"/>
          <w:szCs w:val="22"/>
        </w:rPr>
        <w:t xml:space="preserve">Rritja e pjesëmarrjes së shoqërisë civile në </w:t>
      </w:r>
      <w:r w:rsidR="003F5EEC" w:rsidRPr="00B6593D">
        <w:rPr>
          <w:rFonts w:asciiTheme="majorHAnsi" w:hAnsiTheme="majorHAnsi" w:cstheme="majorHAnsi"/>
          <w:color w:val="000000" w:themeColor="text1"/>
          <w:sz w:val="22"/>
          <w:szCs w:val="22"/>
        </w:rPr>
        <w:t>politikë</w:t>
      </w:r>
      <w:r w:rsidR="004B66B0" w:rsidRPr="00B6593D">
        <w:rPr>
          <w:rFonts w:asciiTheme="majorHAnsi" w:hAnsiTheme="majorHAnsi" w:cstheme="majorHAnsi"/>
          <w:color w:val="000000" w:themeColor="text1"/>
          <w:sz w:val="22"/>
          <w:szCs w:val="22"/>
        </w:rPr>
        <w:t>-</w:t>
      </w:r>
      <w:r w:rsidR="003F5EEC" w:rsidRPr="00B6593D">
        <w:rPr>
          <w:rFonts w:asciiTheme="majorHAnsi" w:hAnsiTheme="majorHAnsi" w:cstheme="majorHAnsi"/>
          <w:color w:val="000000" w:themeColor="text1"/>
          <w:sz w:val="22"/>
          <w:szCs w:val="22"/>
        </w:rPr>
        <w:t>bërje</w:t>
      </w:r>
    </w:p>
    <w:p w:rsidR="00CF44A5" w:rsidRPr="00B6593D" w:rsidRDefault="00CF44A5" w:rsidP="00024AAC">
      <w:pPr>
        <w:pStyle w:val="ListParagraph"/>
        <w:numPr>
          <w:ilvl w:val="0"/>
          <w:numId w:val="1"/>
        </w:numPr>
        <w:spacing w:line="276" w:lineRule="auto"/>
        <w:rPr>
          <w:rFonts w:asciiTheme="majorHAnsi" w:hAnsiTheme="majorHAnsi" w:cstheme="majorHAnsi"/>
          <w:color w:val="000000" w:themeColor="text1"/>
          <w:sz w:val="22"/>
          <w:szCs w:val="22"/>
        </w:rPr>
      </w:pPr>
      <w:r w:rsidRPr="00B6593D">
        <w:rPr>
          <w:rFonts w:asciiTheme="majorHAnsi" w:hAnsiTheme="majorHAnsi" w:cstheme="majorHAnsi"/>
          <w:color w:val="000000" w:themeColor="text1"/>
          <w:sz w:val="22"/>
          <w:szCs w:val="22"/>
        </w:rPr>
        <w:t>Përmirësimi i kornizës institucionale dhe ligjore për financim në zhvillimin e qëndrueshëm të programeve dhe projekteve të OShC-ve me interes publik</w:t>
      </w:r>
    </w:p>
    <w:p w:rsidR="00CF44A5" w:rsidRPr="00B6593D" w:rsidRDefault="00CF44A5" w:rsidP="00024AAC">
      <w:pPr>
        <w:pStyle w:val="ListParagraph"/>
        <w:numPr>
          <w:ilvl w:val="0"/>
          <w:numId w:val="1"/>
        </w:numPr>
        <w:spacing w:line="276" w:lineRule="auto"/>
        <w:rPr>
          <w:rFonts w:asciiTheme="majorHAnsi" w:hAnsiTheme="majorHAnsi" w:cstheme="majorHAnsi"/>
          <w:color w:val="000000" w:themeColor="text1"/>
          <w:sz w:val="22"/>
          <w:szCs w:val="22"/>
        </w:rPr>
      </w:pPr>
      <w:r w:rsidRPr="00B6593D">
        <w:rPr>
          <w:rFonts w:asciiTheme="majorHAnsi" w:hAnsiTheme="majorHAnsi" w:cstheme="majorHAnsi"/>
          <w:color w:val="000000" w:themeColor="text1"/>
          <w:sz w:val="22"/>
          <w:szCs w:val="22"/>
        </w:rPr>
        <w:t>Zhvillimi i praktikave dhe procedurave për kontraktimin e OSHC-ve në ofrimin e shërbimeve publike</w:t>
      </w:r>
    </w:p>
    <w:p w:rsidR="00CF44A5" w:rsidRPr="00B6593D" w:rsidRDefault="00CF44A5" w:rsidP="00024AAC">
      <w:pPr>
        <w:pStyle w:val="ListParagraph"/>
        <w:numPr>
          <w:ilvl w:val="0"/>
          <w:numId w:val="1"/>
        </w:numPr>
        <w:spacing w:after="0" w:line="276" w:lineRule="auto"/>
        <w:ind w:left="547"/>
        <w:rPr>
          <w:rFonts w:asciiTheme="majorHAnsi" w:hAnsiTheme="majorHAnsi" w:cstheme="majorHAnsi"/>
          <w:color w:val="000000" w:themeColor="text1"/>
          <w:sz w:val="22"/>
          <w:szCs w:val="22"/>
        </w:rPr>
      </w:pPr>
      <w:r w:rsidRPr="00B6593D">
        <w:rPr>
          <w:rFonts w:asciiTheme="majorHAnsi" w:hAnsiTheme="majorHAnsi" w:cstheme="majorHAnsi"/>
          <w:color w:val="000000" w:themeColor="text1"/>
          <w:sz w:val="22"/>
          <w:szCs w:val="22"/>
        </w:rPr>
        <w:t xml:space="preserve">Rritja e vullnetarizmit për programet me interes publik </w:t>
      </w:r>
    </w:p>
    <w:p w:rsidR="00CF44A5" w:rsidRPr="00B6593D" w:rsidRDefault="00683A01" w:rsidP="00CF44A5">
      <w:pPr>
        <w:spacing w:line="276" w:lineRule="auto"/>
        <w:rPr>
          <w:rFonts w:cstheme="majorHAnsi"/>
          <w:color w:val="000000" w:themeColor="text1"/>
          <w:szCs w:val="22"/>
        </w:rPr>
      </w:pPr>
      <w:r>
        <w:rPr>
          <w:rFonts w:cstheme="majorHAnsi"/>
          <w:color w:val="000000" w:themeColor="text1"/>
          <w:szCs w:val="22"/>
        </w:rPr>
        <w:pict>
          <v:rect id="_x0000_i1030" style="width:468pt;height:1.5pt" o:hralign="center" o:hrstd="t" o:hrnoshade="t" o:hr="t" fillcolor="gray [1629]" stroked="f"/>
        </w:pic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Këto objektiva janë plotësim i objektivave strategjike të vendosura në Udhëzimet për mbështetje të BE-së për shoqërinë civile në vendet në zgjerim 2014-2020. </w:t>
      </w:r>
      <w:r w:rsidR="00F6244A" w:rsidRPr="00B6593D">
        <w:rPr>
          <w:rFonts w:cstheme="majorHAnsi"/>
          <w:color w:val="000000" w:themeColor="text1"/>
          <w:szCs w:val="22"/>
        </w:rPr>
        <w:t>Objektivat e vendosura</w:t>
      </w:r>
      <w:r w:rsidRPr="00B6593D">
        <w:rPr>
          <w:rFonts w:cstheme="majorHAnsi"/>
          <w:color w:val="000000" w:themeColor="text1"/>
          <w:szCs w:val="22"/>
        </w:rPr>
        <w:t xml:space="preserve"> adresojnë reforma shumë komplekse dhe të ndërlidhura </w:t>
      </w:r>
      <w:r w:rsidR="00005EBA">
        <w:rPr>
          <w:rFonts w:cstheme="majorHAnsi"/>
          <w:color w:val="000000" w:themeColor="text1"/>
          <w:szCs w:val="22"/>
        </w:rPr>
        <w:t>me</w:t>
      </w:r>
      <w:r w:rsidRPr="00B6593D">
        <w:rPr>
          <w:rFonts w:cstheme="majorHAnsi"/>
          <w:color w:val="000000" w:themeColor="text1"/>
          <w:szCs w:val="22"/>
        </w:rPr>
        <w:t xml:space="preserve"> politika të cilat së bashku mund të kontribuojnë në krijimin e një mjedisi më mbështetës për shoqërinë civile në Kosovë. </w:t>
      </w:r>
    </w:p>
    <w:p w:rsidR="00CF44A5" w:rsidRPr="00B6593D" w:rsidRDefault="00CF44A5" w:rsidP="00CF44A5">
      <w:pPr>
        <w:rPr>
          <w:rFonts w:cstheme="majorHAnsi"/>
          <w:color w:val="000000" w:themeColor="text1"/>
        </w:rPr>
      </w:pPr>
    </w:p>
    <w:p w:rsidR="00CF44A5" w:rsidRPr="00B6593D" w:rsidRDefault="00CF44A5" w:rsidP="00CF44A5">
      <w:pPr>
        <w:pStyle w:val="Heading2"/>
        <w:spacing w:line="276" w:lineRule="auto"/>
        <w:rPr>
          <w:rFonts w:cstheme="majorHAnsi"/>
          <w:color w:val="000000" w:themeColor="text1"/>
          <w:sz w:val="24"/>
          <w:szCs w:val="24"/>
          <w:u w:val="single"/>
        </w:rPr>
      </w:pPr>
      <w:bookmarkStart w:id="8" w:name="_Toc533365723"/>
      <w:bookmarkStart w:id="9" w:name="_Toc535484353"/>
      <w:bookmarkStart w:id="10" w:name="_Toc536000960"/>
      <w:r w:rsidRPr="00B6593D">
        <w:rPr>
          <w:rFonts w:cstheme="majorHAnsi"/>
          <w:color w:val="000000" w:themeColor="text1"/>
          <w:sz w:val="24"/>
          <w:szCs w:val="24"/>
          <w:u w:val="single"/>
        </w:rPr>
        <w:t xml:space="preserve">Objektivi </w:t>
      </w:r>
      <w:r w:rsidR="00F6244A" w:rsidRPr="00B6593D">
        <w:rPr>
          <w:rFonts w:cstheme="majorHAnsi"/>
          <w:color w:val="000000" w:themeColor="text1"/>
          <w:sz w:val="24"/>
          <w:szCs w:val="24"/>
          <w:u w:val="single"/>
        </w:rPr>
        <w:t xml:space="preserve">strategjik </w:t>
      </w:r>
      <w:r w:rsidRPr="00B6593D">
        <w:rPr>
          <w:rFonts w:cstheme="majorHAnsi"/>
          <w:color w:val="000000" w:themeColor="text1"/>
          <w:sz w:val="24"/>
          <w:szCs w:val="24"/>
          <w:u w:val="single"/>
        </w:rPr>
        <w:t>1. Rritja e pjesëmarrjes së shoqërisë civile në politikë-bërje</w:t>
      </w:r>
      <w:bookmarkEnd w:id="8"/>
      <w:bookmarkEnd w:id="9"/>
      <w:bookmarkEnd w:id="10"/>
      <w:r w:rsidRPr="00B6593D">
        <w:rPr>
          <w:rFonts w:cstheme="majorHAnsi"/>
          <w:color w:val="000000" w:themeColor="text1"/>
          <w:sz w:val="24"/>
          <w:szCs w:val="24"/>
          <w:u w:val="single"/>
        </w:rPr>
        <w:t xml:space="preserve"> </w: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Qeveria ka bërë progres në zhvillimin e standardeve dhe praktikave për të rritur pjesëmarrjen e shoqërisë civile në hartimin e politikave dhe legjislacionit.  </w:t>
      </w:r>
      <w:hyperlink r:id="rId15" w:history="1">
        <w:r w:rsidRPr="00B6593D">
          <w:rPr>
            <w:rStyle w:val="Hyperlink"/>
            <w:rFonts w:cstheme="majorHAnsi"/>
            <w:color w:val="000000" w:themeColor="text1"/>
            <w:szCs w:val="22"/>
            <w:u w:val="none"/>
          </w:rPr>
          <w:t>Rregullorja për Standardet Minimale në Procesin e Konsultimit me Publikun (Nr.05/2016)</w:t>
        </w:r>
      </w:hyperlink>
      <w:r w:rsidRPr="00B6593D">
        <w:rPr>
          <w:rFonts w:cstheme="majorHAnsi"/>
          <w:color w:val="000000" w:themeColor="text1"/>
          <w:szCs w:val="22"/>
        </w:rPr>
        <w:t xml:space="preserve"> është miratuar në muajin </w:t>
      </w:r>
      <w:r w:rsidRPr="00B6593D">
        <w:rPr>
          <w:rFonts w:cstheme="majorHAnsi"/>
          <w:bCs/>
          <w:color w:val="000000" w:themeColor="text1"/>
          <w:szCs w:val="22"/>
        </w:rPr>
        <w:t>prill 2016</w:t>
      </w:r>
      <w:r w:rsidRPr="00B6593D">
        <w:rPr>
          <w:rFonts w:cstheme="majorHAnsi"/>
          <w:color w:val="000000" w:themeColor="text1"/>
          <w:szCs w:val="22"/>
        </w:rPr>
        <w:t xml:space="preserve">. </w:t>
      </w:r>
      <w:hyperlink r:id="rId16" w:history="1">
        <w:r w:rsidRPr="00B6593D">
          <w:rPr>
            <w:rStyle w:val="Hyperlink"/>
            <w:rFonts w:cstheme="majorHAnsi"/>
            <w:color w:val="000000" w:themeColor="text1"/>
            <w:szCs w:val="22"/>
            <w:u w:val="none"/>
          </w:rPr>
          <w:t>Platforma Qendrore Online për Konsultime me Publikun</w:t>
        </w:r>
      </w:hyperlink>
      <w:r w:rsidRPr="00B6593D">
        <w:rPr>
          <w:rFonts w:cstheme="majorHAnsi"/>
          <w:color w:val="000000" w:themeColor="text1"/>
          <w:szCs w:val="22"/>
        </w:rPr>
        <w:t xml:space="preserve"> është lansuar në muajin shkurt 2017, ku palët e interesuara nga shoqëria civile dhe publiku i gjerë kanë mundësin</w:t>
      </w:r>
      <w:r w:rsidR="00005EBA">
        <w:rPr>
          <w:rFonts w:cstheme="majorHAnsi"/>
          <w:color w:val="000000" w:themeColor="text1"/>
          <w:szCs w:val="22"/>
        </w:rPr>
        <w:t>ë</w:t>
      </w:r>
      <w:r w:rsidRPr="00B6593D">
        <w:rPr>
          <w:rFonts w:cstheme="majorHAnsi"/>
          <w:color w:val="000000" w:themeColor="text1"/>
          <w:szCs w:val="22"/>
        </w:rPr>
        <w:t xml:space="preserve"> të regjistrohen dhe ofrojnë </w:t>
      </w:r>
      <w:r w:rsidR="003F5EEC" w:rsidRPr="00B6593D">
        <w:rPr>
          <w:rFonts w:cstheme="majorHAnsi"/>
          <w:color w:val="000000" w:themeColor="text1"/>
          <w:szCs w:val="22"/>
        </w:rPr>
        <w:t>kontributin</w:t>
      </w:r>
      <w:r w:rsidRPr="00B6593D">
        <w:rPr>
          <w:rFonts w:cstheme="majorHAnsi"/>
          <w:color w:val="000000" w:themeColor="text1"/>
          <w:szCs w:val="22"/>
        </w:rPr>
        <w:t xml:space="preserve"> për hartimin e politikave apo legjislacionit.</w:t>
      </w:r>
      <w:r w:rsidRPr="00B6593D">
        <w:rPr>
          <w:rStyle w:val="FootnoteReference"/>
          <w:rFonts w:cstheme="majorHAnsi"/>
          <w:color w:val="000000" w:themeColor="text1"/>
          <w:szCs w:val="22"/>
        </w:rPr>
        <w:footnoteReference w:id="11"/>
      </w:r>
      <w:r w:rsidRPr="00B6593D">
        <w:rPr>
          <w:rFonts w:cstheme="majorHAnsi"/>
          <w:color w:val="000000" w:themeColor="text1"/>
          <w:szCs w:val="22"/>
        </w:rPr>
        <w:t xml:space="preserve">  Në po të njëjtin vit, është përgatitur dhe mbajtur programi trajnues</w:t>
      </w:r>
      <w:r w:rsidRPr="00B6593D">
        <w:rPr>
          <w:rStyle w:val="FootnoteReference"/>
          <w:rFonts w:cstheme="majorHAnsi"/>
          <w:color w:val="000000" w:themeColor="text1"/>
          <w:szCs w:val="22"/>
        </w:rPr>
        <w:footnoteReference w:id="12"/>
      </w:r>
      <w:r w:rsidRPr="00B6593D">
        <w:rPr>
          <w:rFonts w:cstheme="majorHAnsi"/>
          <w:color w:val="000000" w:themeColor="text1"/>
          <w:szCs w:val="22"/>
        </w:rPr>
        <w:t xml:space="preserve"> për shërbyesit civil për zbatimin e </w:t>
      </w:r>
      <w:r w:rsidRPr="00B6593D">
        <w:rPr>
          <w:rFonts w:cstheme="majorHAnsi"/>
          <w:iCs/>
          <w:color w:val="000000" w:themeColor="text1"/>
          <w:szCs w:val="22"/>
        </w:rPr>
        <w:t>Rregullores dhe funksionimin e Platformës Online</w:t>
      </w:r>
      <w:r w:rsidRPr="00B6593D">
        <w:rPr>
          <w:rFonts w:cstheme="majorHAnsi"/>
          <w:color w:val="000000" w:themeColor="text1"/>
          <w:szCs w:val="22"/>
        </w:rPr>
        <w:t xml:space="preserve">. </w:t>
      </w:r>
      <w:r w:rsidR="00CC7F57" w:rsidRPr="00B6593D">
        <w:rPr>
          <w:rFonts w:cstheme="majorHAnsi"/>
          <w:color w:val="000000" w:themeColor="text1"/>
          <w:szCs w:val="22"/>
        </w:rPr>
        <w:t xml:space="preserve">Zyra për Qeverisje të Mirë dhe Fondacioni Kosovar për Shoqëri Civile (KCSF) kanë nënshkruar Memorandum të Mirëkuptimit për Bashkëpunim në </w:t>
      </w:r>
      <w:r w:rsidR="00005EBA">
        <w:rPr>
          <w:rFonts w:cstheme="majorHAnsi"/>
          <w:color w:val="000000" w:themeColor="text1"/>
          <w:szCs w:val="22"/>
        </w:rPr>
        <w:t>organizimin t</w:t>
      </w:r>
      <w:r w:rsidR="00CC7F57" w:rsidRPr="00B6593D">
        <w:rPr>
          <w:rFonts w:cstheme="majorHAnsi"/>
          <w:color w:val="000000" w:themeColor="text1"/>
          <w:szCs w:val="22"/>
        </w:rPr>
        <w:t>rajnim</w:t>
      </w:r>
      <w:r w:rsidR="00005EBA">
        <w:rPr>
          <w:rFonts w:cstheme="majorHAnsi"/>
          <w:color w:val="000000" w:themeColor="text1"/>
          <w:szCs w:val="22"/>
        </w:rPr>
        <w:t xml:space="preserve">eve </w:t>
      </w:r>
      <w:r w:rsidR="00CC7F57" w:rsidRPr="00B6593D">
        <w:rPr>
          <w:rFonts w:cstheme="majorHAnsi"/>
          <w:color w:val="000000" w:themeColor="text1"/>
          <w:szCs w:val="22"/>
        </w:rPr>
        <w:t xml:space="preserve">mbi Standardet </w:t>
      </w:r>
      <w:r w:rsidR="00005EBA">
        <w:rPr>
          <w:rFonts w:cstheme="majorHAnsi"/>
          <w:color w:val="000000" w:themeColor="text1"/>
          <w:szCs w:val="22"/>
        </w:rPr>
        <w:t>m</w:t>
      </w:r>
      <w:r w:rsidR="00CC7F57" w:rsidRPr="00B6593D">
        <w:rPr>
          <w:rFonts w:cstheme="majorHAnsi"/>
          <w:color w:val="000000" w:themeColor="text1"/>
          <w:szCs w:val="22"/>
        </w:rPr>
        <w:t xml:space="preserve">inimale të </w:t>
      </w:r>
      <w:r w:rsidR="00005EBA">
        <w:rPr>
          <w:rFonts w:cstheme="majorHAnsi"/>
          <w:color w:val="000000" w:themeColor="text1"/>
          <w:szCs w:val="22"/>
        </w:rPr>
        <w:t>k</w:t>
      </w:r>
      <w:r w:rsidR="00CC7F57" w:rsidRPr="00B6593D">
        <w:rPr>
          <w:rFonts w:cstheme="majorHAnsi"/>
          <w:color w:val="000000" w:themeColor="text1"/>
          <w:szCs w:val="22"/>
        </w:rPr>
        <w:t xml:space="preserve">onsultimeve </w:t>
      </w:r>
      <w:r w:rsidR="00005EBA">
        <w:rPr>
          <w:rFonts w:cstheme="majorHAnsi"/>
          <w:color w:val="000000" w:themeColor="text1"/>
          <w:szCs w:val="22"/>
        </w:rPr>
        <w:t>p</w:t>
      </w:r>
      <w:r w:rsidR="00CC7F57" w:rsidRPr="00B6593D">
        <w:rPr>
          <w:rFonts w:cstheme="majorHAnsi"/>
          <w:color w:val="000000" w:themeColor="text1"/>
          <w:szCs w:val="22"/>
        </w:rPr>
        <w:t>ublike</w:t>
      </w:r>
      <w:r w:rsidR="00005EBA">
        <w:rPr>
          <w:rFonts w:cstheme="majorHAnsi"/>
          <w:color w:val="000000" w:themeColor="text1"/>
          <w:szCs w:val="22"/>
        </w:rPr>
        <w:t xml:space="preserve"> </w:t>
      </w:r>
      <w:r w:rsidR="00CC7F57" w:rsidRPr="00B6593D">
        <w:rPr>
          <w:rFonts w:cstheme="majorHAnsi"/>
          <w:color w:val="000000" w:themeColor="text1"/>
          <w:szCs w:val="22"/>
        </w:rPr>
        <w:t>mbi të cilin janë trajnuar rreth 100 përfaqësues të shoqërisë civile për këto standarde.</w:t>
      </w:r>
    </w:p>
    <w:p w:rsidR="00CF44A5"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Gjatë vitit të parë të zbatimit, më shumë se dyqind konsultime publike janë lansuar përmes Platformës </w:t>
      </w:r>
      <w:r w:rsidR="00F6244A" w:rsidRPr="00B6593D">
        <w:rPr>
          <w:rFonts w:cstheme="majorHAnsi"/>
          <w:color w:val="000000" w:themeColor="text1"/>
          <w:szCs w:val="22"/>
        </w:rPr>
        <w:t>o</w:t>
      </w:r>
      <w:r w:rsidRPr="00B6593D">
        <w:rPr>
          <w:rFonts w:cstheme="majorHAnsi"/>
          <w:color w:val="000000" w:themeColor="text1"/>
          <w:szCs w:val="22"/>
        </w:rPr>
        <w:t xml:space="preserve">nline. Megjithatë, mbetet ende punë për inkurajimin e publikut për të qene pjese e </w:t>
      </w:r>
      <w:r w:rsidR="003F5EEC" w:rsidRPr="00B6593D">
        <w:rPr>
          <w:rFonts w:cstheme="majorHAnsi"/>
          <w:color w:val="000000" w:themeColor="text1"/>
          <w:szCs w:val="22"/>
        </w:rPr>
        <w:t>politikë</w:t>
      </w:r>
      <w:r w:rsidR="00F6244A" w:rsidRPr="00B6593D">
        <w:rPr>
          <w:rFonts w:cstheme="majorHAnsi"/>
          <w:color w:val="000000" w:themeColor="text1"/>
          <w:szCs w:val="22"/>
        </w:rPr>
        <w:t>-</w:t>
      </w:r>
      <w:r w:rsidR="003F5EEC" w:rsidRPr="00B6593D">
        <w:rPr>
          <w:rFonts w:cstheme="majorHAnsi"/>
          <w:color w:val="000000" w:themeColor="text1"/>
          <w:szCs w:val="22"/>
        </w:rPr>
        <w:t>bërjes</w:t>
      </w:r>
      <w:r w:rsidRPr="00B6593D">
        <w:rPr>
          <w:rFonts w:cstheme="majorHAnsi"/>
          <w:color w:val="000000" w:themeColor="text1"/>
          <w:szCs w:val="22"/>
        </w:rPr>
        <w:t xml:space="preserve">. Për të arritur efekt më të madh në praktikë, duhet të bëhen përpjekje të shtuara për </w:t>
      </w:r>
      <w:r w:rsidR="00F6244A" w:rsidRPr="00B6593D">
        <w:rPr>
          <w:rFonts w:cstheme="majorHAnsi"/>
          <w:color w:val="000000" w:themeColor="text1"/>
          <w:szCs w:val="22"/>
        </w:rPr>
        <w:t xml:space="preserve">zhvillimin </w:t>
      </w:r>
      <w:r w:rsidRPr="00B6593D">
        <w:rPr>
          <w:rFonts w:cstheme="majorHAnsi"/>
          <w:color w:val="000000" w:themeColor="text1"/>
          <w:szCs w:val="22"/>
        </w:rPr>
        <w:t xml:space="preserve">e kapaciteteve </w:t>
      </w:r>
      <w:r w:rsidR="00F6244A" w:rsidRPr="00B6593D">
        <w:rPr>
          <w:rFonts w:cstheme="majorHAnsi"/>
          <w:color w:val="000000" w:themeColor="text1"/>
          <w:szCs w:val="22"/>
        </w:rPr>
        <w:t>të</w:t>
      </w:r>
      <w:r w:rsidRPr="00B6593D">
        <w:rPr>
          <w:rFonts w:cstheme="majorHAnsi"/>
          <w:color w:val="000000" w:themeColor="text1"/>
          <w:szCs w:val="22"/>
        </w:rPr>
        <w:t xml:space="preserve"> institucioneve publike dhe shoqërisë civile për të përmirësuar pjesëmarrjen në konsultim </w:t>
      </w:r>
      <w:r w:rsidR="00F6244A" w:rsidRPr="00B6593D">
        <w:rPr>
          <w:rFonts w:cstheme="majorHAnsi"/>
          <w:color w:val="000000" w:themeColor="text1"/>
          <w:szCs w:val="22"/>
        </w:rPr>
        <w:t>edhe përmes</w:t>
      </w:r>
      <w:r w:rsidRPr="00B6593D">
        <w:rPr>
          <w:rFonts w:cstheme="majorHAnsi"/>
          <w:color w:val="000000" w:themeColor="text1"/>
          <w:szCs w:val="22"/>
        </w:rPr>
        <w:t xml:space="preserve"> metoda</w:t>
      </w:r>
      <w:r w:rsidR="00F6244A" w:rsidRPr="00B6593D">
        <w:rPr>
          <w:rFonts w:cstheme="majorHAnsi"/>
          <w:color w:val="000000" w:themeColor="text1"/>
          <w:szCs w:val="22"/>
        </w:rPr>
        <w:t>ve</w:t>
      </w:r>
      <w:r w:rsidRPr="00B6593D">
        <w:rPr>
          <w:rFonts w:cstheme="majorHAnsi"/>
          <w:color w:val="000000" w:themeColor="text1"/>
          <w:szCs w:val="22"/>
        </w:rPr>
        <w:t xml:space="preserve"> tjera për</w:t>
      </w:r>
      <w:r w:rsidR="00F6244A" w:rsidRPr="00B6593D">
        <w:rPr>
          <w:rFonts w:cstheme="majorHAnsi"/>
          <w:color w:val="000000" w:themeColor="text1"/>
          <w:szCs w:val="22"/>
        </w:rPr>
        <w:t>ve</w:t>
      </w:r>
      <w:r w:rsidR="00730D47">
        <w:rPr>
          <w:rFonts w:cstheme="majorHAnsi"/>
          <w:color w:val="000000" w:themeColor="text1"/>
          <w:szCs w:val="22"/>
        </w:rPr>
        <w:t>ç</w:t>
      </w:r>
      <w:r w:rsidR="00F6244A" w:rsidRPr="00B6593D">
        <w:rPr>
          <w:rFonts w:cstheme="majorHAnsi"/>
          <w:color w:val="000000" w:themeColor="text1"/>
          <w:szCs w:val="22"/>
        </w:rPr>
        <w:t xml:space="preserve"> formës</w:t>
      </w:r>
      <w:r w:rsidR="005E4770" w:rsidRPr="00B6593D">
        <w:rPr>
          <w:rFonts w:cstheme="majorHAnsi"/>
          <w:color w:val="000000" w:themeColor="text1"/>
          <w:szCs w:val="22"/>
        </w:rPr>
        <w:t xml:space="preserve"> </w:t>
      </w:r>
      <w:r w:rsidRPr="00B6593D">
        <w:rPr>
          <w:rFonts w:cstheme="majorHAnsi"/>
          <w:color w:val="000000" w:themeColor="text1"/>
          <w:szCs w:val="22"/>
        </w:rPr>
        <w:t>on-line</w:t>
      </w:r>
      <w:r w:rsidR="00730D47" w:rsidRPr="00730D47">
        <w:t xml:space="preserve"> </w:t>
      </w:r>
      <w:r w:rsidR="00730D47" w:rsidRPr="00730D47">
        <w:rPr>
          <w:rFonts w:cstheme="majorHAnsi"/>
          <w:color w:val="000000" w:themeColor="text1"/>
          <w:szCs w:val="22"/>
        </w:rPr>
        <w:t>siç janë pjesëmarrja në grupe pune</w:t>
      </w:r>
      <w:r w:rsidR="00730D47">
        <w:rPr>
          <w:rFonts w:cstheme="majorHAnsi"/>
          <w:color w:val="000000" w:themeColor="text1"/>
          <w:szCs w:val="22"/>
        </w:rPr>
        <w:t>se</w:t>
      </w:r>
      <w:r w:rsidR="00730D47" w:rsidRPr="00730D47">
        <w:rPr>
          <w:rFonts w:cstheme="majorHAnsi"/>
          <w:color w:val="000000" w:themeColor="text1"/>
          <w:szCs w:val="22"/>
        </w:rPr>
        <w:t>, takime publike, punëtori etj. Për më tepër, proces</w:t>
      </w:r>
      <w:r w:rsidR="00730D47">
        <w:rPr>
          <w:rFonts w:cstheme="majorHAnsi"/>
          <w:color w:val="000000" w:themeColor="text1"/>
          <w:szCs w:val="22"/>
        </w:rPr>
        <w:t>i i</w:t>
      </w:r>
      <w:r w:rsidR="00730D47" w:rsidRPr="00730D47">
        <w:rPr>
          <w:rFonts w:cstheme="majorHAnsi"/>
          <w:color w:val="000000" w:themeColor="text1"/>
          <w:szCs w:val="22"/>
        </w:rPr>
        <w:t xml:space="preserve"> konsultimit (në internet dhe forma tjera) në nivel lokal ku vendimet ndikojnë </w:t>
      </w:r>
      <w:r w:rsidR="00730D47" w:rsidRPr="00730D47">
        <w:rPr>
          <w:rFonts w:cstheme="majorHAnsi"/>
          <w:color w:val="000000" w:themeColor="text1"/>
          <w:szCs w:val="22"/>
        </w:rPr>
        <w:lastRenderedPageBreak/>
        <w:t>drejtpërdrejt në jetën e përditshme të qytetarëve duhet të përmirësohen përmes informimit dhe ndërtimit të kapaciteteve mbi standardet e përcaktuara në Rregullore.</w:t>
      </w:r>
      <w:r w:rsidRPr="00B6593D">
        <w:rPr>
          <w:rFonts w:cstheme="majorHAnsi"/>
          <w:color w:val="000000" w:themeColor="text1"/>
          <w:szCs w:val="22"/>
        </w:rPr>
        <w:t xml:space="preserve"> </w:t>
      </w:r>
    </w:p>
    <w:p w:rsidR="00730D47" w:rsidRDefault="00730D47" w:rsidP="00CF44A5">
      <w:pPr>
        <w:spacing w:line="276" w:lineRule="auto"/>
        <w:rPr>
          <w:rFonts w:cstheme="majorHAnsi"/>
          <w:color w:val="000000" w:themeColor="text1"/>
          <w:szCs w:val="22"/>
        </w:rPr>
      </w:pPr>
    </w:p>
    <w:p w:rsidR="00730D47" w:rsidRDefault="00730D47" w:rsidP="00CF44A5">
      <w:pPr>
        <w:spacing w:line="276" w:lineRule="auto"/>
        <w:rPr>
          <w:rFonts w:cstheme="majorHAnsi"/>
          <w:color w:val="000000" w:themeColor="text1"/>
          <w:szCs w:val="22"/>
        </w:rPr>
      </w:pPr>
    </w:p>
    <w:p w:rsidR="00730D47" w:rsidRPr="00B6593D" w:rsidRDefault="00730D47" w:rsidP="00CF44A5">
      <w:pPr>
        <w:spacing w:line="276" w:lineRule="auto"/>
        <w:rPr>
          <w:rFonts w:cstheme="majorHAnsi"/>
          <w:color w:val="000000" w:themeColor="text1"/>
          <w:szCs w:val="22"/>
        </w:rPr>
      </w:pPr>
    </w:p>
    <w:p w:rsidR="00CF44A5" w:rsidRPr="00B6593D" w:rsidRDefault="00683A01" w:rsidP="00CF44A5">
      <w:pPr>
        <w:spacing w:line="276" w:lineRule="auto"/>
        <w:rPr>
          <w:rFonts w:cstheme="majorHAnsi"/>
          <w:color w:val="000000" w:themeColor="text1"/>
          <w:szCs w:val="22"/>
        </w:rPr>
      </w:pPr>
      <w:r>
        <w:rPr>
          <w:rFonts w:cstheme="majorHAnsi"/>
          <w:color w:val="000000" w:themeColor="text1"/>
          <w:szCs w:val="22"/>
        </w:rPr>
        <w:pict>
          <v:rect id="_x0000_i1031" style="width:468pt;height:1.5pt" o:hralign="center" o:hrstd="t" o:hrnoshade="t" o:hr="t" fillcolor="gray [1629]"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1655"/>
        <w:gridCol w:w="493"/>
        <w:gridCol w:w="6830"/>
      </w:tblGrid>
      <w:tr w:rsidR="00CF44A5" w:rsidRPr="00B6593D" w:rsidTr="00730D47">
        <w:trPr>
          <w:trHeight w:val="432"/>
        </w:trPr>
        <w:tc>
          <w:tcPr>
            <w:tcW w:w="372" w:type="dxa"/>
            <w:shd w:val="clear" w:color="auto" w:fill="F4B083" w:themeFill="accent2" w:themeFillTint="99"/>
            <w:vAlign w:val="center"/>
          </w:tcPr>
          <w:p w:rsidR="00CF44A5" w:rsidRPr="003E57E5" w:rsidRDefault="00CF44A5" w:rsidP="00221DE3">
            <w:pPr>
              <w:spacing w:line="276" w:lineRule="auto"/>
              <w:jc w:val="center"/>
              <w:rPr>
                <w:rFonts w:cstheme="majorHAnsi"/>
                <w:b/>
                <w:color w:val="000000" w:themeColor="text1"/>
                <w:szCs w:val="22"/>
              </w:rPr>
            </w:pPr>
            <w:r w:rsidRPr="003E57E5">
              <w:rPr>
                <w:rFonts w:cstheme="majorHAnsi"/>
                <w:b/>
                <w:color w:val="000000" w:themeColor="text1"/>
                <w:szCs w:val="22"/>
              </w:rPr>
              <w:t>#</w:t>
            </w:r>
          </w:p>
        </w:tc>
        <w:tc>
          <w:tcPr>
            <w:tcW w:w="1656" w:type="dxa"/>
            <w:shd w:val="clear" w:color="auto" w:fill="F4B083" w:themeFill="accent2" w:themeFillTint="99"/>
            <w:vAlign w:val="center"/>
          </w:tcPr>
          <w:p w:rsidR="00CF44A5" w:rsidRPr="003E57E5" w:rsidRDefault="00CF44A5" w:rsidP="00221DE3">
            <w:pPr>
              <w:spacing w:line="276" w:lineRule="auto"/>
              <w:jc w:val="center"/>
              <w:rPr>
                <w:rFonts w:cstheme="majorHAnsi"/>
                <w:b/>
                <w:color w:val="000000" w:themeColor="text1"/>
                <w:szCs w:val="22"/>
              </w:rPr>
            </w:pPr>
            <w:r w:rsidRPr="003E57E5">
              <w:rPr>
                <w:rFonts w:cstheme="majorHAnsi"/>
                <w:b/>
                <w:color w:val="000000" w:themeColor="text1"/>
                <w:szCs w:val="22"/>
              </w:rPr>
              <w:t xml:space="preserve">Objektivi </w:t>
            </w:r>
            <w:r w:rsidR="00F6244A" w:rsidRPr="003E57E5">
              <w:rPr>
                <w:rFonts w:cstheme="majorHAnsi"/>
                <w:b/>
                <w:color w:val="000000" w:themeColor="text1"/>
                <w:szCs w:val="22"/>
              </w:rPr>
              <w:t>strategjik 1</w:t>
            </w:r>
          </w:p>
        </w:tc>
        <w:tc>
          <w:tcPr>
            <w:tcW w:w="7332" w:type="dxa"/>
            <w:gridSpan w:val="2"/>
            <w:shd w:val="clear" w:color="auto" w:fill="F4B083" w:themeFill="accent2" w:themeFillTint="99"/>
            <w:vAlign w:val="center"/>
          </w:tcPr>
          <w:p w:rsidR="00CF44A5" w:rsidRPr="003E57E5" w:rsidRDefault="00CF44A5" w:rsidP="00221DE3">
            <w:pPr>
              <w:spacing w:line="276" w:lineRule="auto"/>
              <w:jc w:val="center"/>
              <w:rPr>
                <w:rFonts w:cstheme="majorHAnsi"/>
                <w:b/>
                <w:color w:val="000000" w:themeColor="text1"/>
                <w:szCs w:val="22"/>
              </w:rPr>
            </w:pPr>
            <w:r w:rsidRPr="003E57E5">
              <w:rPr>
                <w:rFonts w:cstheme="majorHAnsi"/>
                <w:b/>
                <w:color w:val="000000" w:themeColor="text1"/>
                <w:szCs w:val="22"/>
              </w:rPr>
              <w:t>Objektiv</w:t>
            </w:r>
            <w:r w:rsidR="00F6244A" w:rsidRPr="003E57E5">
              <w:rPr>
                <w:rFonts w:cstheme="majorHAnsi"/>
                <w:b/>
                <w:color w:val="000000" w:themeColor="text1"/>
                <w:szCs w:val="22"/>
              </w:rPr>
              <w:t xml:space="preserve">at </w:t>
            </w:r>
            <w:r w:rsidRPr="003E57E5">
              <w:rPr>
                <w:rFonts w:cstheme="majorHAnsi"/>
                <w:b/>
                <w:color w:val="000000" w:themeColor="text1"/>
                <w:szCs w:val="22"/>
              </w:rPr>
              <w:t>Specifik</w:t>
            </w:r>
            <w:r w:rsidR="00F6244A" w:rsidRPr="003E57E5">
              <w:rPr>
                <w:rFonts w:cstheme="majorHAnsi"/>
                <w:b/>
                <w:color w:val="000000" w:themeColor="text1"/>
                <w:szCs w:val="22"/>
              </w:rPr>
              <w:t>e</w:t>
            </w:r>
          </w:p>
        </w:tc>
      </w:tr>
      <w:tr w:rsidR="00CF44A5" w:rsidRPr="00B6593D" w:rsidTr="00730D47">
        <w:tc>
          <w:tcPr>
            <w:tcW w:w="372" w:type="dxa"/>
            <w:vMerge w:val="restart"/>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1</w:t>
            </w:r>
          </w:p>
        </w:tc>
        <w:tc>
          <w:tcPr>
            <w:tcW w:w="1656" w:type="dxa"/>
            <w:vMerge w:val="restart"/>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 xml:space="preserve">Rritja e pjesëmarrjes së shoqërisë civile në </w:t>
            </w:r>
            <w:r w:rsidR="003F5EEC" w:rsidRPr="00B6593D">
              <w:rPr>
                <w:rFonts w:cstheme="majorHAnsi"/>
                <w:color w:val="000000" w:themeColor="text1"/>
                <w:szCs w:val="22"/>
              </w:rPr>
              <w:t>politikë</w:t>
            </w:r>
            <w:r w:rsidR="00F6244A" w:rsidRPr="00B6593D">
              <w:rPr>
                <w:rFonts w:cstheme="majorHAnsi"/>
                <w:color w:val="000000" w:themeColor="text1"/>
                <w:szCs w:val="22"/>
              </w:rPr>
              <w:t>-</w:t>
            </w:r>
            <w:r w:rsidR="003F5EEC" w:rsidRPr="00B6593D">
              <w:rPr>
                <w:rFonts w:cstheme="majorHAnsi"/>
                <w:color w:val="000000" w:themeColor="text1"/>
                <w:szCs w:val="22"/>
              </w:rPr>
              <w:t>bërje</w:t>
            </w:r>
          </w:p>
        </w:tc>
        <w:tc>
          <w:tcPr>
            <w:tcW w:w="493" w:type="dxa"/>
            <w:vAlign w:val="center"/>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1.1</w:t>
            </w:r>
          </w:p>
        </w:tc>
        <w:tc>
          <w:tcPr>
            <w:tcW w:w="6839" w:type="dxa"/>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Përmirësimi i kapaciteteve të </w:t>
            </w:r>
            <w:r w:rsidR="00F6244A" w:rsidRPr="00B6593D">
              <w:rPr>
                <w:rFonts w:cstheme="majorHAnsi"/>
                <w:color w:val="000000" w:themeColor="text1"/>
                <w:szCs w:val="22"/>
              </w:rPr>
              <w:t>i</w:t>
            </w:r>
            <w:r w:rsidRPr="00B6593D">
              <w:rPr>
                <w:rFonts w:cstheme="majorHAnsi"/>
                <w:color w:val="000000" w:themeColor="text1"/>
                <w:szCs w:val="22"/>
              </w:rPr>
              <w:t>nstitucioneve për zbatimin e standardeve minimale për konsultime me publikun</w:t>
            </w:r>
          </w:p>
        </w:tc>
      </w:tr>
      <w:tr w:rsidR="00CF44A5" w:rsidRPr="00B6593D" w:rsidTr="00730D47">
        <w:trPr>
          <w:trHeight w:val="73"/>
        </w:trPr>
        <w:tc>
          <w:tcPr>
            <w:tcW w:w="372" w:type="dxa"/>
            <w:vMerge/>
          </w:tcPr>
          <w:p w:rsidR="00CF44A5" w:rsidRPr="00B6593D" w:rsidRDefault="00CF44A5" w:rsidP="00221DE3">
            <w:pPr>
              <w:spacing w:line="276" w:lineRule="auto"/>
              <w:jc w:val="center"/>
              <w:rPr>
                <w:rFonts w:cstheme="majorHAnsi"/>
                <w:color w:val="000000" w:themeColor="text1"/>
                <w:szCs w:val="22"/>
              </w:rPr>
            </w:pPr>
          </w:p>
        </w:tc>
        <w:tc>
          <w:tcPr>
            <w:tcW w:w="1656" w:type="dxa"/>
            <w:vMerge/>
          </w:tcPr>
          <w:p w:rsidR="00CF44A5" w:rsidRPr="00B6593D" w:rsidRDefault="00CF44A5" w:rsidP="00221DE3">
            <w:pPr>
              <w:spacing w:line="276" w:lineRule="auto"/>
              <w:jc w:val="center"/>
              <w:rPr>
                <w:rFonts w:cstheme="majorHAnsi"/>
                <w:color w:val="000000" w:themeColor="text1"/>
                <w:szCs w:val="22"/>
              </w:rPr>
            </w:pPr>
          </w:p>
        </w:tc>
        <w:tc>
          <w:tcPr>
            <w:tcW w:w="493" w:type="dxa"/>
            <w:vAlign w:val="center"/>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1.2</w:t>
            </w:r>
          </w:p>
        </w:tc>
        <w:tc>
          <w:tcPr>
            <w:tcW w:w="6839" w:type="dxa"/>
          </w:tcPr>
          <w:p w:rsidR="00CF44A5" w:rsidRPr="00B6593D" w:rsidRDefault="00CF44A5" w:rsidP="00730D47">
            <w:pPr>
              <w:spacing w:line="276" w:lineRule="auto"/>
              <w:rPr>
                <w:rFonts w:cstheme="majorHAnsi"/>
                <w:color w:val="000000" w:themeColor="text1"/>
                <w:szCs w:val="22"/>
              </w:rPr>
            </w:pPr>
            <w:r w:rsidRPr="00B6593D">
              <w:rPr>
                <w:rFonts w:cstheme="majorHAnsi"/>
                <w:color w:val="000000" w:themeColor="text1"/>
                <w:szCs w:val="22"/>
              </w:rPr>
              <w:t>Ngritja e njohurive për qytetarë dhe shoqërinë civile për konsultimet publike</w:t>
            </w:r>
          </w:p>
        </w:tc>
      </w:tr>
      <w:tr w:rsidR="00CF44A5" w:rsidRPr="00B6593D" w:rsidTr="00730D47">
        <w:tc>
          <w:tcPr>
            <w:tcW w:w="372" w:type="dxa"/>
            <w:vMerge/>
          </w:tcPr>
          <w:p w:rsidR="00CF44A5" w:rsidRPr="00B6593D" w:rsidRDefault="00CF44A5" w:rsidP="00221DE3">
            <w:pPr>
              <w:spacing w:line="276" w:lineRule="auto"/>
              <w:jc w:val="center"/>
              <w:rPr>
                <w:rFonts w:cstheme="majorHAnsi"/>
                <w:color w:val="000000" w:themeColor="text1"/>
                <w:szCs w:val="22"/>
              </w:rPr>
            </w:pPr>
          </w:p>
        </w:tc>
        <w:tc>
          <w:tcPr>
            <w:tcW w:w="1656" w:type="dxa"/>
            <w:vMerge/>
          </w:tcPr>
          <w:p w:rsidR="00CF44A5" w:rsidRPr="00B6593D" w:rsidRDefault="00CF44A5" w:rsidP="00221DE3">
            <w:pPr>
              <w:spacing w:line="276" w:lineRule="auto"/>
              <w:jc w:val="center"/>
              <w:rPr>
                <w:rFonts w:cstheme="majorHAnsi"/>
                <w:color w:val="000000" w:themeColor="text1"/>
                <w:szCs w:val="22"/>
              </w:rPr>
            </w:pPr>
          </w:p>
        </w:tc>
        <w:tc>
          <w:tcPr>
            <w:tcW w:w="493" w:type="dxa"/>
            <w:vAlign w:val="center"/>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1.3</w:t>
            </w:r>
          </w:p>
        </w:tc>
        <w:tc>
          <w:tcPr>
            <w:tcW w:w="6839" w:type="dxa"/>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Përmirësimi i kapaciteteve të OSHC-ve për të kontribuar në procesin e konsultimeve publike</w:t>
            </w:r>
          </w:p>
        </w:tc>
      </w:tr>
    </w:tbl>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pStyle w:val="Heading2"/>
        <w:spacing w:before="0" w:after="0"/>
        <w:rPr>
          <w:rFonts w:eastAsia="Times New Roman" w:cstheme="majorHAnsi"/>
          <w:color w:val="000000" w:themeColor="text1"/>
          <w:sz w:val="24"/>
          <w:szCs w:val="24"/>
          <w:u w:val="single"/>
        </w:rPr>
      </w:pPr>
      <w:bookmarkStart w:id="11" w:name="_Toc533365724"/>
      <w:bookmarkStart w:id="12" w:name="_Toc535484354"/>
      <w:bookmarkStart w:id="13" w:name="_Toc536000961"/>
      <w:r w:rsidRPr="00B6593D">
        <w:rPr>
          <w:rFonts w:eastAsia="Times New Roman" w:cstheme="majorHAnsi"/>
          <w:color w:val="000000" w:themeColor="text1"/>
          <w:sz w:val="24"/>
          <w:szCs w:val="24"/>
          <w:u w:val="single"/>
        </w:rPr>
        <w:t xml:space="preserve">Objektivi </w:t>
      </w:r>
      <w:r w:rsidR="00F6244A" w:rsidRPr="00B6593D">
        <w:rPr>
          <w:rFonts w:eastAsia="Times New Roman" w:cstheme="majorHAnsi"/>
          <w:color w:val="000000" w:themeColor="text1"/>
          <w:sz w:val="24"/>
          <w:szCs w:val="24"/>
          <w:u w:val="single"/>
        </w:rPr>
        <w:t xml:space="preserve">strategjik </w:t>
      </w:r>
      <w:r w:rsidRPr="00B6593D">
        <w:rPr>
          <w:rFonts w:eastAsia="Times New Roman" w:cstheme="majorHAnsi"/>
          <w:color w:val="000000" w:themeColor="text1"/>
          <w:sz w:val="24"/>
          <w:szCs w:val="24"/>
          <w:u w:val="single"/>
        </w:rPr>
        <w:t>2. Përmirësimi i kornizës institucionale dhe ligjore për financim në zhvillimin e qëndrueshëm të programeve dhe projekteve të OShC-ve me interes publik</w:t>
      </w:r>
      <w:bookmarkEnd w:id="11"/>
      <w:bookmarkEnd w:id="12"/>
      <w:bookmarkEnd w:id="13"/>
    </w:p>
    <w:p w:rsidR="00CF44A5" w:rsidRPr="00B6593D" w:rsidRDefault="00CF44A5" w:rsidP="00CF44A5">
      <w:pPr>
        <w:rPr>
          <w:rFonts w:cstheme="majorHAnsi"/>
          <w:color w:val="000000" w:themeColor="text1"/>
        </w:rPr>
      </w:pPr>
    </w:p>
    <w:p w:rsidR="00CF44A5" w:rsidRPr="00B6593D" w:rsidRDefault="00123C8B" w:rsidP="00CF44A5">
      <w:pPr>
        <w:rPr>
          <w:rFonts w:cstheme="majorHAnsi"/>
          <w:color w:val="000000" w:themeColor="text1"/>
          <w:szCs w:val="22"/>
        </w:rPr>
      </w:pPr>
      <w:r w:rsidRPr="00B6593D">
        <w:rPr>
          <w:rFonts w:cstheme="majorHAnsi"/>
          <w:color w:val="000000" w:themeColor="text1"/>
          <w:szCs w:val="22"/>
        </w:rPr>
        <w:t>Qeveria e Republikës së Kosovës ka vendosur p</w:t>
      </w:r>
      <w:r w:rsidR="00CF44A5" w:rsidRPr="00B6593D">
        <w:rPr>
          <w:rFonts w:cstheme="majorHAnsi"/>
          <w:color w:val="000000" w:themeColor="text1"/>
          <w:szCs w:val="22"/>
        </w:rPr>
        <w:t>raktikat, standardet dhe kriteret për ndarjen e fondeve publike për shoqërinë civile</w:t>
      </w:r>
      <w:r w:rsidRPr="00B6593D">
        <w:rPr>
          <w:rFonts w:cstheme="majorHAnsi"/>
          <w:color w:val="000000" w:themeColor="text1"/>
          <w:szCs w:val="22"/>
        </w:rPr>
        <w:t xml:space="preserve"> përmes rregullorës 04/2017 për Kriteret, Standarde </w:t>
      </w:r>
      <w:r w:rsidR="00685908">
        <w:rPr>
          <w:rFonts w:cstheme="majorHAnsi"/>
          <w:color w:val="000000" w:themeColor="text1"/>
          <w:szCs w:val="22"/>
        </w:rPr>
        <w:t xml:space="preserve">dhe </w:t>
      </w:r>
      <w:r w:rsidRPr="00B6593D">
        <w:rPr>
          <w:rFonts w:cstheme="majorHAnsi"/>
          <w:color w:val="000000" w:themeColor="text1"/>
          <w:szCs w:val="22"/>
        </w:rPr>
        <w:t xml:space="preserve">Procedurat për Financimin Publik të OSHC-ve. </w:t>
      </w:r>
      <w:r w:rsidR="00CF44A5" w:rsidRPr="00B6593D">
        <w:rPr>
          <w:rFonts w:cstheme="majorHAnsi"/>
          <w:color w:val="000000" w:themeColor="text1"/>
          <w:szCs w:val="22"/>
        </w:rPr>
        <w:t xml:space="preserve">Në mars të vitit 2016, Zyra për Qeverisje të Mirë /Zyra e Kryeministrit në bashkëpunim me Ministrinë e Financave (MF) kanë </w:t>
      </w:r>
      <w:r w:rsidR="00CF44A5" w:rsidRPr="00B6593D">
        <w:rPr>
          <w:rFonts w:eastAsia="Calibri" w:cstheme="majorHAnsi"/>
          <w:color w:val="000000" w:themeColor="text1"/>
        </w:rPr>
        <w:t>përgatitur</w:t>
      </w:r>
      <w:r w:rsidR="00CF44A5" w:rsidRPr="00B6593D">
        <w:rPr>
          <w:rFonts w:cstheme="majorHAnsi"/>
          <w:color w:val="000000" w:themeColor="text1"/>
          <w:szCs w:val="22"/>
        </w:rPr>
        <w:t xml:space="preserve"> dhe publikuar për herë të parë </w:t>
      </w:r>
      <w:hyperlink r:id="rId17" w:history="1">
        <w:r w:rsidR="00CF44A5" w:rsidRPr="00B6593D">
          <w:rPr>
            <w:rStyle w:val="Hyperlink"/>
            <w:rFonts w:cstheme="majorHAnsi"/>
            <w:color w:val="000000" w:themeColor="text1"/>
            <w:szCs w:val="22"/>
            <w:u w:val="none"/>
          </w:rPr>
          <w:t xml:space="preserve">Raportin për Mbështetjen Financiare Publike për </w:t>
        </w:r>
        <w:r w:rsidRPr="00B6593D">
          <w:rPr>
            <w:rStyle w:val="Hyperlink"/>
            <w:rFonts w:cstheme="majorHAnsi"/>
            <w:color w:val="000000" w:themeColor="text1"/>
            <w:szCs w:val="22"/>
            <w:u w:val="none"/>
          </w:rPr>
          <w:t>OSHC</w:t>
        </w:r>
        <w:r w:rsidR="00CF44A5" w:rsidRPr="00B6593D">
          <w:rPr>
            <w:rStyle w:val="Hyperlink"/>
            <w:rFonts w:cstheme="majorHAnsi"/>
            <w:color w:val="000000" w:themeColor="text1"/>
            <w:szCs w:val="22"/>
            <w:u w:val="none"/>
          </w:rPr>
          <w:t>-të nga Institucionet e Republikës së Kosovës për vitet 2015-2016</w:t>
        </w:r>
      </w:hyperlink>
      <w:r w:rsidR="00CF44A5" w:rsidRPr="00B6593D">
        <w:rPr>
          <w:rFonts w:cstheme="majorHAnsi"/>
          <w:color w:val="000000" w:themeColor="text1"/>
          <w:szCs w:val="22"/>
        </w:rPr>
        <w:t>. Në bazë të të dhënave të siguruara nga Ministri</w:t>
      </w:r>
      <w:r w:rsidR="00685908">
        <w:rPr>
          <w:rFonts w:cstheme="majorHAnsi"/>
          <w:color w:val="000000" w:themeColor="text1"/>
          <w:szCs w:val="22"/>
        </w:rPr>
        <w:t>a e</w:t>
      </w:r>
      <w:r w:rsidR="00CF44A5" w:rsidRPr="00B6593D">
        <w:rPr>
          <w:rFonts w:cstheme="majorHAnsi"/>
          <w:color w:val="000000" w:themeColor="text1"/>
          <w:szCs w:val="22"/>
        </w:rPr>
        <w:t xml:space="preserve"> Financave, rezulton se mbështetja publike financiare që i është dhënë </w:t>
      </w:r>
      <w:r w:rsidRPr="00B6593D">
        <w:rPr>
          <w:rFonts w:cstheme="majorHAnsi"/>
          <w:color w:val="000000" w:themeColor="text1"/>
          <w:szCs w:val="22"/>
        </w:rPr>
        <w:t>OSHC</w:t>
      </w:r>
      <w:r w:rsidR="00CF44A5" w:rsidRPr="00B6593D">
        <w:rPr>
          <w:rFonts w:cstheme="majorHAnsi"/>
          <w:color w:val="000000" w:themeColor="text1"/>
          <w:szCs w:val="22"/>
        </w:rPr>
        <w:t xml:space="preserve">-ve nga institucionet publike qendrore dhe lokale gjatë viteve 2015-2016 kapin shumën totale të </w:t>
      </w:r>
      <w:r w:rsidR="003F5EEC" w:rsidRPr="00B6593D">
        <w:rPr>
          <w:rFonts w:cstheme="majorHAnsi"/>
          <w:color w:val="000000" w:themeColor="text1"/>
          <w:szCs w:val="22"/>
        </w:rPr>
        <w:t>financimit</w:t>
      </w:r>
      <w:r w:rsidR="00CF44A5" w:rsidRPr="00B6593D">
        <w:rPr>
          <w:rFonts w:cstheme="majorHAnsi"/>
          <w:color w:val="000000" w:themeColor="text1"/>
          <w:szCs w:val="22"/>
        </w:rPr>
        <w:t xml:space="preserve"> prej 27,859,305.00 Euro. Në ketë shumë përfshihet mbështetja financiare për OJQ</w:t>
      </w:r>
      <w:r w:rsidRPr="00B6593D">
        <w:rPr>
          <w:rFonts w:cstheme="majorHAnsi"/>
          <w:color w:val="000000" w:themeColor="text1"/>
          <w:szCs w:val="22"/>
        </w:rPr>
        <w:t xml:space="preserve">, </w:t>
      </w:r>
      <w:r w:rsidR="00CF44A5" w:rsidRPr="00B6593D">
        <w:rPr>
          <w:rFonts w:cstheme="majorHAnsi"/>
          <w:color w:val="000000" w:themeColor="text1"/>
          <w:szCs w:val="22"/>
        </w:rPr>
        <w:t xml:space="preserve">klube e federata sportive dhe entitete tjera të cilat janë </w:t>
      </w:r>
      <w:r w:rsidR="003F5EEC" w:rsidRPr="00B6593D">
        <w:rPr>
          <w:rFonts w:cstheme="majorHAnsi"/>
          <w:color w:val="000000" w:themeColor="text1"/>
          <w:szCs w:val="22"/>
        </w:rPr>
        <w:t>po ashtu</w:t>
      </w:r>
      <w:r w:rsidR="00CF44A5" w:rsidRPr="00B6593D">
        <w:rPr>
          <w:rFonts w:cstheme="majorHAnsi"/>
          <w:color w:val="000000" w:themeColor="text1"/>
          <w:szCs w:val="22"/>
        </w:rPr>
        <w:t xml:space="preserve"> të regjistruara si </w:t>
      </w:r>
      <w:r w:rsidRPr="00B6593D">
        <w:rPr>
          <w:rFonts w:cstheme="majorHAnsi"/>
          <w:color w:val="000000" w:themeColor="text1"/>
          <w:szCs w:val="22"/>
        </w:rPr>
        <w:t>OSHC</w:t>
      </w:r>
      <w:r w:rsidR="00CF44A5" w:rsidRPr="00B6593D">
        <w:rPr>
          <w:rFonts w:cstheme="majorHAnsi"/>
          <w:color w:val="000000" w:themeColor="text1"/>
          <w:szCs w:val="22"/>
        </w:rPr>
        <w:t>. Në mungesë të kornizës së qartë rregulluese, shuma të konsiderueshme të mbështetjes financiare për OJQ-të janë ndarë përmes vendimeve dhe kontraktimit të drejtpërdrejt, pa procedura të unifikuara. Në fund</w:t>
      </w:r>
      <w:r w:rsidRPr="00B6593D">
        <w:rPr>
          <w:rFonts w:cstheme="majorHAnsi"/>
          <w:color w:val="000000" w:themeColor="text1"/>
          <w:szCs w:val="22"/>
        </w:rPr>
        <w:t xml:space="preserve"> të</w:t>
      </w:r>
      <w:r w:rsidR="00CF44A5" w:rsidRPr="00B6593D">
        <w:rPr>
          <w:rFonts w:cstheme="majorHAnsi"/>
          <w:color w:val="000000" w:themeColor="text1"/>
          <w:szCs w:val="22"/>
        </w:rPr>
        <w:t xml:space="preserve"> muaji</w:t>
      </w:r>
      <w:r w:rsidRPr="00B6593D">
        <w:rPr>
          <w:rFonts w:cstheme="majorHAnsi"/>
          <w:color w:val="000000" w:themeColor="text1"/>
          <w:szCs w:val="22"/>
        </w:rPr>
        <w:t>t</w:t>
      </w:r>
      <w:r w:rsidR="00CF44A5" w:rsidRPr="00B6593D">
        <w:rPr>
          <w:rFonts w:cstheme="majorHAnsi"/>
          <w:color w:val="000000" w:themeColor="text1"/>
          <w:szCs w:val="22"/>
        </w:rPr>
        <w:t xml:space="preserve"> qershor 2017, Ministria e </w:t>
      </w:r>
      <w:r w:rsidR="00685908">
        <w:rPr>
          <w:rFonts w:cstheme="majorHAnsi"/>
          <w:color w:val="000000" w:themeColor="text1"/>
          <w:szCs w:val="22"/>
        </w:rPr>
        <w:t>F</w:t>
      </w:r>
      <w:r w:rsidR="00CF44A5" w:rsidRPr="00B6593D">
        <w:rPr>
          <w:rFonts w:cstheme="majorHAnsi"/>
          <w:color w:val="000000" w:themeColor="text1"/>
          <w:szCs w:val="22"/>
        </w:rPr>
        <w:t xml:space="preserve">inancave ka miratuar Rregulloren e cila i përcakton </w:t>
      </w:r>
      <w:r w:rsidR="00CF44A5" w:rsidRPr="00B6593D">
        <w:rPr>
          <w:rFonts w:cstheme="majorHAnsi"/>
          <w:i/>
          <w:iCs/>
          <w:color w:val="000000" w:themeColor="text1"/>
          <w:szCs w:val="22"/>
        </w:rPr>
        <w:t>kriteret, standardet dhe procedurat bazë</w:t>
      </w:r>
      <w:r w:rsidR="00CF44A5" w:rsidRPr="00B6593D">
        <w:rPr>
          <w:rFonts w:cstheme="majorHAnsi"/>
          <w:color w:val="000000" w:themeColor="text1"/>
          <w:szCs w:val="22"/>
        </w:rPr>
        <w:t xml:space="preserve"> për financimin publik të OJQ-ve. Qëllimi</w:t>
      </w:r>
      <w:r w:rsidR="00685908">
        <w:rPr>
          <w:rFonts w:cstheme="majorHAnsi"/>
          <w:color w:val="000000" w:themeColor="text1"/>
          <w:szCs w:val="22"/>
        </w:rPr>
        <w:t xml:space="preserve"> i</w:t>
      </w:r>
      <w:r w:rsidR="00CF44A5" w:rsidRPr="00B6593D">
        <w:rPr>
          <w:rFonts w:cstheme="majorHAnsi"/>
          <w:color w:val="000000" w:themeColor="text1"/>
          <w:szCs w:val="22"/>
        </w:rPr>
        <w:t xml:space="preserve"> kësaj Rregulloreje është </w:t>
      </w:r>
      <w:r w:rsidR="00CF44A5" w:rsidRPr="00B6593D">
        <w:rPr>
          <w:rFonts w:cstheme="majorHAnsi"/>
          <w:b/>
          <w:color w:val="000000" w:themeColor="text1"/>
          <w:szCs w:val="22"/>
        </w:rPr>
        <w:t>“</w:t>
      </w:r>
      <w:r w:rsidR="00CF44A5" w:rsidRPr="00B6593D">
        <w:rPr>
          <w:rFonts w:cstheme="majorHAnsi"/>
          <w:bCs/>
          <w:color w:val="000000" w:themeColor="text1"/>
          <w:szCs w:val="22"/>
        </w:rPr>
        <w:t>krijimi i një sistemi transparent dhe llogaridhënës</w:t>
      </w:r>
      <w:r w:rsidR="00CF44A5" w:rsidRPr="00B6593D">
        <w:rPr>
          <w:rFonts w:cstheme="majorHAnsi"/>
          <w:b/>
          <w:color w:val="000000" w:themeColor="text1"/>
          <w:szCs w:val="22"/>
        </w:rPr>
        <w:t>”</w:t>
      </w:r>
      <w:r w:rsidR="00CF44A5" w:rsidRPr="00B6593D">
        <w:rPr>
          <w:rStyle w:val="FootnoteReference"/>
          <w:rFonts w:cstheme="majorHAnsi"/>
          <w:color w:val="000000" w:themeColor="text1"/>
          <w:szCs w:val="22"/>
        </w:rPr>
        <w:footnoteReference w:id="13"/>
      </w:r>
      <w:r w:rsidR="00CF44A5" w:rsidRPr="00B6593D">
        <w:rPr>
          <w:rFonts w:cstheme="majorHAnsi"/>
          <w:color w:val="000000" w:themeColor="text1"/>
          <w:szCs w:val="22"/>
        </w:rPr>
        <w:t xml:space="preserve"> për financimin e projekteve dhe programeve të </w:t>
      </w:r>
      <w:r w:rsidRPr="00B6593D">
        <w:rPr>
          <w:rFonts w:cstheme="majorHAnsi"/>
          <w:color w:val="000000" w:themeColor="text1"/>
          <w:szCs w:val="22"/>
        </w:rPr>
        <w:t>OSHC</w:t>
      </w:r>
      <w:r w:rsidR="00CF44A5" w:rsidRPr="00B6593D">
        <w:rPr>
          <w:rFonts w:cstheme="majorHAnsi"/>
          <w:color w:val="000000" w:themeColor="text1"/>
          <w:szCs w:val="22"/>
        </w:rPr>
        <w:t xml:space="preserve">-ve. Megjithatë, duhet të shtohen përpjekjet për ndërtimin e kapaciteteve në mesin e institucioneve publike dhe shoqërisë civile për zbatimin e Rregullores. </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Për sa i përket mekanizmave dhe praktikave të </w:t>
      </w:r>
      <w:r w:rsidRPr="00B6593D">
        <w:rPr>
          <w:rFonts w:cstheme="majorHAnsi"/>
          <w:i/>
          <w:color w:val="000000" w:themeColor="text1"/>
          <w:szCs w:val="22"/>
        </w:rPr>
        <w:t>financimit indirekt</w:t>
      </w:r>
      <w:r w:rsidRPr="00B6593D">
        <w:rPr>
          <w:rFonts w:cstheme="majorHAnsi"/>
          <w:color w:val="000000" w:themeColor="text1"/>
          <w:szCs w:val="22"/>
        </w:rPr>
        <w:t xml:space="preserve">, nuk është bërë progres i mjaftueshëm për rregullimin e aktiviteteve ekonomike të OSHC-ve. Qeveria nuk ka krijuar një kornizë ligjore për zhvillimin e filantropisë individuale dhe korporative. Kjo kërkon krijimin e një kornize ligjore gjithëpërfshirëse për një mjedis më të favorshëm për OSHC-të, të cilat merren me filantropi </w:t>
      </w:r>
      <w:r w:rsidRPr="00B6593D">
        <w:rPr>
          <w:rFonts w:cstheme="majorHAnsi"/>
          <w:color w:val="000000" w:themeColor="text1"/>
        </w:rPr>
        <w:t xml:space="preserve">(përfshirë edhe dhurimet, harmonizimin e statusit të përfitimit publik në legjislacionin përkatës) </w:t>
      </w:r>
      <w:r w:rsidRPr="00B6593D">
        <w:rPr>
          <w:rFonts w:cstheme="majorHAnsi"/>
          <w:color w:val="000000" w:themeColor="text1"/>
          <w:szCs w:val="22"/>
        </w:rPr>
        <w:t xml:space="preserve">dhe aktivitete ekonomike. Krahas kësaj, në të kaluarën ndarja e pronës shtetërore për shfrytëzim nga OSHC-të nuk ka qenë e rregulluar. Qeveria duhet të ndërmarrë veprime strategjike për të identifikuar dhe publikuar tërë informacionin për pronën </w:t>
      </w:r>
      <w:r w:rsidRPr="00B6593D">
        <w:rPr>
          <w:rFonts w:cstheme="majorHAnsi"/>
          <w:color w:val="000000" w:themeColor="text1"/>
          <w:szCs w:val="22"/>
        </w:rPr>
        <w:lastRenderedPageBreak/>
        <w:t xml:space="preserve">shtetërore (lokale dhe nacionale) e cila është në përdorim dhe/ose do të jetë në përdorim të OSHC-ve, gjë që në fund do të kërkojë miratimin e një politike rregulluese apo një rregulloreje. Në fund, Qeveria duhet të krijojë një sistem për bashkëfinancim të projekteve të OSHC-ve të financuara nga BE-ja, gjë që në të kaluarën nuk ka ekzistuar. </w:t>
      </w:r>
    </w:p>
    <w:p w:rsidR="00CF44A5" w:rsidRPr="00B6593D" w:rsidRDefault="00683A01" w:rsidP="00CF44A5">
      <w:pPr>
        <w:spacing w:line="276" w:lineRule="auto"/>
        <w:rPr>
          <w:rFonts w:cstheme="majorHAnsi"/>
          <w:color w:val="000000" w:themeColor="text1"/>
          <w:szCs w:val="22"/>
        </w:rPr>
      </w:pPr>
      <w:r>
        <w:rPr>
          <w:rFonts w:cstheme="majorHAnsi"/>
          <w:color w:val="000000" w:themeColor="text1"/>
          <w:szCs w:val="22"/>
        </w:rPr>
        <w:pict>
          <v:rect id="_x0000_i1032" style="width:468pt;height:1.5pt" o:hralign="center" o:hrstd="t" o:hrnoshade="t" o:hr="t" fillcolor="gray [1629]" stroked="f"/>
        </w:pict>
      </w:r>
    </w:p>
    <w:tbl>
      <w:tblPr>
        <w:tblW w:w="0" w:type="auto"/>
        <w:tblLook w:val="04A0" w:firstRow="1" w:lastRow="0" w:firstColumn="1" w:lastColumn="0" w:noHBand="0" w:noVBand="1"/>
      </w:tblPr>
      <w:tblGrid>
        <w:gridCol w:w="381"/>
        <w:gridCol w:w="1679"/>
        <w:gridCol w:w="621"/>
        <w:gridCol w:w="6679"/>
      </w:tblGrid>
      <w:tr w:rsidR="00CF44A5" w:rsidRPr="00B6593D" w:rsidTr="00221DE3">
        <w:trPr>
          <w:trHeight w:val="432"/>
        </w:trPr>
        <w:tc>
          <w:tcPr>
            <w:tcW w:w="381" w:type="dxa"/>
            <w:tcBorders>
              <w:bottom w:val="single" w:sz="12" w:space="0" w:color="7F7F7F" w:themeColor="text1" w:themeTint="80"/>
              <w:right w:val="single" w:sz="4" w:space="0" w:color="auto"/>
            </w:tcBorders>
            <w:shd w:val="clear" w:color="auto" w:fill="808080" w:themeFill="background1" w:themeFillShade="80"/>
            <w:vAlign w:val="center"/>
          </w:tcPr>
          <w:p w:rsidR="00CF44A5" w:rsidRPr="00B6593D" w:rsidRDefault="00CF44A5" w:rsidP="00221DE3">
            <w:pPr>
              <w:spacing w:line="276" w:lineRule="auto"/>
              <w:jc w:val="center"/>
              <w:rPr>
                <w:rFonts w:cstheme="majorHAnsi"/>
                <w:color w:val="000000" w:themeColor="text1"/>
                <w:szCs w:val="22"/>
              </w:rPr>
            </w:pPr>
          </w:p>
        </w:tc>
        <w:tc>
          <w:tcPr>
            <w:tcW w:w="1679" w:type="dxa"/>
            <w:tcBorders>
              <w:bottom w:val="single" w:sz="12" w:space="0" w:color="7F7F7F" w:themeColor="text1" w:themeTint="80"/>
              <w:right w:val="single" w:sz="4" w:space="0" w:color="auto"/>
            </w:tcBorders>
            <w:shd w:val="clear" w:color="auto" w:fill="808080" w:themeFill="background1" w:themeFillShade="80"/>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 xml:space="preserve">Objektivi i </w:t>
            </w:r>
            <w:r w:rsidR="00123C8B" w:rsidRPr="00B6593D">
              <w:rPr>
                <w:rFonts w:cstheme="majorHAnsi"/>
                <w:color w:val="000000" w:themeColor="text1"/>
                <w:szCs w:val="22"/>
              </w:rPr>
              <w:t>strategjik 2</w:t>
            </w:r>
          </w:p>
        </w:tc>
        <w:tc>
          <w:tcPr>
            <w:tcW w:w="7300" w:type="dxa"/>
            <w:gridSpan w:val="2"/>
            <w:tcBorders>
              <w:left w:val="single" w:sz="4" w:space="0" w:color="auto"/>
              <w:bottom w:val="single" w:sz="12" w:space="0" w:color="7F7F7F" w:themeColor="text1" w:themeTint="80"/>
            </w:tcBorders>
            <w:shd w:val="clear" w:color="auto" w:fill="808080" w:themeFill="background1" w:themeFillShade="80"/>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Objektiv</w:t>
            </w:r>
            <w:r w:rsidR="00357A19" w:rsidRPr="00B6593D">
              <w:rPr>
                <w:rFonts w:cstheme="majorHAnsi"/>
                <w:color w:val="000000" w:themeColor="text1"/>
                <w:szCs w:val="22"/>
              </w:rPr>
              <w:t>at</w:t>
            </w:r>
            <w:r w:rsidRPr="00B6593D">
              <w:rPr>
                <w:rFonts w:cstheme="majorHAnsi"/>
                <w:color w:val="000000" w:themeColor="text1"/>
                <w:szCs w:val="22"/>
              </w:rPr>
              <w:t xml:space="preserve"> Specifik</w:t>
            </w:r>
            <w:r w:rsidR="00357A19" w:rsidRPr="00B6593D">
              <w:rPr>
                <w:rFonts w:cstheme="majorHAnsi"/>
                <w:color w:val="000000" w:themeColor="text1"/>
                <w:szCs w:val="22"/>
              </w:rPr>
              <w:t>e</w:t>
            </w:r>
          </w:p>
        </w:tc>
      </w:tr>
      <w:tr w:rsidR="00CF44A5" w:rsidRPr="00B6593D" w:rsidTr="00221DE3">
        <w:tc>
          <w:tcPr>
            <w:tcW w:w="381" w:type="dxa"/>
            <w:vMerge w:val="restart"/>
            <w:tcBorders>
              <w:top w:val="single" w:sz="12" w:space="0" w:color="7F7F7F" w:themeColor="text1" w:themeTint="80"/>
              <w:right w:val="single" w:sz="4" w:space="0" w:color="auto"/>
            </w:tcBorders>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2</w:t>
            </w:r>
          </w:p>
        </w:tc>
        <w:tc>
          <w:tcPr>
            <w:tcW w:w="1679" w:type="dxa"/>
            <w:vMerge w:val="restart"/>
            <w:tcBorders>
              <w:top w:val="single" w:sz="12" w:space="0" w:color="7F7F7F" w:themeColor="text1" w:themeTint="80"/>
              <w:right w:val="single" w:sz="4" w:space="0" w:color="auto"/>
            </w:tcBorders>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Përmirësimi i kornizës institucionale dhe ligjore për </w:t>
            </w:r>
            <w:r w:rsidR="006D4A8E">
              <w:rPr>
                <w:rFonts w:cstheme="majorHAnsi"/>
                <w:color w:val="000000" w:themeColor="text1"/>
                <w:szCs w:val="22"/>
              </w:rPr>
              <w:t>për</w:t>
            </w:r>
            <w:r w:rsidRPr="00B6593D">
              <w:rPr>
                <w:rFonts w:cstheme="majorHAnsi"/>
                <w:color w:val="000000" w:themeColor="text1"/>
                <w:szCs w:val="22"/>
              </w:rPr>
              <w:t xml:space="preserve">krahje financiare dhe jo financiare  në zhvillimin e qëndrueshëm të programeve dhe projekteve të </w:t>
            </w:r>
            <w:r w:rsidR="005E4770" w:rsidRPr="00B6593D">
              <w:rPr>
                <w:rFonts w:cstheme="majorHAnsi"/>
                <w:color w:val="000000" w:themeColor="text1"/>
                <w:szCs w:val="22"/>
              </w:rPr>
              <w:t xml:space="preserve">me interes publik të </w:t>
            </w:r>
            <w:r w:rsidRPr="00B6593D">
              <w:rPr>
                <w:rFonts w:cstheme="majorHAnsi"/>
                <w:color w:val="000000" w:themeColor="text1"/>
                <w:szCs w:val="22"/>
              </w:rPr>
              <w:t xml:space="preserve">OShC-ve </w:t>
            </w:r>
          </w:p>
          <w:p w:rsidR="00CF44A5" w:rsidRPr="00B6593D" w:rsidRDefault="00CF44A5" w:rsidP="00221DE3">
            <w:pPr>
              <w:spacing w:line="276" w:lineRule="auto"/>
              <w:jc w:val="center"/>
              <w:rPr>
                <w:rFonts w:cstheme="majorHAnsi"/>
                <w:color w:val="000000" w:themeColor="text1"/>
                <w:szCs w:val="22"/>
              </w:rPr>
            </w:pPr>
          </w:p>
        </w:tc>
        <w:tc>
          <w:tcPr>
            <w:tcW w:w="621" w:type="dxa"/>
            <w:tcBorders>
              <w:top w:val="single" w:sz="12" w:space="0" w:color="7F7F7F" w:themeColor="text1" w:themeTint="80"/>
              <w:left w:val="single" w:sz="4" w:space="0" w:color="auto"/>
            </w:tcBorders>
          </w:tcPr>
          <w:p w:rsidR="003F5EEC" w:rsidRPr="00B6593D" w:rsidRDefault="003F5EEC" w:rsidP="00221DE3">
            <w:pPr>
              <w:spacing w:line="276" w:lineRule="auto"/>
              <w:jc w:val="left"/>
              <w:rPr>
                <w:rFonts w:cstheme="majorHAnsi"/>
                <w:color w:val="000000" w:themeColor="text1"/>
                <w:szCs w:val="22"/>
              </w:rPr>
            </w:pPr>
          </w:p>
          <w:p w:rsidR="003F5EEC" w:rsidRPr="00B6593D" w:rsidRDefault="003F5EEC" w:rsidP="00221DE3">
            <w:pPr>
              <w:spacing w:line="276" w:lineRule="auto"/>
              <w:jc w:val="left"/>
              <w:rPr>
                <w:rFonts w:cstheme="majorHAnsi"/>
                <w:color w:val="000000" w:themeColor="text1"/>
                <w:szCs w:val="22"/>
              </w:rPr>
            </w:pPr>
          </w:p>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2.1</w:t>
            </w:r>
          </w:p>
        </w:tc>
        <w:tc>
          <w:tcPr>
            <w:tcW w:w="6679" w:type="dxa"/>
            <w:tcBorders>
              <w:top w:val="single" w:sz="12" w:space="0" w:color="7F7F7F" w:themeColor="text1" w:themeTint="80"/>
              <w:left w:val="single" w:sz="4" w:space="0" w:color="auto"/>
            </w:tcBorders>
          </w:tcPr>
          <w:p w:rsidR="00CF44A5" w:rsidRPr="00B6593D" w:rsidRDefault="00CF44A5" w:rsidP="00221DE3">
            <w:pPr>
              <w:pStyle w:val="Heading2"/>
              <w:spacing w:line="276" w:lineRule="auto"/>
              <w:rPr>
                <w:rFonts w:eastAsia="Times New Roman" w:cstheme="majorHAnsi"/>
                <w:b w:val="0"/>
                <w:color w:val="000000" w:themeColor="text1"/>
                <w:sz w:val="24"/>
                <w:szCs w:val="24"/>
              </w:rPr>
            </w:pPr>
            <w:bookmarkStart w:id="15" w:name="_Toc535484355"/>
            <w:bookmarkStart w:id="16" w:name="_Toc536000962"/>
            <w:r w:rsidRPr="00B6593D">
              <w:rPr>
                <w:rFonts w:eastAsia="Times New Roman" w:cstheme="majorHAnsi"/>
                <w:b w:val="0"/>
                <w:color w:val="000000" w:themeColor="text1"/>
                <w:sz w:val="24"/>
                <w:szCs w:val="24"/>
              </w:rPr>
              <w:t>Fuqizimi i kapaciteteve të Ministrive dhe Komunave për zbatimin e standardeve për financimin publik të OSHC-ve</w:t>
            </w:r>
            <w:bookmarkEnd w:id="15"/>
            <w:bookmarkEnd w:id="16"/>
          </w:p>
          <w:p w:rsidR="00CF44A5" w:rsidRPr="00B6593D" w:rsidRDefault="00CF44A5" w:rsidP="00221DE3">
            <w:pPr>
              <w:spacing w:line="276" w:lineRule="auto"/>
              <w:jc w:val="left"/>
              <w:rPr>
                <w:rFonts w:cstheme="majorHAnsi"/>
                <w:color w:val="000000" w:themeColor="text1"/>
                <w:szCs w:val="22"/>
              </w:rPr>
            </w:pPr>
          </w:p>
        </w:tc>
      </w:tr>
      <w:tr w:rsidR="00CF44A5" w:rsidRPr="00B6593D" w:rsidTr="00221DE3">
        <w:trPr>
          <w:trHeight w:val="198"/>
        </w:trPr>
        <w:tc>
          <w:tcPr>
            <w:tcW w:w="381" w:type="dxa"/>
            <w:vMerge/>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p>
        </w:tc>
        <w:tc>
          <w:tcPr>
            <w:tcW w:w="1679" w:type="dxa"/>
            <w:vMerge/>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p>
        </w:tc>
        <w:tc>
          <w:tcPr>
            <w:tcW w:w="621" w:type="dxa"/>
            <w:tcBorders>
              <w:left w:val="single" w:sz="4" w:space="0" w:color="auto"/>
            </w:tcBorders>
          </w:tcPr>
          <w:p w:rsidR="003F5EEC" w:rsidRPr="00B6593D" w:rsidRDefault="003F5EEC" w:rsidP="00221DE3">
            <w:pPr>
              <w:pStyle w:val="HTMLPreformatted"/>
              <w:shd w:val="clear" w:color="auto" w:fill="FFFFFF"/>
              <w:spacing w:line="276" w:lineRule="auto"/>
              <w:rPr>
                <w:rFonts w:asciiTheme="majorHAnsi" w:hAnsiTheme="majorHAnsi" w:cstheme="majorHAnsi"/>
                <w:color w:val="000000" w:themeColor="text1"/>
                <w:sz w:val="22"/>
                <w:szCs w:val="22"/>
              </w:rPr>
            </w:pPr>
          </w:p>
          <w:p w:rsidR="00CF44A5" w:rsidRPr="00B6593D" w:rsidRDefault="00CF44A5" w:rsidP="00221DE3">
            <w:pPr>
              <w:pStyle w:val="HTMLPreformatted"/>
              <w:shd w:val="clear" w:color="auto" w:fill="FFFFFF"/>
              <w:spacing w:line="276" w:lineRule="auto"/>
              <w:rPr>
                <w:rFonts w:asciiTheme="majorHAnsi" w:hAnsiTheme="majorHAnsi" w:cstheme="majorHAnsi"/>
                <w:color w:val="000000" w:themeColor="text1"/>
                <w:sz w:val="22"/>
                <w:szCs w:val="22"/>
              </w:rPr>
            </w:pPr>
            <w:r w:rsidRPr="00B6593D">
              <w:rPr>
                <w:rFonts w:asciiTheme="majorHAnsi" w:hAnsiTheme="majorHAnsi" w:cstheme="majorHAnsi"/>
                <w:color w:val="000000" w:themeColor="text1"/>
                <w:sz w:val="22"/>
                <w:szCs w:val="22"/>
              </w:rPr>
              <w:t>2.2</w:t>
            </w:r>
          </w:p>
        </w:tc>
        <w:tc>
          <w:tcPr>
            <w:tcW w:w="6679" w:type="dxa"/>
            <w:tcBorders>
              <w:left w:val="single" w:sz="4" w:space="0" w:color="auto"/>
            </w:tcBorders>
          </w:tcPr>
          <w:p w:rsidR="00CF44A5" w:rsidRPr="00B6593D" w:rsidRDefault="00CF44A5" w:rsidP="00221DE3">
            <w:pPr>
              <w:pStyle w:val="HTMLPreformatted"/>
              <w:shd w:val="clear" w:color="auto" w:fill="FFFFFF"/>
              <w:spacing w:line="276" w:lineRule="auto"/>
              <w:rPr>
                <w:rFonts w:asciiTheme="majorHAnsi" w:hAnsiTheme="majorHAnsi" w:cstheme="majorHAnsi"/>
                <w:color w:val="000000" w:themeColor="text1"/>
                <w:sz w:val="22"/>
                <w:szCs w:val="22"/>
              </w:rPr>
            </w:pPr>
            <w:r w:rsidRPr="00B6593D">
              <w:rPr>
                <w:rFonts w:asciiTheme="majorHAnsi" w:hAnsiTheme="majorHAnsi" w:cstheme="majorHAnsi"/>
                <w:color w:val="000000" w:themeColor="text1"/>
                <w:sz w:val="22"/>
                <w:szCs w:val="22"/>
              </w:rPr>
              <w:t>Përmirësimi i kornizës ligjore dhe institucionale për zhvillimin e filantropisë individuale dhe të korporatave</w:t>
            </w:r>
          </w:p>
        </w:tc>
      </w:tr>
      <w:tr w:rsidR="00CF44A5" w:rsidRPr="00B6593D" w:rsidTr="00221DE3">
        <w:trPr>
          <w:trHeight w:val="73"/>
        </w:trPr>
        <w:tc>
          <w:tcPr>
            <w:tcW w:w="381" w:type="dxa"/>
            <w:vMerge/>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p>
        </w:tc>
        <w:tc>
          <w:tcPr>
            <w:tcW w:w="1679" w:type="dxa"/>
            <w:vMerge/>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p>
        </w:tc>
        <w:tc>
          <w:tcPr>
            <w:tcW w:w="621" w:type="dxa"/>
            <w:tcBorders>
              <w:left w:val="single" w:sz="4" w:space="0" w:color="auto"/>
            </w:tcBorders>
          </w:tcPr>
          <w:p w:rsidR="003F5EEC" w:rsidRPr="00B6593D" w:rsidRDefault="003F5EEC" w:rsidP="00221DE3">
            <w:pPr>
              <w:spacing w:line="276" w:lineRule="auto"/>
              <w:jc w:val="left"/>
              <w:rPr>
                <w:rFonts w:cstheme="majorHAnsi"/>
                <w:color w:val="000000" w:themeColor="text1"/>
                <w:szCs w:val="22"/>
              </w:rPr>
            </w:pPr>
          </w:p>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2.3</w:t>
            </w:r>
          </w:p>
        </w:tc>
        <w:tc>
          <w:tcPr>
            <w:tcW w:w="6679" w:type="dxa"/>
            <w:tcBorders>
              <w:left w:val="single" w:sz="4" w:space="0" w:color="auto"/>
            </w:tcBorders>
          </w:tcPr>
          <w:p w:rsidR="003F5EEC" w:rsidRPr="00B6593D" w:rsidRDefault="003F5EEC" w:rsidP="00221DE3">
            <w:pPr>
              <w:spacing w:line="276" w:lineRule="auto"/>
              <w:jc w:val="left"/>
              <w:rPr>
                <w:rFonts w:eastAsia="Times New Roman" w:cstheme="majorHAnsi"/>
                <w:color w:val="000000" w:themeColor="text1"/>
                <w:szCs w:val="22"/>
              </w:rPr>
            </w:pPr>
          </w:p>
          <w:p w:rsidR="00CF44A5" w:rsidRPr="00B6593D" w:rsidRDefault="00CF44A5" w:rsidP="00221DE3">
            <w:pPr>
              <w:spacing w:line="276" w:lineRule="auto"/>
              <w:jc w:val="left"/>
              <w:rPr>
                <w:rFonts w:eastAsia="Times New Roman" w:cstheme="majorHAnsi"/>
                <w:color w:val="000000" w:themeColor="text1"/>
              </w:rPr>
            </w:pPr>
            <w:r w:rsidRPr="00B6593D">
              <w:rPr>
                <w:rFonts w:eastAsia="Times New Roman" w:cstheme="majorHAnsi"/>
                <w:color w:val="000000" w:themeColor="text1"/>
                <w:szCs w:val="22"/>
              </w:rPr>
              <w:t>Rregullimi i ndarjes së pronës publike për shfrytëzim nga OSHC-të</w:t>
            </w:r>
          </w:p>
          <w:p w:rsidR="003F5EEC" w:rsidRPr="00B6593D" w:rsidRDefault="003F5EEC" w:rsidP="00221DE3">
            <w:pPr>
              <w:spacing w:line="276" w:lineRule="auto"/>
              <w:jc w:val="left"/>
              <w:rPr>
                <w:rFonts w:cstheme="majorHAnsi"/>
                <w:color w:val="000000" w:themeColor="text1"/>
                <w:szCs w:val="22"/>
              </w:rPr>
            </w:pPr>
          </w:p>
        </w:tc>
      </w:tr>
      <w:tr w:rsidR="00CF44A5" w:rsidRPr="00B6593D" w:rsidTr="00221DE3">
        <w:trPr>
          <w:trHeight w:val="1072"/>
        </w:trPr>
        <w:tc>
          <w:tcPr>
            <w:tcW w:w="381" w:type="dxa"/>
            <w:vMerge/>
            <w:tcBorders>
              <w:bottom w:val="nil"/>
              <w:right w:val="single" w:sz="4" w:space="0" w:color="auto"/>
            </w:tcBorders>
          </w:tcPr>
          <w:p w:rsidR="00CF44A5" w:rsidRPr="00B6593D" w:rsidRDefault="00CF44A5" w:rsidP="00221DE3">
            <w:pPr>
              <w:spacing w:line="276" w:lineRule="auto"/>
              <w:jc w:val="center"/>
              <w:rPr>
                <w:rFonts w:cstheme="majorHAnsi"/>
                <w:color w:val="000000" w:themeColor="text1"/>
                <w:szCs w:val="22"/>
              </w:rPr>
            </w:pPr>
          </w:p>
        </w:tc>
        <w:tc>
          <w:tcPr>
            <w:tcW w:w="1679" w:type="dxa"/>
            <w:vMerge/>
            <w:tcBorders>
              <w:bottom w:val="nil"/>
              <w:right w:val="single" w:sz="4" w:space="0" w:color="auto"/>
            </w:tcBorders>
          </w:tcPr>
          <w:p w:rsidR="00CF44A5" w:rsidRPr="00B6593D" w:rsidRDefault="00CF44A5" w:rsidP="00221DE3">
            <w:pPr>
              <w:spacing w:line="276" w:lineRule="auto"/>
              <w:jc w:val="center"/>
              <w:rPr>
                <w:rFonts w:cstheme="majorHAnsi"/>
                <w:color w:val="000000" w:themeColor="text1"/>
                <w:szCs w:val="22"/>
              </w:rPr>
            </w:pPr>
          </w:p>
        </w:tc>
        <w:tc>
          <w:tcPr>
            <w:tcW w:w="621" w:type="dxa"/>
            <w:tcBorders>
              <w:left w:val="single" w:sz="4" w:space="0" w:color="auto"/>
              <w:bottom w:val="nil"/>
            </w:tcBorders>
          </w:tcPr>
          <w:p w:rsidR="00CF44A5" w:rsidRPr="00B6593D" w:rsidRDefault="003F5EEC" w:rsidP="00221DE3">
            <w:pPr>
              <w:spacing w:line="276" w:lineRule="auto"/>
              <w:jc w:val="left"/>
              <w:rPr>
                <w:rFonts w:cstheme="majorHAnsi"/>
                <w:color w:val="000000" w:themeColor="text1"/>
                <w:szCs w:val="22"/>
              </w:rPr>
            </w:pPr>
            <w:r w:rsidRPr="00B6593D">
              <w:rPr>
                <w:rFonts w:cstheme="majorHAnsi"/>
                <w:color w:val="000000" w:themeColor="text1"/>
                <w:szCs w:val="22"/>
              </w:rPr>
              <w:t>2.4.</w:t>
            </w:r>
          </w:p>
        </w:tc>
        <w:tc>
          <w:tcPr>
            <w:tcW w:w="6679" w:type="dxa"/>
            <w:tcBorders>
              <w:left w:val="single" w:sz="4" w:space="0" w:color="auto"/>
              <w:bottom w:val="nil"/>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Krijimi i një sistemi për bashkëfinancim të projekteve të OSHC-ve të financuara nga BE-ja</w:t>
            </w:r>
          </w:p>
        </w:tc>
      </w:tr>
    </w:tbl>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pStyle w:val="Heading2"/>
        <w:rPr>
          <w:rFonts w:eastAsia="Times New Roman" w:cstheme="majorHAnsi"/>
          <w:color w:val="000000" w:themeColor="text1"/>
          <w:u w:val="single"/>
        </w:rPr>
      </w:pPr>
      <w:bookmarkStart w:id="17" w:name="_Toc533365725"/>
      <w:bookmarkStart w:id="18" w:name="_Toc535484356"/>
      <w:bookmarkStart w:id="19" w:name="_Toc536000963"/>
      <w:r w:rsidRPr="00B6593D">
        <w:rPr>
          <w:rFonts w:eastAsia="Times New Roman" w:cstheme="majorHAnsi"/>
          <w:color w:val="000000" w:themeColor="text1"/>
          <w:u w:val="single"/>
        </w:rPr>
        <w:t xml:space="preserve">Objektivi </w:t>
      </w:r>
      <w:r w:rsidR="00357A19" w:rsidRPr="00B6593D">
        <w:rPr>
          <w:rFonts w:eastAsia="Times New Roman" w:cstheme="majorHAnsi"/>
          <w:color w:val="000000" w:themeColor="text1"/>
          <w:u w:val="single"/>
        </w:rPr>
        <w:t xml:space="preserve">strategjik </w:t>
      </w:r>
      <w:r w:rsidRPr="00B6593D">
        <w:rPr>
          <w:rFonts w:eastAsia="Times New Roman" w:cstheme="majorHAnsi"/>
          <w:color w:val="000000" w:themeColor="text1"/>
          <w:u w:val="single"/>
        </w:rPr>
        <w:t>3. Zhvillimi i praktikave dhe procedurave për kontraktimin e OSHC-ve për ofrimin e shërbimeve publike</w:t>
      </w:r>
      <w:bookmarkEnd w:id="17"/>
      <w:bookmarkEnd w:id="18"/>
      <w:bookmarkEnd w:id="19"/>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Qeveria ende nuk ka zhvilluar praktika dhe procedura të përshtatshme për kontraktimin e OSHC-ve për të ofruar shërbime publike. Vlerësimi i sfidave dhe mundësive për kontraktimin e OShC-ve për të ofruar shërbime publike në Kosovë, i përgatitur në vitin 2017</w:t>
      </w:r>
      <w:r w:rsidRPr="00B6593D">
        <w:rPr>
          <w:rStyle w:val="FootnoteReference"/>
          <w:rFonts w:cstheme="majorHAnsi"/>
          <w:color w:val="000000" w:themeColor="text1"/>
          <w:szCs w:val="22"/>
        </w:rPr>
        <w:footnoteReference w:id="14"/>
      </w:r>
      <w:r w:rsidRPr="00B6593D">
        <w:rPr>
          <w:rFonts w:cstheme="majorHAnsi"/>
          <w:color w:val="000000" w:themeColor="text1"/>
          <w:szCs w:val="22"/>
        </w:rPr>
        <w:t xml:space="preserve"> ka identifikuar në mes të tjerave nevojën për të zhvilluar një bazë kombëtare </w:t>
      </w:r>
      <w:r w:rsidR="00332F7F">
        <w:rPr>
          <w:rFonts w:cstheme="majorHAnsi"/>
          <w:color w:val="000000" w:themeColor="text1"/>
          <w:szCs w:val="22"/>
        </w:rPr>
        <w:t>me</w:t>
      </w:r>
      <w:r w:rsidRPr="00B6593D">
        <w:rPr>
          <w:rFonts w:cstheme="majorHAnsi"/>
          <w:color w:val="000000" w:themeColor="text1"/>
          <w:szCs w:val="22"/>
        </w:rPr>
        <w:t xml:space="preserve"> të dhëna për ofruesit e shërbimeve publike/sociale, e cila do të lehtësonte krijimin e një mekanizmi kombëtar referues gjithëpërfshirës. Kjo</w:t>
      </w:r>
      <w:r w:rsidR="00357A19" w:rsidRPr="00B6593D">
        <w:rPr>
          <w:rFonts w:cstheme="majorHAnsi"/>
          <w:color w:val="000000" w:themeColor="text1"/>
          <w:szCs w:val="22"/>
        </w:rPr>
        <w:t xml:space="preserve"> bazë</w:t>
      </w:r>
      <w:r w:rsidRPr="00B6593D">
        <w:rPr>
          <w:rFonts w:cstheme="majorHAnsi"/>
          <w:color w:val="000000" w:themeColor="text1"/>
          <w:szCs w:val="22"/>
        </w:rPr>
        <w:t xml:space="preserve"> do të ofro</w:t>
      </w:r>
      <w:r w:rsidR="00357A19" w:rsidRPr="00B6593D">
        <w:rPr>
          <w:rFonts w:cstheme="majorHAnsi"/>
          <w:color w:val="000000" w:themeColor="text1"/>
          <w:szCs w:val="22"/>
        </w:rPr>
        <w:t>jë</w:t>
      </w:r>
      <w:r w:rsidRPr="00B6593D">
        <w:rPr>
          <w:rFonts w:cstheme="majorHAnsi"/>
          <w:color w:val="000000" w:themeColor="text1"/>
          <w:szCs w:val="22"/>
        </w:rPr>
        <w:t xml:space="preserve"> të dhëna për planifikimin adekuat të shërbimeve sipas nevojës në secilën komunë si dhe standardet për kontraktimin e OShC-ve. Për më tepër është theksuar edhe nevoja për të forcuar mekanizmat për sigurimin e cilësisë për shërbimet e kontraktuara si dhe për të përmirësuar kapacitetet e ministrive dhe komunave për monitorim dhe vlerësim.</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Qeveria duhet të hartojë dhe miratojë standardet dhe procedurat për ofrimin e shërbimeve publike nga OSHC-të duke përfshirë edhe mbulimin e </w:t>
      </w:r>
      <w:r w:rsidR="003F5EEC" w:rsidRPr="00B6593D">
        <w:rPr>
          <w:rFonts w:cstheme="majorHAnsi"/>
          <w:color w:val="000000" w:themeColor="text1"/>
          <w:szCs w:val="22"/>
        </w:rPr>
        <w:t>li</w:t>
      </w:r>
      <w:r w:rsidR="00357A19" w:rsidRPr="00B6593D">
        <w:rPr>
          <w:rFonts w:cstheme="majorHAnsi"/>
          <w:color w:val="000000" w:themeColor="text1"/>
          <w:szCs w:val="22"/>
        </w:rPr>
        <w:t>ç</w:t>
      </w:r>
      <w:r w:rsidR="003F5EEC" w:rsidRPr="00B6593D">
        <w:rPr>
          <w:rFonts w:cstheme="majorHAnsi"/>
          <w:color w:val="000000" w:themeColor="text1"/>
          <w:szCs w:val="22"/>
        </w:rPr>
        <w:t>en</w:t>
      </w:r>
      <w:r w:rsidR="00357A19" w:rsidRPr="00B6593D">
        <w:rPr>
          <w:rFonts w:cstheme="majorHAnsi"/>
          <w:color w:val="000000" w:themeColor="text1"/>
          <w:szCs w:val="22"/>
        </w:rPr>
        <w:t>s</w:t>
      </w:r>
      <w:r w:rsidR="003F5EEC" w:rsidRPr="00B6593D">
        <w:rPr>
          <w:rFonts w:cstheme="majorHAnsi"/>
          <w:color w:val="000000" w:themeColor="text1"/>
          <w:szCs w:val="22"/>
        </w:rPr>
        <w:t>ave</w:t>
      </w:r>
      <w:r w:rsidRPr="00B6593D">
        <w:rPr>
          <w:rFonts w:cstheme="majorHAnsi"/>
          <w:color w:val="000000" w:themeColor="text1"/>
          <w:szCs w:val="22"/>
        </w:rPr>
        <w:t xml:space="preserve">. Në ndërkohë, duhet të rriten njohuritë për institucionet rreth rëndësisë së kornizës ligjore dhe modeleve që janë në dispozicion për të kontraktuar OSHC-të në ofrimin e shërbimeve. </w:t>
      </w:r>
    </w:p>
    <w:p w:rsidR="001D02C2" w:rsidRPr="00B6593D" w:rsidRDefault="001D02C2" w:rsidP="00CF44A5">
      <w:pPr>
        <w:spacing w:line="276" w:lineRule="auto"/>
        <w:rPr>
          <w:rFonts w:cstheme="majorHAnsi"/>
          <w:color w:val="000000" w:themeColor="text1"/>
          <w:szCs w:val="22"/>
        </w:rPr>
      </w:pPr>
    </w:p>
    <w:p w:rsidR="005E4770" w:rsidRPr="00B6593D" w:rsidRDefault="005E4770" w:rsidP="00CF44A5">
      <w:pPr>
        <w:spacing w:line="276" w:lineRule="auto"/>
        <w:rPr>
          <w:rFonts w:cstheme="majorHAnsi"/>
          <w:color w:val="000000" w:themeColor="text1"/>
          <w:szCs w:val="22"/>
        </w:rPr>
      </w:pPr>
    </w:p>
    <w:p w:rsidR="001D02C2" w:rsidRPr="00B6593D" w:rsidRDefault="001D02C2" w:rsidP="00CF44A5">
      <w:pPr>
        <w:spacing w:line="276" w:lineRule="auto"/>
        <w:rPr>
          <w:rFonts w:cstheme="majorHAnsi"/>
          <w:color w:val="000000" w:themeColor="text1"/>
          <w:szCs w:val="22"/>
        </w:rPr>
      </w:pPr>
    </w:p>
    <w:p w:rsidR="00CF44A5" w:rsidRPr="00B6593D" w:rsidRDefault="00683A01" w:rsidP="00CF44A5">
      <w:pPr>
        <w:spacing w:line="276" w:lineRule="auto"/>
        <w:rPr>
          <w:rFonts w:cstheme="majorHAnsi"/>
          <w:color w:val="000000" w:themeColor="text1"/>
          <w:szCs w:val="22"/>
        </w:rPr>
      </w:pPr>
      <w:r>
        <w:rPr>
          <w:rFonts w:cstheme="majorHAnsi"/>
          <w:color w:val="000000" w:themeColor="text1"/>
          <w:szCs w:val="22"/>
        </w:rPr>
        <w:pict>
          <v:rect id="_x0000_i1033" style="width:468pt;height:1.5pt" o:hralign="center" o:hrstd="t" o:hrnoshade="t" o:hr="t" fillcolor="gray [1629]" stroked="f"/>
        </w:pict>
      </w:r>
    </w:p>
    <w:tbl>
      <w:tblPr>
        <w:tblW w:w="0" w:type="auto"/>
        <w:tblLook w:val="04A0" w:firstRow="1" w:lastRow="0" w:firstColumn="1" w:lastColumn="0" w:noHBand="0" w:noVBand="1"/>
      </w:tblPr>
      <w:tblGrid>
        <w:gridCol w:w="372"/>
        <w:gridCol w:w="1656"/>
        <w:gridCol w:w="493"/>
        <w:gridCol w:w="6829"/>
      </w:tblGrid>
      <w:tr w:rsidR="00CF44A5" w:rsidRPr="00B6593D" w:rsidTr="00221DE3">
        <w:trPr>
          <w:trHeight w:val="432"/>
        </w:trPr>
        <w:tc>
          <w:tcPr>
            <w:tcW w:w="372" w:type="dxa"/>
            <w:tcBorders>
              <w:top w:val="single" w:sz="4" w:space="0" w:color="auto"/>
              <w:left w:val="single" w:sz="4" w:space="0" w:color="auto"/>
              <w:bottom w:val="single" w:sz="12" w:space="0" w:color="7F7F7F" w:themeColor="text1" w:themeTint="80"/>
              <w:right w:val="single" w:sz="4" w:space="0" w:color="auto"/>
            </w:tcBorders>
            <w:shd w:val="clear" w:color="auto" w:fill="808080" w:themeFill="background1" w:themeFillShade="80"/>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w:t>
            </w:r>
          </w:p>
        </w:tc>
        <w:tc>
          <w:tcPr>
            <w:tcW w:w="1656" w:type="dxa"/>
            <w:tcBorders>
              <w:top w:val="single" w:sz="4" w:space="0" w:color="auto"/>
              <w:bottom w:val="single" w:sz="12" w:space="0" w:color="7F7F7F" w:themeColor="text1" w:themeTint="80"/>
              <w:right w:val="single" w:sz="4" w:space="0" w:color="auto"/>
            </w:tcBorders>
            <w:shd w:val="clear" w:color="auto" w:fill="808080" w:themeFill="background1" w:themeFillShade="80"/>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 xml:space="preserve">Objektivi </w:t>
            </w:r>
            <w:r w:rsidR="00357A19" w:rsidRPr="00B6593D">
              <w:rPr>
                <w:rFonts w:cstheme="majorHAnsi"/>
                <w:color w:val="000000" w:themeColor="text1"/>
                <w:szCs w:val="22"/>
              </w:rPr>
              <w:t>strategjik 3</w:t>
            </w:r>
          </w:p>
        </w:tc>
        <w:tc>
          <w:tcPr>
            <w:tcW w:w="7322" w:type="dxa"/>
            <w:gridSpan w:val="2"/>
            <w:tcBorders>
              <w:top w:val="single" w:sz="4" w:space="0" w:color="auto"/>
              <w:left w:val="single" w:sz="4" w:space="0" w:color="auto"/>
              <w:bottom w:val="single" w:sz="12" w:space="0" w:color="7F7F7F" w:themeColor="text1" w:themeTint="80"/>
              <w:right w:val="single" w:sz="4" w:space="0" w:color="auto"/>
            </w:tcBorders>
            <w:shd w:val="clear" w:color="auto" w:fill="808080" w:themeFill="background1" w:themeFillShade="80"/>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Objektivi</w:t>
            </w:r>
            <w:r w:rsidR="00357A19" w:rsidRPr="00B6593D">
              <w:rPr>
                <w:rFonts w:cstheme="majorHAnsi"/>
                <w:color w:val="000000" w:themeColor="text1"/>
                <w:szCs w:val="22"/>
              </w:rPr>
              <w:t>at s</w:t>
            </w:r>
            <w:r w:rsidRPr="00B6593D">
              <w:rPr>
                <w:rFonts w:cstheme="majorHAnsi"/>
                <w:color w:val="000000" w:themeColor="text1"/>
                <w:szCs w:val="22"/>
              </w:rPr>
              <w:t>pecifik</w:t>
            </w:r>
            <w:r w:rsidR="00357A19" w:rsidRPr="00B6593D">
              <w:rPr>
                <w:rFonts w:cstheme="majorHAnsi"/>
                <w:color w:val="000000" w:themeColor="text1"/>
                <w:szCs w:val="22"/>
              </w:rPr>
              <w:t>e</w:t>
            </w:r>
          </w:p>
        </w:tc>
      </w:tr>
      <w:tr w:rsidR="00CF44A5" w:rsidRPr="00B6593D" w:rsidTr="00221DE3">
        <w:tc>
          <w:tcPr>
            <w:tcW w:w="372" w:type="dxa"/>
            <w:vMerge w:val="restart"/>
            <w:tcBorders>
              <w:top w:val="single" w:sz="12" w:space="0" w:color="7F7F7F" w:themeColor="text1" w:themeTint="80"/>
              <w:left w:val="single" w:sz="4" w:space="0" w:color="auto"/>
              <w:right w:val="single" w:sz="4" w:space="0" w:color="auto"/>
            </w:tcBorders>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3</w:t>
            </w:r>
          </w:p>
        </w:tc>
        <w:tc>
          <w:tcPr>
            <w:tcW w:w="1656" w:type="dxa"/>
            <w:vMerge w:val="restart"/>
            <w:tcBorders>
              <w:top w:val="single" w:sz="12" w:space="0" w:color="7F7F7F" w:themeColor="text1" w:themeTint="80"/>
              <w:right w:val="single" w:sz="4" w:space="0" w:color="auto"/>
            </w:tcBorders>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Zhvillimi i praktikave dhe procedurave transparente për kontraktimin e OSHC-ve për ofrimin e shërbimeve publike</w:t>
            </w:r>
          </w:p>
        </w:tc>
        <w:tc>
          <w:tcPr>
            <w:tcW w:w="493" w:type="dxa"/>
            <w:tcBorders>
              <w:top w:val="single" w:sz="12" w:space="0" w:color="7F7F7F" w:themeColor="text1" w:themeTint="80"/>
              <w:left w:val="single" w:sz="4" w:space="0" w:color="auto"/>
            </w:tcBorders>
            <w:vAlign w:val="center"/>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3.1</w:t>
            </w:r>
          </w:p>
        </w:tc>
        <w:tc>
          <w:tcPr>
            <w:tcW w:w="6829" w:type="dxa"/>
            <w:tcBorders>
              <w:top w:val="single" w:sz="12" w:space="0" w:color="7F7F7F" w:themeColor="text1" w:themeTint="80"/>
              <w:left w:val="single" w:sz="4" w:space="0" w:color="auto"/>
              <w:right w:val="single" w:sz="4" w:space="0" w:color="auto"/>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 xml:space="preserve">Përmirësimi i kornizës së përgjithshme </w:t>
            </w:r>
            <w:r w:rsidR="005E4770" w:rsidRPr="00B6593D">
              <w:rPr>
                <w:rFonts w:cstheme="majorHAnsi"/>
                <w:color w:val="000000" w:themeColor="text1"/>
                <w:szCs w:val="22"/>
              </w:rPr>
              <w:t>politike</w:t>
            </w:r>
            <w:r w:rsidRPr="00B6593D">
              <w:rPr>
                <w:rFonts w:cstheme="majorHAnsi"/>
                <w:color w:val="000000" w:themeColor="text1"/>
                <w:szCs w:val="22"/>
              </w:rPr>
              <w:t xml:space="preserve"> dhe institucionale për rregullimin e aktiviteteve ekonomike të OSHC-ve</w:t>
            </w:r>
          </w:p>
        </w:tc>
      </w:tr>
      <w:tr w:rsidR="00CF44A5" w:rsidRPr="00B6593D" w:rsidTr="00221DE3">
        <w:tc>
          <w:tcPr>
            <w:tcW w:w="372" w:type="dxa"/>
            <w:vMerge/>
            <w:tcBorders>
              <w:left w:val="single" w:sz="4" w:space="0" w:color="auto"/>
              <w:right w:val="single" w:sz="4" w:space="0" w:color="auto"/>
            </w:tcBorders>
          </w:tcPr>
          <w:p w:rsidR="00CF44A5" w:rsidRPr="00B6593D" w:rsidRDefault="00CF44A5" w:rsidP="00221DE3">
            <w:pPr>
              <w:spacing w:line="276" w:lineRule="auto"/>
              <w:jc w:val="center"/>
              <w:rPr>
                <w:rFonts w:cstheme="majorHAnsi"/>
                <w:color w:val="000000" w:themeColor="text1"/>
                <w:szCs w:val="22"/>
              </w:rPr>
            </w:pPr>
          </w:p>
        </w:tc>
        <w:tc>
          <w:tcPr>
            <w:tcW w:w="1656" w:type="dxa"/>
            <w:vMerge/>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p>
        </w:tc>
        <w:tc>
          <w:tcPr>
            <w:tcW w:w="493" w:type="dxa"/>
            <w:tcBorders>
              <w:left w:val="single" w:sz="4" w:space="0" w:color="auto"/>
            </w:tcBorders>
            <w:vAlign w:val="center"/>
          </w:tcPr>
          <w:p w:rsidR="00CF44A5" w:rsidRPr="00B6593D" w:rsidRDefault="00CF44A5" w:rsidP="00221DE3">
            <w:pPr>
              <w:pStyle w:val="HTMLPreformatted"/>
              <w:shd w:val="clear" w:color="auto" w:fill="FFFFFF"/>
              <w:spacing w:line="276" w:lineRule="auto"/>
              <w:rPr>
                <w:rFonts w:asciiTheme="majorHAnsi" w:hAnsiTheme="majorHAnsi" w:cstheme="majorHAnsi"/>
                <w:color w:val="000000" w:themeColor="text1"/>
                <w:sz w:val="22"/>
                <w:szCs w:val="22"/>
              </w:rPr>
            </w:pPr>
            <w:r w:rsidRPr="00B6593D">
              <w:rPr>
                <w:rFonts w:asciiTheme="majorHAnsi" w:hAnsiTheme="majorHAnsi" w:cstheme="majorHAnsi"/>
                <w:color w:val="000000" w:themeColor="text1"/>
                <w:sz w:val="22"/>
                <w:szCs w:val="22"/>
              </w:rPr>
              <w:t>3.2</w:t>
            </w:r>
          </w:p>
        </w:tc>
        <w:tc>
          <w:tcPr>
            <w:tcW w:w="6829" w:type="dxa"/>
            <w:tcBorders>
              <w:left w:val="single" w:sz="4" w:space="0" w:color="auto"/>
              <w:right w:val="single" w:sz="4" w:space="0" w:color="auto"/>
            </w:tcBorders>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Përmirësimi i njohurive të institucioneve rreth mundësive (modeleve) që janë në dispozicion për kontraktimin e OSHC-ve</w:t>
            </w:r>
          </w:p>
        </w:tc>
      </w:tr>
      <w:tr w:rsidR="00CF44A5" w:rsidRPr="00B6593D" w:rsidTr="00221DE3">
        <w:trPr>
          <w:trHeight w:val="922"/>
        </w:trPr>
        <w:tc>
          <w:tcPr>
            <w:tcW w:w="372" w:type="dxa"/>
            <w:vMerge/>
            <w:tcBorders>
              <w:left w:val="single" w:sz="4" w:space="0" w:color="auto"/>
              <w:right w:val="single" w:sz="4" w:space="0" w:color="auto"/>
            </w:tcBorders>
          </w:tcPr>
          <w:p w:rsidR="00CF44A5" w:rsidRPr="00B6593D" w:rsidRDefault="00CF44A5" w:rsidP="00221DE3">
            <w:pPr>
              <w:spacing w:line="276" w:lineRule="auto"/>
              <w:jc w:val="center"/>
              <w:rPr>
                <w:rFonts w:cstheme="majorHAnsi"/>
                <w:color w:val="000000" w:themeColor="text1"/>
                <w:szCs w:val="22"/>
              </w:rPr>
            </w:pPr>
          </w:p>
        </w:tc>
        <w:tc>
          <w:tcPr>
            <w:tcW w:w="1656" w:type="dxa"/>
            <w:vMerge/>
            <w:tcBorders>
              <w:right w:val="single" w:sz="4" w:space="0" w:color="auto"/>
            </w:tcBorders>
          </w:tcPr>
          <w:p w:rsidR="00CF44A5" w:rsidRPr="00B6593D" w:rsidRDefault="00CF44A5" w:rsidP="00221DE3">
            <w:pPr>
              <w:spacing w:line="276" w:lineRule="auto"/>
              <w:jc w:val="center"/>
              <w:rPr>
                <w:rFonts w:cstheme="majorHAnsi"/>
                <w:color w:val="000000" w:themeColor="text1"/>
                <w:szCs w:val="22"/>
              </w:rPr>
            </w:pPr>
          </w:p>
        </w:tc>
        <w:tc>
          <w:tcPr>
            <w:tcW w:w="493" w:type="dxa"/>
            <w:tcBorders>
              <w:left w:val="single" w:sz="4" w:space="0" w:color="auto"/>
            </w:tcBorders>
            <w:vAlign w:val="center"/>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3.3</w:t>
            </w:r>
          </w:p>
        </w:tc>
        <w:tc>
          <w:tcPr>
            <w:tcW w:w="6829" w:type="dxa"/>
            <w:tcBorders>
              <w:left w:val="single" w:sz="4" w:space="0" w:color="auto"/>
              <w:right w:val="single" w:sz="4" w:space="0" w:color="auto"/>
            </w:tcBorders>
          </w:tcPr>
          <w:p w:rsidR="00CF44A5" w:rsidRPr="00B6593D" w:rsidRDefault="005E4770" w:rsidP="00221DE3">
            <w:pPr>
              <w:spacing w:line="276" w:lineRule="auto"/>
              <w:jc w:val="left"/>
              <w:rPr>
                <w:rFonts w:cstheme="majorHAnsi"/>
                <w:color w:val="000000" w:themeColor="text1"/>
                <w:szCs w:val="22"/>
              </w:rPr>
            </w:pPr>
            <w:r w:rsidRPr="00B6593D">
              <w:rPr>
                <w:rFonts w:cstheme="majorHAnsi"/>
              </w:rPr>
              <w:t xml:space="preserve">Mbledhje dhe publikim sistematik i informatave mbi potencialin e OshC-ve </w:t>
            </w:r>
            <w:r w:rsidR="006D4A8E">
              <w:rPr>
                <w:rFonts w:cstheme="majorHAnsi"/>
              </w:rPr>
              <w:t>për</w:t>
            </w:r>
            <w:r w:rsidRPr="00B6593D">
              <w:rPr>
                <w:rFonts w:cstheme="majorHAnsi"/>
              </w:rPr>
              <w:t xml:space="preserve"> te ofruar sh</w:t>
            </w:r>
            <w:r w:rsidRPr="00B6593D">
              <w:rPr>
                <w:rFonts w:cstheme="majorHAnsi"/>
                <w:color w:val="000000" w:themeColor="text1"/>
                <w:szCs w:val="22"/>
              </w:rPr>
              <w:t>ërbime publike për institucionet publike” (te harmonizohet pastaj edhe ne Plan te Veprimit</w:t>
            </w:r>
          </w:p>
        </w:tc>
      </w:tr>
      <w:tr w:rsidR="00CF44A5" w:rsidRPr="00B6593D" w:rsidTr="00221DE3">
        <w:trPr>
          <w:trHeight w:val="1656"/>
        </w:trPr>
        <w:tc>
          <w:tcPr>
            <w:tcW w:w="372" w:type="dxa"/>
            <w:vMerge/>
            <w:tcBorders>
              <w:left w:val="single" w:sz="4" w:space="0" w:color="auto"/>
              <w:bottom w:val="single" w:sz="4" w:space="0" w:color="auto"/>
              <w:right w:val="single" w:sz="4" w:space="0" w:color="auto"/>
            </w:tcBorders>
          </w:tcPr>
          <w:p w:rsidR="00CF44A5" w:rsidRPr="00B6593D" w:rsidRDefault="00CF44A5" w:rsidP="00221DE3">
            <w:pPr>
              <w:spacing w:line="276" w:lineRule="auto"/>
              <w:jc w:val="center"/>
              <w:rPr>
                <w:rFonts w:cstheme="majorHAnsi"/>
                <w:color w:val="000000" w:themeColor="text1"/>
                <w:szCs w:val="22"/>
              </w:rPr>
            </w:pPr>
          </w:p>
        </w:tc>
        <w:tc>
          <w:tcPr>
            <w:tcW w:w="1656" w:type="dxa"/>
            <w:vMerge/>
            <w:tcBorders>
              <w:bottom w:val="single" w:sz="4" w:space="0" w:color="auto"/>
              <w:right w:val="single" w:sz="4" w:space="0" w:color="auto"/>
            </w:tcBorders>
          </w:tcPr>
          <w:p w:rsidR="00CF44A5" w:rsidRPr="00B6593D" w:rsidRDefault="00CF44A5" w:rsidP="00221DE3">
            <w:pPr>
              <w:spacing w:line="276" w:lineRule="auto"/>
              <w:jc w:val="center"/>
              <w:rPr>
                <w:rFonts w:cstheme="majorHAnsi"/>
                <w:color w:val="000000" w:themeColor="text1"/>
                <w:szCs w:val="22"/>
              </w:rPr>
            </w:pPr>
          </w:p>
        </w:tc>
        <w:tc>
          <w:tcPr>
            <w:tcW w:w="493" w:type="dxa"/>
            <w:tcBorders>
              <w:left w:val="single" w:sz="4" w:space="0" w:color="auto"/>
              <w:bottom w:val="single" w:sz="4" w:space="0" w:color="auto"/>
            </w:tcBorders>
            <w:vAlign w:val="center"/>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3.4</w:t>
            </w:r>
          </w:p>
        </w:tc>
        <w:tc>
          <w:tcPr>
            <w:tcW w:w="6829" w:type="dxa"/>
            <w:tcBorders>
              <w:left w:val="single" w:sz="4" w:space="0" w:color="auto"/>
              <w:bottom w:val="single" w:sz="4" w:space="0" w:color="auto"/>
              <w:right w:val="single" w:sz="4" w:space="0" w:color="auto"/>
            </w:tcBorders>
          </w:tcPr>
          <w:p w:rsidR="00CF44A5" w:rsidRPr="00B6593D" w:rsidRDefault="00CF44A5" w:rsidP="00221DE3">
            <w:pPr>
              <w:spacing w:line="276" w:lineRule="auto"/>
              <w:jc w:val="left"/>
              <w:rPr>
                <w:rFonts w:cstheme="majorHAnsi"/>
                <w:color w:val="000000" w:themeColor="text1"/>
                <w:szCs w:val="22"/>
              </w:rPr>
            </w:pPr>
          </w:p>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Përmirësimi i legjislacionit që rregullojnë standardet dhe procedurat për ofrimin e shërbimeve publike nga OSHC-të</w:t>
            </w:r>
          </w:p>
        </w:tc>
      </w:tr>
    </w:tbl>
    <w:p w:rsidR="00CF44A5" w:rsidRPr="00B6593D" w:rsidRDefault="00CF44A5" w:rsidP="00CF44A5">
      <w:pPr>
        <w:pStyle w:val="Heading2"/>
        <w:rPr>
          <w:rFonts w:eastAsia="Times New Roman" w:cstheme="majorHAnsi"/>
          <w:color w:val="000000" w:themeColor="text1"/>
          <w:u w:val="single"/>
        </w:rPr>
      </w:pPr>
      <w:bookmarkStart w:id="20" w:name="_Toc533365726"/>
      <w:bookmarkStart w:id="21" w:name="_Toc535484357"/>
      <w:bookmarkStart w:id="22" w:name="_Toc536000964"/>
      <w:r w:rsidRPr="00B6593D">
        <w:rPr>
          <w:rFonts w:eastAsia="Times New Roman" w:cstheme="majorHAnsi"/>
          <w:color w:val="000000" w:themeColor="text1"/>
          <w:u w:val="single"/>
        </w:rPr>
        <w:t xml:space="preserve">Objektivi </w:t>
      </w:r>
      <w:r w:rsidR="00357A19" w:rsidRPr="00B6593D">
        <w:rPr>
          <w:rFonts w:eastAsia="Times New Roman" w:cstheme="majorHAnsi"/>
          <w:color w:val="000000" w:themeColor="text1"/>
          <w:u w:val="single"/>
        </w:rPr>
        <w:t xml:space="preserve">strategjik </w:t>
      </w:r>
      <w:r w:rsidRPr="00B6593D">
        <w:rPr>
          <w:rFonts w:eastAsia="Times New Roman" w:cstheme="majorHAnsi"/>
          <w:color w:val="000000" w:themeColor="text1"/>
          <w:u w:val="single"/>
        </w:rPr>
        <w:t xml:space="preserve">4. Rritja e vullnetarizmit në programet </w:t>
      </w:r>
      <w:r w:rsidR="00357A19" w:rsidRPr="00B6593D">
        <w:rPr>
          <w:rFonts w:eastAsia="Times New Roman" w:cstheme="majorHAnsi"/>
          <w:color w:val="000000" w:themeColor="text1"/>
          <w:u w:val="single"/>
        </w:rPr>
        <w:t>me</w:t>
      </w:r>
      <w:r w:rsidRPr="00B6593D">
        <w:rPr>
          <w:rFonts w:eastAsia="Times New Roman" w:cstheme="majorHAnsi"/>
          <w:color w:val="000000" w:themeColor="text1"/>
          <w:u w:val="single"/>
        </w:rPr>
        <w:t xml:space="preserve"> interes publik</w:t>
      </w:r>
      <w:bookmarkEnd w:id="20"/>
      <w:bookmarkEnd w:id="21"/>
      <w:bookmarkEnd w:id="22"/>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Për të ofruar një bazë të qëndrueshme analitike </w:t>
      </w:r>
      <w:r w:rsidR="00357A19" w:rsidRPr="00B6593D">
        <w:rPr>
          <w:rFonts w:cstheme="majorHAnsi"/>
          <w:color w:val="000000" w:themeColor="text1"/>
          <w:szCs w:val="22"/>
        </w:rPr>
        <w:t>në</w:t>
      </w:r>
      <w:r w:rsidRPr="00B6593D">
        <w:rPr>
          <w:rFonts w:cstheme="majorHAnsi"/>
          <w:color w:val="000000" w:themeColor="text1"/>
          <w:szCs w:val="22"/>
        </w:rPr>
        <w:t xml:space="preserve"> formulimin e masave për mbështet</w:t>
      </w:r>
      <w:r w:rsidR="00357A19" w:rsidRPr="00B6593D">
        <w:rPr>
          <w:rFonts w:cstheme="majorHAnsi"/>
          <w:color w:val="000000" w:themeColor="text1"/>
          <w:szCs w:val="22"/>
        </w:rPr>
        <w:t>je në</w:t>
      </w:r>
      <w:r w:rsidRPr="00B6593D">
        <w:rPr>
          <w:rFonts w:cstheme="majorHAnsi"/>
          <w:color w:val="000000" w:themeColor="text1"/>
          <w:szCs w:val="22"/>
        </w:rPr>
        <w:t xml:space="preserve"> zhvillimin e vullnetarizmit, është </w:t>
      </w:r>
      <w:r w:rsidR="00357A19" w:rsidRPr="00B6593D">
        <w:rPr>
          <w:rFonts w:cstheme="majorHAnsi"/>
          <w:color w:val="000000" w:themeColor="text1"/>
          <w:szCs w:val="22"/>
        </w:rPr>
        <w:t>realizuar</w:t>
      </w:r>
      <w:r w:rsidRPr="00B6593D">
        <w:rPr>
          <w:rFonts w:cstheme="majorHAnsi"/>
          <w:color w:val="000000" w:themeColor="text1"/>
          <w:szCs w:val="22"/>
        </w:rPr>
        <w:t xml:space="preserve"> një studim </w:t>
      </w:r>
      <w:r w:rsidR="00357A19" w:rsidRPr="00B6593D">
        <w:rPr>
          <w:rFonts w:cstheme="majorHAnsi"/>
          <w:color w:val="000000" w:themeColor="text1"/>
          <w:szCs w:val="22"/>
        </w:rPr>
        <w:t>mbi</w:t>
      </w:r>
      <w:r w:rsidRPr="00B6593D">
        <w:rPr>
          <w:rFonts w:cstheme="majorHAnsi"/>
          <w:color w:val="000000" w:themeColor="text1"/>
          <w:szCs w:val="22"/>
        </w:rPr>
        <w:t xml:space="preserve"> vullnetarizmi</w:t>
      </w:r>
      <w:r w:rsidR="00357A19" w:rsidRPr="00B6593D">
        <w:rPr>
          <w:rFonts w:cstheme="majorHAnsi"/>
          <w:color w:val="000000" w:themeColor="text1"/>
          <w:szCs w:val="22"/>
        </w:rPr>
        <w:t>n</w:t>
      </w:r>
      <w:r w:rsidRPr="00B6593D">
        <w:rPr>
          <w:rFonts w:cstheme="majorHAnsi"/>
          <w:color w:val="000000" w:themeColor="text1"/>
          <w:szCs w:val="22"/>
        </w:rPr>
        <w:t xml:space="preserve">. </w:t>
      </w:r>
      <w:r w:rsidR="00357A19" w:rsidRPr="00B6593D">
        <w:rPr>
          <w:rFonts w:cstheme="majorHAnsi"/>
          <w:color w:val="000000" w:themeColor="text1"/>
          <w:szCs w:val="22"/>
        </w:rPr>
        <w:t>Për ketë qëllim j</w:t>
      </w:r>
      <w:r w:rsidRPr="00B6593D">
        <w:rPr>
          <w:rFonts w:cstheme="majorHAnsi"/>
          <w:color w:val="000000" w:themeColor="text1"/>
          <w:szCs w:val="22"/>
        </w:rPr>
        <w:t xml:space="preserve">anë organizuar një sërë aktivitetesh në formën e punëtorive dhe grupeve të fokusit, të cilat kanë ndihmuar në formësimin e këtij studimi. </w: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Gjetjet kryesore </w:t>
      </w:r>
      <w:r w:rsidR="00357A19" w:rsidRPr="00B6593D">
        <w:rPr>
          <w:rFonts w:cstheme="majorHAnsi"/>
          <w:color w:val="000000" w:themeColor="text1"/>
          <w:szCs w:val="22"/>
        </w:rPr>
        <w:t xml:space="preserve">të studimit </w:t>
      </w:r>
      <w:r w:rsidRPr="00B6593D">
        <w:rPr>
          <w:rFonts w:cstheme="majorHAnsi"/>
          <w:color w:val="000000" w:themeColor="text1"/>
          <w:szCs w:val="22"/>
        </w:rPr>
        <w:t>tregojnë se duhet të hiqen pengesat administrative dhe ligjore dhe të miratohet një politikë me qëllim të vendosjes së standardeve dhe procedurave për angazhimin e vullnetarëve. Në përputhje më këtë</w:t>
      </w:r>
      <w:r w:rsidR="00357A19" w:rsidRPr="00B6593D">
        <w:rPr>
          <w:rFonts w:cstheme="majorHAnsi"/>
          <w:color w:val="000000" w:themeColor="text1"/>
          <w:szCs w:val="22"/>
        </w:rPr>
        <w:t xml:space="preserve"> dhe </w:t>
      </w:r>
      <w:r w:rsidRPr="00B6593D">
        <w:rPr>
          <w:rFonts w:cstheme="majorHAnsi"/>
          <w:color w:val="000000" w:themeColor="text1"/>
          <w:szCs w:val="22"/>
        </w:rPr>
        <w:t>varësisht nga zhvillimi i politik</w:t>
      </w:r>
      <w:r w:rsidR="00357A19" w:rsidRPr="00B6593D">
        <w:rPr>
          <w:rFonts w:cstheme="majorHAnsi"/>
          <w:color w:val="000000" w:themeColor="text1"/>
          <w:szCs w:val="22"/>
        </w:rPr>
        <w:t xml:space="preserve">ave </w:t>
      </w:r>
      <w:r w:rsidRPr="00B6593D">
        <w:rPr>
          <w:rFonts w:cstheme="majorHAnsi"/>
          <w:color w:val="000000" w:themeColor="text1"/>
          <w:szCs w:val="22"/>
        </w:rPr>
        <w:t>të vendoset një sistem për monitorimin dhe raportimin mbi vullnetarizmin në vend.</w:t>
      </w:r>
      <w:r w:rsidR="00357A19" w:rsidRPr="00B6593D">
        <w:rPr>
          <w:rFonts w:cstheme="majorHAnsi"/>
          <w:color w:val="000000" w:themeColor="text1"/>
          <w:szCs w:val="22"/>
        </w:rPr>
        <w:t xml:space="preserve"> </w:t>
      </w:r>
      <w:r w:rsidRPr="00B6593D">
        <w:rPr>
          <w:rFonts w:cstheme="majorHAnsi"/>
          <w:color w:val="000000" w:themeColor="text1"/>
          <w:szCs w:val="22"/>
        </w:rPr>
        <w:t xml:space="preserve">Në ketë kontekst, Kryeministri ka </w:t>
      </w:r>
      <w:r w:rsidR="00815710" w:rsidRPr="00B6593D">
        <w:rPr>
          <w:rFonts w:cstheme="majorHAnsi"/>
          <w:color w:val="000000" w:themeColor="text1"/>
          <w:szCs w:val="22"/>
        </w:rPr>
        <w:t xml:space="preserve">dhënë mbështetjen e tij për zhvillimin e vulllnetarizmit dhe si rezultat </w:t>
      </w:r>
      <w:r w:rsidRPr="00B6593D">
        <w:rPr>
          <w:rFonts w:cstheme="majorHAnsi"/>
          <w:color w:val="000000" w:themeColor="text1"/>
          <w:szCs w:val="22"/>
        </w:rPr>
        <w:t xml:space="preserve">është </w:t>
      </w:r>
      <w:r w:rsidR="00815710" w:rsidRPr="00B6593D">
        <w:rPr>
          <w:rFonts w:cstheme="majorHAnsi"/>
          <w:color w:val="000000" w:themeColor="text1"/>
          <w:szCs w:val="22"/>
        </w:rPr>
        <w:t>themeluar</w:t>
      </w:r>
      <w:r w:rsidRPr="00B6593D">
        <w:rPr>
          <w:rFonts w:cstheme="majorHAnsi"/>
          <w:color w:val="000000" w:themeColor="text1"/>
          <w:szCs w:val="22"/>
        </w:rPr>
        <w:t xml:space="preserve"> ekipi për Hartimin e koncept Dokumentit për Vullnetarizëm.</w:t>
      </w:r>
    </w:p>
    <w:p w:rsidR="00CF44A5" w:rsidRPr="00B6593D" w:rsidRDefault="00683A01" w:rsidP="00CF44A5">
      <w:pPr>
        <w:spacing w:line="276" w:lineRule="auto"/>
        <w:rPr>
          <w:rFonts w:cstheme="majorHAnsi"/>
          <w:color w:val="000000" w:themeColor="text1"/>
          <w:szCs w:val="22"/>
        </w:rPr>
      </w:pPr>
      <w:r>
        <w:rPr>
          <w:rFonts w:cstheme="majorHAnsi"/>
          <w:b/>
          <w:bCs/>
          <w:color w:val="000000" w:themeColor="text1"/>
          <w:szCs w:val="22"/>
        </w:rPr>
        <w:pict>
          <v:rect id="_x0000_i1034" style="width:468pt;height:1.5pt" o:hralign="center" o:hrstd="t" o:hrnoshade="t" o:hr="t" fillcolor="gray [1629]"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1656"/>
        <w:gridCol w:w="493"/>
        <w:gridCol w:w="6830"/>
      </w:tblGrid>
      <w:tr w:rsidR="00CF44A5" w:rsidRPr="00B6593D" w:rsidTr="00C627AC">
        <w:trPr>
          <w:trHeight w:val="432"/>
        </w:trPr>
        <w:tc>
          <w:tcPr>
            <w:tcW w:w="372" w:type="dxa"/>
            <w:shd w:val="clear" w:color="auto" w:fill="808080" w:themeFill="background1" w:themeFillShade="80"/>
            <w:vAlign w:val="center"/>
          </w:tcPr>
          <w:p w:rsidR="00CF44A5" w:rsidRPr="00B6593D" w:rsidRDefault="00CF44A5" w:rsidP="00221DE3">
            <w:pPr>
              <w:jc w:val="center"/>
              <w:rPr>
                <w:rFonts w:eastAsia="Calibri" w:cstheme="majorHAnsi"/>
                <w:b/>
                <w:bCs/>
                <w:color w:val="000000" w:themeColor="text1"/>
              </w:rPr>
            </w:pPr>
            <w:r w:rsidRPr="00B6593D">
              <w:rPr>
                <w:rFonts w:eastAsia="Calibri" w:cstheme="majorHAnsi"/>
                <w:b/>
                <w:bCs/>
                <w:color w:val="000000" w:themeColor="text1"/>
              </w:rPr>
              <w:t>#</w:t>
            </w:r>
          </w:p>
        </w:tc>
        <w:tc>
          <w:tcPr>
            <w:tcW w:w="1656" w:type="dxa"/>
            <w:shd w:val="clear" w:color="auto" w:fill="808080" w:themeFill="background1" w:themeFillShade="80"/>
            <w:vAlign w:val="center"/>
          </w:tcPr>
          <w:p w:rsidR="00CF44A5" w:rsidRPr="00B6593D" w:rsidRDefault="00CF44A5" w:rsidP="00221DE3">
            <w:pPr>
              <w:jc w:val="center"/>
              <w:rPr>
                <w:rFonts w:eastAsia="Calibri" w:cstheme="majorHAnsi"/>
                <w:b/>
                <w:bCs/>
                <w:color w:val="000000" w:themeColor="text1"/>
                <w:szCs w:val="22"/>
              </w:rPr>
            </w:pPr>
            <w:r w:rsidRPr="00B6593D">
              <w:rPr>
                <w:rFonts w:eastAsia="Calibri" w:cstheme="majorHAnsi"/>
                <w:b/>
                <w:bCs/>
                <w:color w:val="000000" w:themeColor="text1"/>
                <w:szCs w:val="22"/>
              </w:rPr>
              <w:t xml:space="preserve">Objektivi </w:t>
            </w:r>
            <w:r w:rsidR="00815710" w:rsidRPr="00B6593D">
              <w:rPr>
                <w:rFonts w:eastAsia="Calibri" w:cstheme="majorHAnsi"/>
                <w:b/>
                <w:bCs/>
                <w:color w:val="000000" w:themeColor="text1"/>
                <w:szCs w:val="22"/>
              </w:rPr>
              <w:t>strategjik 4</w:t>
            </w:r>
          </w:p>
        </w:tc>
        <w:tc>
          <w:tcPr>
            <w:tcW w:w="7332" w:type="dxa"/>
            <w:gridSpan w:val="2"/>
            <w:shd w:val="clear" w:color="auto" w:fill="808080" w:themeFill="background1" w:themeFillShade="80"/>
            <w:vAlign w:val="center"/>
          </w:tcPr>
          <w:p w:rsidR="00CF44A5" w:rsidRPr="00B6593D" w:rsidRDefault="00CF44A5" w:rsidP="00221DE3">
            <w:pPr>
              <w:jc w:val="center"/>
              <w:rPr>
                <w:rFonts w:eastAsia="Calibri" w:cstheme="majorHAnsi"/>
                <w:b/>
                <w:bCs/>
                <w:color w:val="000000" w:themeColor="text1"/>
                <w:szCs w:val="22"/>
              </w:rPr>
            </w:pPr>
            <w:r w:rsidRPr="00B6593D">
              <w:rPr>
                <w:rFonts w:eastAsia="Calibri" w:cstheme="majorHAnsi"/>
                <w:b/>
                <w:bCs/>
                <w:color w:val="000000" w:themeColor="text1"/>
                <w:szCs w:val="22"/>
              </w:rPr>
              <w:t>Objektiv</w:t>
            </w:r>
            <w:r w:rsidR="00815710" w:rsidRPr="00B6593D">
              <w:rPr>
                <w:rFonts w:eastAsia="Calibri" w:cstheme="majorHAnsi"/>
                <w:b/>
                <w:bCs/>
                <w:color w:val="000000" w:themeColor="text1"/>
                <w:szCs w:val="22"/>
              </w:rPr>
              <w:t xml:space="preserve">at </w:t>
            </w:r>
            <w:r w:rsidRPr="00B6593D">
              <w:rPr>
                <w:rFonts w:eastAsia="Calibri" w:cstheme="majorHAnsi"/>
                <w:b/>
                <w:bCs/>
                <w:color w:val="000000" w:themeColor="text1"/>
                <w:szCs w:val="22"/>
              </w:rPr>
              <w:t>Specifik</w:t>
            </w:r>
            <w:r w:rsidR="00815710" w:rsidRPr="00B6593D">
              <w:rPr>
                <w:rFonts w:eastAsia="Calibri" w:cstheme="majorHAnsi"/>
                <w:b/>
                <w:bCs/>
                <w:color w:val="000000" w:themeColor="text1"/>
                <w:szCs w:val="22"/>
              </w:rPr>
              <w:t>e</w:t>
            </w:r>
          </w:p>
        </w:tc>
      </w:tr>
      <w:tr w:rsidR="00CF44A5" w:rsidRPr="00B6593D" w:rsidTr="00C627AC">
        <w:tc>
          <w:tcPr>
            <w:tcW w:w="372" w:type="dxa"/>
            <w:vMerge w:val="restart"/>
            <w:vAlign w:val="center"/>
          </w:tcPr>
          <w:p w:rsidR="00CF44A5" w:rsidRPr="00B6593D" w:rsidRDefault="00CF44A5" w:rsidP="00221DE3">
            <w:pPr>
              <w:spacing w:line="276" w:lineRule="auto"/>
              <w:jc w:val="center"/>
              <w:rPr>
                <w:rFonts w:cstheme="majorHAnsi"/>
                <w:color w:val="000000" w:themeColor="text1"/>
                <w:szCs w:val="22"/>
              </w:rPr>
            </w:pPr>
            <w:r w:rsidRPr="00B6593D">
              <w:rPr>
                <w:rFonts w:cstheme="majorHAnsi"/>
                <w:color w:val="000000" w:themeColor="text1"/>
                <w:szCs w:val="22"/>
              </w:rPr>
              <w:t>4</w:t>
            </w:r>
          </w:p>
        </w:tc>
        <w:tc>
          <w:tcPr>
            <w:tcW w:w="1656" w:type="dxa"/>
            <w:vMerge w:val="restart"/>
            <w:vAlign w:val="center"/>
          </w:tcPr>
          <w:p w:rsidR="00CF44A5" w:rsidRPr="00B6593D" w:rsidRDefault="007A1F86" w:rsidP="00221DE3">
            <w:pPr>
              <w:spacing w:line="276" w:lineRule="auto"/>
              <w:jc w:val="center"/>
              <w:rPr>
                <w:rFonts w:cstheme="majorHAnsi"/>
                <w:color w:val="000000" w:themeColor="text1"/>
                <w:szCs w:val="22"/>
              </w:rPr>
            </w:pPr>
            <w:r w:rsidRPr="00B6593D">
              <w:rPr>
                <w:rFonts w:cstheme="majorHAnsi"/>
                <w:color w:val="000000" w:themeColor="text1"/>
                <w:szCs w:val="22"/>
              </w:rPr>
              <w:t>Rritja</w:t>
            </w:r>
            <w:r w:rsidR="00CF44A5" w:rsidRPr="00B6593D">
              <w:rPr>
                <w:rFonts w:cstheme="majorHAnsi"/>
                <w:color w:val="000000" w:themeColor="text1"/>
                <w:szCs w:val="22"/>
              </w:rPr>
              <w:t xml:space="preserve"> </w:t>
            </w:r>
            <w:r w:rsidR="00815710" w:rsidRPr="00B6593D">
              <w:rPr>
                <w:rFonts w:cstheme="majorHAnsi"/>
                <w:color w:val="000000" w:themeColor="text1"/>
                <w:szCs w:val="22"/>
              </w:rPr>
              <w:t>e</w:t>
            </w:r>
            <w:r w:rsidR="00CF44A5" w:rsidRPr="00B6593D">
              <w:rPr>
                <w:rFonts w:cstheme="majorHAnsi"/>
                <w:color w:val="000000" w:themeColor="text1"/>
                <w:szCs w:val="22"/>
              </w:rPr>
              <w:t xml:space="preserve"> vullnetarizmit në programet në interes publik </w:t>
            </w:r>
          </w:p>
        </w:tc>
        <w:tc>
          <w:tcPr>
            <w:tcW w:w="493" w:type="dxa"/>
            <w:vAlign w:val="center"/>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4.1</w:t>
            </w:r>
          </w:p>
        </w:tc>
        <w:tc>
          <w:tcPr>
            <w:tcW w:w="6839" w:type="dxa"/>
          </w:tcPr>
          <w:p w:rsidR="00CF44A5"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 xml:space="preserve">Krijimi e një kornize gjithëpërfshirëse ligjore dhe institucionale për të mbështetur zhvillimin e vullnetarizmit  </w:t>
            </w:r>
          </w:p>
          <w:p w:rsidR="00C627AC" w:rsidRPr="00B6593D" w:rsidRDefault="00C627AC" w:rsidP="00221DE3">
            <w:pPr>
              <w:spacing w:line="276" w:lineRule="auto"/>
              <w:jc w:val="left"/>
              <w:rPr>
                <w:rFonts w:cstheme="majorHAnsi"/>
                <w:color w:val="000000" w:themeColor="text1"/>
                <w:szCs w:val="22"/>
              </w:rPr>
            </w:pPr>
          </w:p>
        </w:tc>
      </w:tr>
      <w:tr w:rsidR="00CF44A5" w:rsidRPr="00B6593D" w:rsidTr="00C627AC">
        <w:tc>
          <w:tcPr>
            <w:tcW w:w="372" w:type="dxa"/>
            <w:vMerge/>
          </w:tcPr>
          <w:p w:rsidR="00CF44A5" w:rsidRPr="00B6593D" w:rsidRDefault="00CF44A5" w:rsidP="00221DE3">
            <w:pPr>
              <w:spacing w:line="276" w:lineRule="auto"/>
              <w:jc w:val="center"/>
              <w:rPr>
                <w:rFonts w:cstheme="majorHAnsi"/>
                <w:color w:val="000000" w:themeColor="text1"/>
                <w:szCs w:val="22"/>
              </w:rPr>
            </w:pPr>
          </w:p>
        </w:tc>
        <w:tc>
          <w:tcPr>
            <w:tcW w:w="1656" w:type="dxa"/>
            <w:vMerge/>
          </w:tcPr>
          <w:p w:rsidR="00CF44A5" w:rsidRPr="00B6593D" w:rsidRDefault="00CF44A5" w:rsidP="00221DE3">
            <w:pPr>
              <w:spacing w:line="276" w:lineRule="auto"/>
              <w:jc w:val="center"/>
              <w:rPr>
                <w:rFonts w:cstheme="majorHAnsi"/>
                <w:color w:val="000000" w:themeColor="text1"/>
                <w:szCs w:val="22"/>
              </w:rPr>
            </w:pPr>
          </w:p>
        </w:tc>
        <w:tc>
          <w:tcPr>
            <w:tcW w:w="493" w:type="dxa"/>
            <w:vAlign w:val="center"/>
          </w:tcPr>
          <w:p w:rsidR="00CF44A5" w:rsidRPr="00B6593D" w:rsidRDefault="00CF44A5" w:rsidP="00221DE3">
            <w:pPr>
              <w:pStyle w:val="HTMLPreformatted"/>
              <w:shd w:val="clear" w:color="auto" w:fill="FFFFFF"/>
              <w:spacing w:line="276" w:lineRule="auto"/>
              <w:rPr>
                <w:rFonts w:asciiTheme="majorHAnsi" w:hAnsiTheme="majorHAnsi" w:cstheme="majorHAnsi"/>
                <w:color w:val="000000" w:themeColor="text1"/>
                <w:sz w:val="22"/>
                <w:szCs w:val="22"/>
              </w:rPr>
            </w:pPr>
            <w:r w:rsidRPr="00B6593D">
              <w:rPr>
                <w:rFonts w:asciiTheme="majorHAnsi" w:hAnsiTheme="majorHAnsi" w:cstheme="majorHAnsi"/>
                <w:color w:val="000000" w:themeColor="text1"/>
                <w:sz w:val="22"/>
                <w:szCs w:val="22"/>
              </w:rPr>
              <w:t>4.2</w:t>
            </w:r>
          </w:p>
        </w:tc>
        <w:tc>
          <w:tcPr>
            <w:tcW w:w="6839" w:type="dxa"/>
          </w:tcPr>
          <w:p w:rsidR="00CF44A5" w:rsidRPr="00B6593D" w:rsidRDefault="00CF44A5" w:rsidP="00221DE3">
            <w:pPr>
              <w:pStyle w:val="HTMLPreformatted"/>
              <w:shd w:val="clear" w:color="auto" w:fill="FFFFFF"/>
              <w:spacing w:line="276" w:lineRule="auto"/>
              <w:rPr>
                <w:rFonts w:asciiTheme="majorHAnsi" w:hAnsiTheme="majorHAnsi" w:cstheme="majorHAnsi"/>
                <w:color w:val="000000" w:themeColor="text1"/>
                <w:sz w:val="22"/>
                <w:szCs w:val="22"/>
              </w:rPr>
            </w:pPr>
            <w:r w:rsidRPr="00B6593D">
              <w:rPr>
                <w:rFonts w:asciiTheme="majorHAnsi" w:hAnsiTheme="majorHAnsi" w:cstheme="majorHAnsi"/>
                <w:color w:val="000000" w:themeColor="text1"/>
                <w:sz w:val="22"/>
                <w:szCs w:val="22"/>
              </w:rPr>
              <w:t>Zhvillimi i kapaciteteve të OSHC-ve për të rekrutuar, angazhuar dhe menaxhuar vullnetarët</w:t>
            </w:r>
          </w:p>
          <w:p w:rsidR="00CF44A5" w:rsidRPr="00B6593D" w:rsidRDefault="00CF44A5" w:rsidP="00221DE3">
            <w:pPr>
              <w:pStyle w:val="HTMLPreformatted"/>
              <w:shd w:val="clear" w:color="auto" w:fill="FFFFFF"/>
              <w:spacing w:line="276" w:lineRule="auto"/>
              <w:rPr>
                <w:rFonts w:asciiTheme="majorHAnsi" w:hAnsiTheme="majorHAnsi" w:cstheme="majorHAnsi"/>
                <w:color w:val="000000" w:themeColor="text1"/>
                <w:sz w:val="22"/>
                <w:szCs w:val="22"/>
              </w:rPr>
            </w:pPr>
          </w:p>
        </w:tc>
      </w:tr>
      <w:tr w:rsidR="00CF44A5" w:rsidRPr="00B6593D" w:rsidTr="00C627AC">
        <w:tc>
          <w:tcPr>
            <w:tcW w:w="372" w:type="dxa"/>
            <w:vMerge/>
          </w:tcPr>
          <w:p w:rsidR="00CF44A5" w:rsidRPr="00B6593D" w:rsidRDefault="00CF44A5" w:rsidP="00221DE3">
            <w:pPr>
              <w:spacing w:line="276" w:lineRule="auto"/>
              <w:jc w:val="center"/>
              <w:rPr>
                <w:rFonts w:cstheme="majorHAnsi"/>
                <w:color w:val="000000" w:themeColor="text1"/>
                <w:szCs w:val="22"/>
              </w:rPr>
            </w:pPr>
          </w:p>
        </w:tc>
        <w:tc>
          <w:tcPr>
            <w:tcW w:w="1656" w:type="dxa"/>
            <w:vMerge/>
          </w:tcPr>
          <w:p w:rsidR="00CF44A5" w:rsidRPr="00B6593D" w:rsidRDefault="00CF44A5" w:rsidP="00221DE3">
            <w:pPr>
              <w:spacing w:line="276" w:lineRule="auto"/>
              <w:jc w:val="center"/>
              <w:rPr>
                <w:rFonts w:cstheme="majorHAnsi"/>
                <w:color w:val="000000" w:themeColor="text1"/>
                <w:szCs w:val="22"/>
              </w:rPr>
            </w:pPr>
          </w:p>
        </w:tc>
        <w:tc>
          <w:tcPr>
            <w:tcW w:w="493" w:type="dxa"/>
            <w:vAlign w:val="center"/>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4.3</w:t>
            </w:r>
          </w:p>
        </w:tc>
        <w:tc>
          <w:tcPr>
            <w:tcW w:w="6839" w:type="dxa"/>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 xml:space="preserve">Rritja e njohurive të qytetarëve për mundësitë dhe vlerat e vullnetarizmit </w:t>
            </w:r>
          </w:p>
          <w:p w:rsidR="00CF44A5" w:rsidRPr="00B6593D" w:rsidRDefault="00CF44A5" w:rsidP="00221DE3">
            <w:pPr>
              <w:spacing w:line="276" w:lineRule="auto"/>
              <w:jc w:val="left"/>
              <w:rPr>
                <w:rFonts w:cstheme="majorHAnsi"/>
                <w:color w:val="000000" w:themeColor="text1"/>
                <w:szCs w:val="22"/>
              </w:rPr>
            </w:pPr>
          </w:p>
        </w:tc>
      </w:tr>
    </w:tbl>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pStyle w:val="Heading1"/>
        <w:rPr>
          <w:rFonts w:eastAsia="Times New Roman" w:cstheme="majorHAnsi"/>
          <w:color w:val="000000" w:themeColor="text1"/>
          <w:u w:val="single"/>
        </w:rPr>
      </w:pPr>
      <w:bookmarkStart w:id="23" w:name="_Toc536000965"/>
      <w:r w:rsidRPr="00B6593D">
        <w:rPr>
          <w:rFonts w:eastAsia="Times New Roman" w:cstheme="majorHAnsi"/>
          <w:color w:val="000000" w:themeColor="text1"/>
          <w:u w:val="single"/>
        </w:rPr>
        <w:t>Monitorimi dhe Vlerësimi i Zbatimit të Strategjisë</w:t>
      </w:r>
      <w:bookmarkEnd w:id="23"/>
    </w:p>
    <w:p w:rsidR="00CF44A5" w:rsidRPr="00B6593D" w:rsidRDefault="00CF44A5" w:rsidP="00CF44A5">
      <w:pPr>
        <w:rPr>
          <w:rFonts w:cstheme="majorHAnsi"/>
          <w:color w:val="000000" w:themeColor="text1"/>
        </w:rPr>
      </w:pPr>
    </w:p>
    <w:p w:rsidR="00EB5C9D" w:rsidRDefault="00CF44A5" w:rsidP="00CF44A5">
      <w:pPr>
        <w:spacing w:line="276" w:lineRule="auto"/>
        <w:rPr>
          <w:rFonts w:cstheme="majorHAnsi"/>
          <w:color w:val="000000" w:themeColor="text1"/>
          <w:szCs w:val="22"/>
        </w:rPr>
      </w:pPr>
      <w:r w:rsidRPr="00B6593D">
        <w:rPr>
          <w:rFonts w:cstheme="majorHAnsi"/>
          <w:bCs/>
          <w:iCs/>
          <w:color w:val="000000" w:themeColor="text1"/>
          <w:szCs w:val="22"/>
        </w:rPr>
        <w:t>Mekanizmi kryesor që do ta koordinoj të gjithë procesin e bashkëpunimit të qeveri</w:t>
      </w:r>
      <w:r w:rsidR="00EB5C9D" w:rsidRPr="00B6593D">
        <w:rPr>
          <w:rFonts w:cstheme="majorHAnsi"/>
          <w:bCs/>
          <w:iCs/>
          <w:color w:val="000000" w:themeColor="text1"/>
          <w:szCs w:val="22"/>
        </w:rPr>
        <w:t xml:space="preserve">së me </w:t>
      </w:r>
      <w:r w:rsidRPr="00B6593D">
        <w:rPr>
          <w:rFonts w:cstheme="majorHAnsi"/>
          <w:bCs/>
          <w:iCs/>
          <w:color w:val="000000" w:themeColor="text1"/>
          <w:szCs w:val="22"/>
        </w:rPr>
        <w:t>shoqëri</w:t>
      </w:r>
      <w:r w:rsidR="00EB5C9D" w:rsidRPr="00B6593D">
        <w:rPr>
          <w:rFonts w:cstheme="majorHAnsi"/>
          <w:bCs/>
          <w:iCs/>
          <w:color w:val="000000" w:themeColor="text1"/>
          <w:szCs w:val="22"/>
        </w:rPr>
        <w:t>në</w:t>
      </w:r>
      <w:r w:rsidRPr="00B6593D">
        <w:rPr>
          <w:rFonts w:cstheme="majorHAnsi"/>
          <w:bCs/>
          <w:iCs/>
          <w:color w:val="000000" w:themeColor="text1"/>
          <w:szCs w:val="22"/>
        </w:rPr>
        <w:t xml:space="preserve"> civile do të jetë Këshilli për bashkëpunim qeveri –</w:t>
      </w:r>
      <w:r w:rsidR="00EB5C9D" w:rsidRPr="00B6593D">
        <w:rPr>
          <w:rFonts w:cstheme="majorHAnsi"/>
          <w:bCs/>
          <w:iCs/>
          <w:color w:val="000000" w:themeColor="text1"/>
          <w:szCs w:val="22"/>
        </w:rPr>
        <w:t xml:space="preserve"> </w:t>
      </w:r>
      <w:r w:rsidRPr="00B6593D">
        <w:rPr>
          <w:rFonts w:cstheme="majorHAnsi"/>
          <w:bCs/>
          <w:iCs/>
          <w:color w:val="000000" w:themeColor="text1"/>
          <w:szCs w:val="22"/>
        </w:rPr>
        <w:t>shoqëri civile.</w:t>
      </w:r>
      <w:r w:rsidRPr="00B6593D">
        <w:rPr>
          <w:rFonts w:cstheme="majorHAnsi"/>
          <w:color w:val="000000" w:themeColor="text1"/>
          <w:szCs w:val="22"/>
        </w:rPr>
        <w:t xml:space="preserve"> </w:t>
      </w:r>
      <w:r w:rsidR="00EB5C9D" w:rsidRPr="00B6593D">
        <w:rPr>
          <w:rFonts w:cstheme="majorHAnsi"/>
          <w:color w:val="000000" w:themeColor="text1"/>
          <w:szCs w:val="22"/>
        </w:rPr>
        <w:t>Mandati i Këshillit nuk do të kufizohet vetëm në zbatimin e strategjisë qeveritare por ai do të mbuloj të gjitha aspektet e bashkëpunimit në mes të qeverisë dhe shoqërisë civile</w:t>
      </w:r>
      <w:r w:rsidR="007B5307">
        <w:rPr>
          <w:rFonts w:cstheme="majorHAnsi"/>
          <w:color w:val="000000" w:themeColor="text1"/>
          <w:szCs w:val="22"/>
        </w:rPr>
        <w:t xml:space="preserve"> duke përfshirë:</w:t>
      </w:r>
    </w:p>
    <w:p w:rsidR="007B5307" w:rsidRPr="007B5307" w:rsidRDefault="007B5307" w:rsidP="007B5307">
      <w:pPr>
        <w:spacing w:line="276" w:lineRule="auto"/>
        <w:rPr>
          <w:rFonts w:cstheme="majorHAnsi"/>
          <w:color w:val="000000" w:themeColor="text1"/>
          <w:szCs w:val="22"/>
        </w:rPr>
      </w:pPr>
      <w:r w:rsidRPr="007B5307">
        <w:rPr>
          <w:rFonts w:cstheme="majorHAnsi"/>
          <w:color w:val="000000" w:themeColor="text1"/>
          <w:szCs w:val="22"/>
        </w:rPr>
        <w:t>- Monitorimi</w:t>
      </w:r>
      <w:r>
        <w:rPr>
          <w:rFonts w:cstheme="majorHAnsi"/>
          <w:color w:val="000000" w:themeColor="text1"/>
          <w:szCs w:val="22"/>
        </w:rPr>
        <w:t xml:space="preserve">n e </w:t>
      </w:r>
      <w:r w:rsidRPr="007B5307">
        <w:rPr>
          <w:rFonts w:cstheme="majorHAnsi"/>
          <w:color w:val="000000" w:themeColor="text1"/>
          <w:szCs w:val="22"/>
        </w:rPr>
        <w:t>zbatimit të Strategjisë së Qeverisë për Bashkëpunim me Shoqërinë Civile 2019-2023</w:t>
      </w:r>
    </w:p>
    <w:p w:rsidR="007B5307" w:rsidRPr="007B5307" w:rsidRDefault="007B5307" w:rsidP="007B5307">
      <w:pPr>
        <w:spacing w:line="276" w:lineRule="auto"/>
        <w:rPr>
          <w:rFonts w:cstheme="majorHAnsi"/>
          <w:color w:val="000000" w:themeColor="text1"/>
          <w:szCs w:val="22"/>
        </w:rPr>
      </w:pPr>
      <w:r w:rsidRPr="007B5307">
        <w:rPr>
          <w:rFonts w:cstheme="majorHAnsi"/>
          <w:color w:val="000000" w:themeColor="text1"/>
          <w:szCs w:val="22"/>
        </w:rPr>
        <w:t xml:space="preserve">- </w:t>
      </w:r>
      <w:r>
        <w:rPr>
          <w:rFonts w:cstheme="majorHAnsi"/>
          <w:color w:val="000000" w:themeColor="text1"/>
          <w:szCs w:val="22"/>
        </w:rPr>
        <w:t>Dhënien e opinioneve</w:t>
      </w:r>
      <w:r w:rsidRPr="007B5307">
        <w:rPr>
          <w:rFonts w:cstheme="majorHAnsi"/>
          <w:color w:val="000000" w:themeColor="text1"/>
          <w:szCs w:val="22"/>
        </w:rPr>
        <w:t xml:space="preserve"> dhe këshillave për projektligjet, dokumentet strategjike dhe </w:t>
      </w:r>
      <w:r>
        <w:rPr>
          <w:rFonts w:cstheme="majorHAnsi"/>
          <w:color w:val="000000" w:themeColor="text1"/>
          <w:szCs w:val="22"/>
        </w:rPr>
        <w:t xml:space="preserve">dokumenteve </w:t>
      </w:r>
      <w:r w:rsidRPr="007B5307">
        <w:rPr>
          <w:rFonts w:cstheme="majorHAnsi"/>
          <w:color w:val="000000" w:themeColor="text1"/>
          <w:szCs w:val="22"/>
        </w:rPr>
        <w:t>tjera që ndikojnë në punën dhe zhvillimin e OSHC-ve, me qëllim të krijimit të një mjedisi më të përshtatshëm për shoqërinë civile në Kosovë</w:t>
      </w:r>
    </w:p>
    <w:p w:rsidR="007B5307" w:rsidRDefault="007B5307" w:rsidP="007B5307">
      <w:pPr>
        <w:spacing w:line="276" w:lineRule="auto"/>
        <w:rPr>
          <w:rFonts w:cstheme="majorHAnsi"/>
          <w:color w:val="000000" w:themeColor="text1"/>
          <w:szCs w:val="22"/>
        </w:rPr>
      </w:pPr>
      <w:r w:rsidRPr="007B5307">
        <w:rPr>
          <w:rFonts w:cstheme="majorHAnsi"/>
          <w:color w:val="000000" w:themeColor="text1"/>
          <w:szCs w:val="22"/>
        </w:rPr>
        <w:t xml:space="preserve">- </w:t>
      </w:r>
      <w:r>
        <w:rPr>
          <w:rFonts w:cstheme="majorHAnsi"/>
          <w:color w:val="000000" w:themeColor="text1"/>
          <w:szCs w:val="22"/>
        </w:rPr>
        <w:t>Jep opinion</w:t>
      </w:r>
      <w:r w:rsidRPr="007B5307">
        <w:rPr>
          <w:rFonts w:cstheme="majorHAnsi"/>
          <w:color w:val="000000" w:themeColor="text1"/>
          <w:szCs w:val="22"/>
        </w:rPr>
        <w:t xml:space="preserve"> </w:t>
      </w:r>
      <w:r>
        <w:rPr>
          <w:rFonts w:cstheme="majorHAnsi"/>
          <w:color w:val="000000" w:themeColor="text1"/>
          <w:szCs w:val="22"/>
        </w:rPr>
        <w:t>për</w:t>
      </w:r>
      <w:r w:rsidRPr="007B5307">
        <w:rPr>
          <w:rFonts w:cstheme="majorHAnsi"/>
          <w:color w:val="000000" w:themeColor="text1"/>
          <w:szCs w:val="22"/>
        </w:rPr>
        <w:t xml:space="preserve"> raportet vjetore mbi shpërndarjen e fondeve publike për mbështetjen e qëndrueshmërisë së programeve dhe projekteve të OSHC-ve.</w:t>
      </w:r>
    </w:p>
    <w:p w:rsidR="007B5307" w:rsidRPr="00B6593D" w:rsidRDefault="007B5307" w:rsidP="007B5307">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Institucioni kryesor për </w:t>
      </w:r>
      <w:r w:rsidR="00EB5C9D" w:rsidRPr="00B6593D">
        <w:rPr>
          <w:rFonts w:cstheme="majorHAnsi"/>
          <w:color w:val="000000" w:themeColor="text1"/>
          <w:szCs w:val="22"/>
        </w:rPr>
        <w:t xml:space="preserve">koordinimin </w:t>
      </w:r>
      <w:r w:rsidRPr="00B6593D">
        <w:rPr>
          <w:rFonts w:cstheme="majorHAnsi"/>
          <w:color w:val="000000" w:themeColor="text1"/>
          <w:szCs w:val="22"/>
        </w:rPr>
        <w:t xml:space="preserve">e punës së Këshilli do të jetë </w:t>
      </w:r>
      <w:r w:rsidR="007B5307" w:rsidRPr="00B6593D">
        <w:rPr>
          <w:rFonts w:cstheme="majorHAnsi"/>
          <w:bCs/>
          <w:color w:val="000000" w:themeColor="text1"/>
          <w:szCs w:val="22"/>
        </w:rPr>
        <w:t>Zyra për Qeverisje të Mirë</w:t>
      </w:r>
      <w:r w:rsidR="007B5307">
        <w:rPr>
          <w:rFonts w:cstheme="majorHAnsi"/>
          <w:bCs/>
          <w:color w:val="000000" w:themeColor="text1"/>
          <w:szCs w:val="22"/>
        </w:rPr>
        <w:t>/</w:t>
      </w:r>
      <w:r w:rsidRPr="00B6593D">
        <w:rPr>
          <w:rFonts w:cstheme="majorHAnsi"/>
          <w:bCs/>
          <w:color w:val="000000" w:themeColor="text1"/>
          <w:szCs w:val="22"/>
        </w:rPr>
        <w:t>Zyra e Kryeministrit</w:t>
      </w:r>
      <w:r w:rsidR="008F1881" w:rsidRPr="00B6593D">
        <w:rPr>
          <w:rFonts w:cstheme="majorHAnsi"/>
          <w:bCs/>
          <w:color w:val="000000" w:themeColor="text1"/>
          <w:szCs w:val="22"/>
        </w:rPr>
        <w:t xml:space="preserve"> e cila do të shërbej edhe si sekretaria</w:t>
      </w:r>
      <w:r w:rsidR="007B5307">
        <w:rPr>
          <w:rFonts w:cstheme="majorHAnsi"/>
          <w:bCs/>
          <w:color w:val="000000" w:themeColor="text1"/>
          <w:szCs w:val="22"/>
        </w:rPr>
        <w:t>t</w:t>
      </w:r>
      <w:r w:rsidR="008F1881" w:rsidRPr="00B6593D">
        <w:rPr>
          <w:rFonts w:cstheme="majorHAnsi"/>
          <w:bCs/>
          <w:color w:val="000000" w:themeColor="text1"/>
          <w:szCs w:val="22"/>
        </w:rPr>
        <w:t xml:space="preserve"> i këshillit</w:t>
      </w:r>
      <w:r w:rsidRPr="00B6593D">
        <w:rPr>
          <w:rFonts w:cstheme="majorHAnsi"/>
          <w:bCs/>
          <w:color w:val="000000" w:themeColor="text1"/>
          <w:szCs w:val="22"/>
        </w:rPr>
        <w:t xml:space="preserve">. </w:t>
      </w:r>
      <w:r w:rsidRPr="00B6593D">
        <w:rPr>
          <w:rFonts w:cstheme="majorHAnsi"/>
          <w:color w:val="000000" w:themeColor="text1"/>
          <w:szCs w:val="22"/>
        </w:rPr>
        <w:t xml:space="preserve"> </w:t>
      </w:r>
      <w:r w:rsidR="008F1881" w:rsidRPr="00B6593D">
        <w:rPr>
          <w:rFonts w:cstheme="majorHAnsi"/>
          <w:color w:val="000000" w:themeColor="text1"/>
          <w:szCs w:val="22"/>
        </w:rPr>
        <w:t>Gjithashtu, m</w:t>
      </w:r>
      <w:r w:rsidRPr="00B6593D">
        <w:rPr>
          <w:rFonts w:cstheme="majorHAnsi"/>
          <w:color w:val="000000" w:themeColor="text1"/>
          <w:szCs w:val="22"/>
        </w:rPr>
        <w:t xml:space="preserve">onitorimi i zbatimit të Strategjisë për bashkëpunim Qeveri-Shoqëri civile  do të bëhet nga </w:t>
      </w:r>
      <w:bookmarkStart w:id="24" w:name="_Hlk533601502"/>
      <w:r w:rsidRPr="00B6593D">
        <w:rPr>
          <w:rFonts w:cstheme="majorHAnsi"/>
          <w:bCs/>
          <w:color w:val="000000" w:themeColor="text1"/>
          <w:szCs w:val="22"/>
        </w:rPr>
        <w:t>Zyra e Kryeministrit/Zyra për Qeverisje të Mirë</w:t>
      </w:r>
      <w:bookmarkEnd w:id="24"/>
      <w:r w:rsidRPr="00B6593D">
        <w:rPr>
          <w:rFonts w:cstheme="majorHAnsi"/>
          <w:bCs/>
          <w:color w:val="000000" w:themeColor="text1"/>
          <w:szCs w:val="22"/>
        </w:rPr>
        <w:t xml:space="preserve"> me </w:t>
      </w:r>
      <w:r w:rsidR="003F5EEC" w:rsidRPr="00B6593D">
        <w:rPr>
          <w:rFonts w:cstheme="majorHAnsi"/>
          <w:color w:val="000000" w:themeColor="text1"/>
          <w:szCs w:val="22"/>
        </w:rPr>
        <w:t>përkrahjen</w:t>
      </w:r>
      <w:r w:rsidRPr="00B6593D">
        <w:rPr>
          <w:rFonts w:cstheme="majorHAnsi"/>
          <w:color w:val="000000" w:themeColor="text1"/>
          <w:szCs w:val="22"/>
        </w:rPr>
        <w:t xml:space="preserve"> </w:t>
      </w:r>
      <w:bookmarkStart w:id="25" w:name="_Hlk533601439"/>
      <w:r w:rsidRPr="00B6593D">
        <w:rPr>
          <w:rFonts w:cstheme="majorHAnsi"/>
          <w:color w:val="000000" w:themeColor="text1"/>
          <w:szCs w:val="22"/>
        </w:rPr>
        <w:t xml:space="preserve">e </w:t>
      </w:r>
      <w:r w:rsidRPr="00B6593D">
        <w:rPr>
          <w:rFonts w:cstheme="majorHAnsi"/>
          <w:bCs/>
          <w:iCs/>
          <w:color w:val="000000" w:themeColor="text1"/>
          <w:szCs w:val="22"/>
        </w:rPr>
        <w:t>Këshillit për bashkëpunim qeveri –shoqëri civile</w:t>
      </w:r>
      <w:bookmarkEnd w:id="25"/>
      <w:r w:rsidRPr="00B6593D">
        <w:rPr>
          <w:rStyle w:val="FootnoteReference"/>
          <w:rFonts w:cstheme="majorHAnsi"/>
          <w:bCs/>
          <w:iCs/>
          <w:color w:val="000000" w:themeColor="text1"/>
          <w:szCs w:val="22"/>
        </w:rPr>
        <w:footnoteReference w:id="15"/>
      </w:r>
      <w:r w:rsidRPr="00B6593D">
        <w:rPr>
          <w:rFonts w:cstheme="majorHAnsi"/>
          <w:bCs/>
          <w:iCs/>
          <w:color w:val="000000" w:themeColor="text1"/>
          <w:szCs w:val="22"/>
        </w:rPr>
        <w:t xml:space="preserve">. </w:t>
      </w:r>
      <w:r w:rsidRPr="00B6593D">
        <w:rPr>
          <w:rFonts w:cstheme="majorHAnsi"/>
          <w:color w:val="000000" w:themeColor="text1"/>
          <w:szCs w:val="22"/>
        </w:rPr>
        <w:t xml:space="preserve">Monitorimi dhe </w:t>
      </w:r>
      <w:r w:rsidR="008F1881" w:rsidRPr="00B6593D">
        <w:rPr>
          <w:rFonts w:cstheme="majorHAnsi"/>
          <w:color w:val="000000" w:themeColor="text1"/>
          <w:szCs w:val="22"/>
        </w:rPr>
        <w:t>v</w:t>
      </w:r>
      <w:r w:rsidRPr="00B6593D">
        <w:rPr>
          <w:rFonts w:cstheme="majorHAnsi"/>
          <w:color w:val="000000" w:themeColor="text1"/>
          <w:szCs w:val="22"/>
        </w:rPr>
        <w:t xml:space="preserve">lerësimi </w:t>
      </w:r>
      <w:r w:rsidR="008F1881" w:rsidRPr="00B6593D">
        <w:rPr>
          <w:rFonts w:cstheme="majorHAnsi"/>
          <w:color w:val="000000" w:themeColor="text1"/>
        </w:rPr>
        <w:t xml:space="preserve">i strategjisë </w:t>
      </w:r>
      <w:r w:rsidRPr="00B6593D">
        <w:rPr>
          <w:rFonts w:cstheme="majorHAnsi"/>
          <w:color w:val="000000" w:themeColor="text1"/>
        </w:rPr>
        <w:t>mundëso</w:t>
      </w:r>
      <w:r w:rsidR="007B5307">
        <w:rPr>
          <w:rFonts w:cstheme="majorHAnsi"/>
          <w:color w:val="000000" w:themeColor="text1"/>
        </w:rPr>
        <w:t>n</w:t>
      </w:r>
      <w:r w:rsidRPr="00B6593D">
        <w:rPr>
          <w:rFonts w:cstheme="majorHAnsi"/>
          <w:color w:val="000000" w:themeColor="text1"/>
        </w:rPr>
        <w:t xml:space="preserve"> ruajtjen e qëndrueshmërisë dhe përcjelljen e </w:t>
      </w:r>
      <w:r w:rsidRPr="00B6593D">
        <w:rPr>
          <w:rFonts w:cstheme="majorHAnsi"/>
          <w:color w:val="000000" w:themeColor="text1"/>
          <w:szCs w:val="22"/>
        </w:rPr>
        <w:t xml:space="preserve">tërësisë së rregullave dhe treguesve të caktuar nga Komisioni Evropian (KE) në </w:t>
      </w:r>
      <w:r w:rsidRPr="00B6593D">
        <w:rPr>
          <w:rFonts w:cstheme="majorHAnsi"/>
          <w:iCs/>
          <w:color w:val="000000" w:themeColor="text1"/>
          <w:szCs w:val="22"/>
        </w:rPr>
        <w:t>Udhëzimet për Zgjerim të DP të Komisionit Evropian për Mbështetjen e BE-së për Shoqërinë Civile në Vendet e Zgjerimit 2014-2020</w:t>
      </w:r>
      <w:r w:rsidRPr="00B6593D">
        <w:rPr>
          <w:rFonts w:cstheme="majorHAnsi"/>
          <w:color w:val="000000" w:themeColor="text1"/>
          <w:szCs w:val="22"/>
        </w:rPr>
        <w:t xml:space="preserve">.  </w: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Përgjegjësia për bashkërendimin e monitorimit dhe raportimit të Strategjisë dhe planit të veprimit i takon </w:t>
      </w:r>
      <w:r w:rsidRPr="00B6593D">
        <w:rPr>
          <w:rFonts w:cstheme="majorHAnsi"/>
          <w:bCs/>
          <w:color w:val="000000" w:themeColor="text1"/>
          <w:szCs w:val="22"/>
        </w:rPr>
        <w:t>Zyrës për Qeverisje të Mirë /</w:t>
      </w:r>
      <w:r w:rsidRPr="00B6593D">
        <w:rPr>
          <w:rFonts w:cstheme="majorHAnsi"/>
          <w:color w:val="000000" w:themeColor="text1"/>
          <w:szCs w:val="22"/>
        </w:rPr>
        <w:t xml:space="preserve"> </w:t>
      </w:r>
      <w:r w:rsidRPr="00B6593D">
        <w:rPr>
          <w:rFonts w:cstheme="majorHAnsi"/>
          <w:bCs/>
          <w:color w:val="000000" w:themeColor="text1"/>
          <w:szCs w:val="22"/>
        </w:rPr>
        <w:t>Zyrës së Kryeministrit</w:t>
      </w:r>
      <w:r w:rsidR="007725A5" w:rsidRPr="00B6593D">
        <w:rPr>
          <w:rFonts w:cstheme="majorHAnsi"/>
          <w:bCs/>
          <w:color w:val="000000" w:themeColor="text1"/>
          <w:szCs w:val="22"/>
        </w:rPr>
        <w:t xml:space="preserve"> </w:t>
      </w:r>
      <w:bookmarkStart w:id="26" w:name="_Hlk535842839"/>
      <w:r w:rsidR="007725A5" w:rsidRPr="00B6593D">
        <w:rPr>
          <w:rFonts w:cstheme="majorHAnsi"/>
        </w:rPr>
        <w:t>por p</w:t>
      </w:r>
      <w:r w:rsidR="007725A5" w:rsidRPr="00B6593D">
        <w:rPr>
          <w:rFonts w:cstheme="majorHAnsi"/>
          <w:color w:val="000000" w:themeColor="text1"/>
          <w:szCs w:val="22"/>
        </w:rPr>
        <w:t>ë</w:t>
      </w:r>
      <w:r w:rsidR="007725A5" w:rsidRPr="00B6593D">
        <w:rPr>
          <w:rFonts w:cstheme="majorHAnsi"/>
        </w:rPr>
        <w:t>rfshirja e t</w:t>
      </w:r>
      <w:r w:rsidR="007725A5" w:rsidRPr="00B6593D">
        <w:rPr>
          <w:rFonts w:cstheme="majorHAnsi"/>
          <w:color w:val="000000" w:themeColor="text1"/>
          <w:szCs w:val="22"/>
        </w:rPr>
        <w:t>ë</w:t>
      </w:r>
      <w:r w:rsidR="007725A5" w:rsidRPr="00B6593D">
        <w:rPr>
          <w:rFonts w:cstheme="majorHAnsi"/>
        </w:rPr>
        <w:t xml:space="preserve"> gjitha institucioneve p</w:t>
      </w:r>
      <w:r w:rsidR="007725A5" w:rsidRPr="00B6593D">
        <w:rPr>
          <w:rFonts w:cstheme="majorHAnsi"/>
          <w:color w:val="000000" w:themeColor="text1"/>
          <w:szCs w:val="22"/>
        </w:rPr>
        <w:t>ë</w:t>
      </w:r>
      <w:r w:rsidR="007725A5" w:rsidRPr="00B6593D">
        <w:rPr>
          <w:rFonts w:cstheme="majorHAnsi"/>
        </w:rPr>
        <w:t>rgjegjese p</w:t>
      </w:r>
      <w:r w:rsidR="007725A5" w:rsidRPr="00B6593D">
        <w:rPr>
          <w:rFonts w:cstheme="majorHAnsi"/>
          <w:color w:val="000000" w:themeColor="text1"/>
          <w:szCs w:val="22"/>
        </w:rPr>
        <w:t>ë</w:t>
      </w:r>
      <w:r w:rsidR="007725A5" w:rsidRPr="00B6593D">
        <w:rPr>
          <w:rFonts w:cstheme="majorHAnsi"/>
        </w:rPr>
        <w:t>r aktivitete p</w:t>
      </w:r>
      <w:r w:rsidR="007725A5" w:rsidRPr="00B6593D">
        <w:rPr>
          <w:rFonts w:cstheme="majorHAnsi"/>
          <w:color w:val="000000" w:themeColor="text1"/>
          <w:szCs w:val="22"/>
        </w:rPr>
        <w:t>ë</w:t>
      </w:r>
      <w:r w:rsidR="007725A5" w:rsidRPr="00B6593D">
        <w:rPr>
          <w:rFonts w:cstheme="majorHAnsi"/>
        </w:rPr>
        <w:t xml:space="preserve">rkatese </w:t>
      </w:r>
      <w:r w:rsidR="007725A5" w:rsidRPr="00B6593D">
        <w:rPr>
          <w:rFonts w:cstheme="majorHAnsi"/>
          <w:color w:val="000000" w:themeColor="text1"/>
          <w:szCs w:val="22"/>
        </w:rPr>
        <w:t>ë</w:t>
      </w:r>
      <w:r w:rsidR="007725A5" w:rsidRPr="00B6593D">
        <w:rPr>
          <w:rFonts w:cstheme="majorHAnsi"/>
        </w:rPr>
        <w:t>sht</w:t>
      </w:r>
      <w:r w:rsidR="007725A5" w:rsidRPr="00B6593D">
        <w:rPr>
          <w:rFonts w:cstheme="majorHAnsi"/>
          <w:color w:val="000000" w:themeColor="text1"/>
          <w:szCs w:val="22"/>
        </w:rPr>
        <w:t>ë</w:t>
      </w:r>
      <w:r w:rsidR="007725A5" w:rsidRPr="00B6593D">
        <w:rPr>
          <w:rFonts w:cstheme="majorHAnsi"/>
        </w:rPr>
        <w:t xml:space="preserve"> vendimtare si p</w:t>
      </w:r>
      <w:r w:rsidR="007725A5" w:rsidRPr="00B6593D">
        <w:rPr>
          <w:rFonts w:cstheme="majorHAnsi"/>
          <w:color w:val="000000" w:themeColor="text1"/>
          <w:szCs w:val="22"/>
        </w:rPr>
        <w:t>ë</w:t>
      </w:r>
      <w:r w:rsidR="007725A5" w:rsidRPr="00B6593D">
        <w:rPr>
          <w:rFonts w:cstheme="majorHAnsi"/>
        </w:rPr>
        <w:t>r zbatim, ashtu edhe p</w:t>
      </w:r>
      <w:r w:rsidR="007725A5" w:rsidRPr="00B6593D">
        <w:rPr>
          <w:rFonts w:cstheme="majorHAnsi"/>
          <w:color w:val="000000" w:themeColor="text1"/>
          <w:szCs w:val="22"/>
        </w:rPr>
        <w:t>ë</w:t>
      </w:r>
      <w:r w:rsidR="007725A5" w:rsidRPr="00B6593D">
        <w:rPr>
          <w:rFonts w:cstheme="majorHAnsi"/>
        </w:rPr>
        <w:t xml:space="preserve">r monitorim e raportim te duhur. </w:t>
      </w:r>
      <w:bookmarkEnd w:id="26"/>
      <w:r w:rsidR="007725A5" w:rsidRPr="00B6593D">
        <w:rPr>
          <w:rFonts w:cstheme="majorHAnsi"/>
          <w:color w:val="000000" w:themeColor="text1"/>
          <w:szCs w:val="22"/>
        </w:rPr>
        <w:t xml:space="preserve">Këshilli është përgjegjës për të ofruar </w:t>
      </w:r>
      <w:r w:rsidR="007725A5" w:rsidRPr="00B6593D">
        <w:rPr>
          <w:rFonts w:cstheme="majorHAnsi"/>
        </w:rPr>
        <w:t>k</w:t>
      </w:r>
      <w:r w:rsidR="007725A5" w:rsidRPr="00B6593D">
        <w:rPr>
          <w:rFonts w:cstheme="majorHAnsi"/>
          <w:color w:val="000000" w:themeColor="text1"/>
          <w:szCs w:val="22"/>
        </w:rPr>
        <w:t>ë</w:t>
      </w:r>
      <w:r w:rsidR="007725A5" w:rsidRPr="00B6593D">
        <w:rPr>
          <w:rFonts w:cstheme="majorHAnsi"/>
        </w:rPr>
        <w:t>shilla dhe vler</w:t>
      </w:r>
      <w:r w:rsidR="007725A5" w:rsidRPr="00B6593D">
        <w:rPr>
          <w:rFonts w:cstheme="majorHAnsi"/>
          <w:color w:val="000000" w:themeColor="text1"/>
          <w:szCs w:val="22"/>
        </w:rPr>
        <w:t>ë</w:t>
      </w:r>
      <w:r w:rsidR="007725A5" w:rsidRPr="00B6593D">
        <w:rPr>
          <w:rFonts w:cstheme="majorHAnsi"/>
        </w:rPr>
        <w:t>sime mbi zbatimin e aktiviteteve t</w:t>
      </w:r>
      <w:r w:rsidR="007725A5" w:rsidRPr="00B6593D">
        <w:rPr>
          <w:rFonts w:cstheme="majorHAnsi"/>
          <w:color w:val="000000" w:themeColor="text1"/>
          <w:szCs w:val="22"/>
        </w:rPr>
        <w:t>ë</w:t>
      </w:r>
      <w:r w:rsidR="007725A5" w:rsidRPr="00B6593D">
        <w:rPr>
          <w:rFonts w:cstheme="majorHAnsi"/>
        </w:rPr>
        <w:t xml:space="preserve"> Strategjis</w:t>
      </w:r>
      <w:r w:rsidR="007725A5" w:rsidRPr="00B6593D">
        <w:rPr>
          <w:rFonts w:cstheme="majorHAnsi"/>
          <w:color w:val="000000" w:themeColor="text1"/>
          <w:szCs w:val="22"/>
        </w:rPr>
        <w:t>ë</w:t>
      </w:r>
      <w:r w:rsidR="007725A5" w:rsidRPr="00B6593D">
        <w:rPr>
          <w:rFonts w:cstheme="majorHAnsi"/>
        </w:rPr>
        <w:t xml:space="preserve"> dhe arritjen e objektivave strategjike</w:t>
      </w:r>
      <w:r w:rsidR="004521D1">
        <w:rPr>
          <w:rFonts w:cstheme="majorHAnsi"/>
        </w:rPr>
        <w:t xml:space="preserve"> dhe</w:t>
      </w:r>
      <w:r w:rsidRPr="00B6593D">
        <w:rPr>
          <w:rFonts w:cstheme="majorHAnsi"/>
          <w:color w:val="000000" w:themeColor="text1"/>
          <w:szCs w:val="22"/>
        </w:rPr>
        <w:t xml:space="preserve"> është përgjegjës për të ofruar konsulencë mbi cilësinë e monitorimit, vlerësimit dhe raportimit për Strategjinë, të bazuar në indikatorë cilësor me qëllim të evitimit të problemeve eventuale gjat</w:t>
      </w:r>
      <w:r w:rsidR="008F1881" w:rsidRPr="00B6593D">
        <w:rPr>
          <w:rFonts w:cstheme="majorHAnsi"/>
          <w:color w:val="000000" w:themeColor="text1"/>
          <w:szCs w:val="22"/>
        </w:rPr>
        <w:t>ë</w:t>
      </w:r>
      <w:r w:rsidRPr="00B6593D">
        <w:rPr>
          <w:rFonts w:cstheme="majorHAnsi"/>
          <w:color w:val="000000" w:themeColor="text1"/>
          <w:szCs w:val="22"/>
        </w:rPr>
        <w:t xml:space="preserve"> monitorimit të strategjisë. </w:t>
      </w:r>
      <w:r w:rsidRPr="00B6593D">
        <w:rPr>
          <w:rFonts w:cstheme="majorHAnsi"/>
          <w:color w:val="000000" w:themeColor="text1"/>
        </w:rPr>
        <w:t>Këshilli</w:t>
      </w:r>
      <w:r w:rsidR="008F1881" w:rsidRPr="00B6593D">
        <w:rPr>
          <w:rFonts w:cstheme="majorHAnsi"/>
          <w:color w:val="000000" w:themeColor="text1"/>
        </w:rPr>
        <w:t xml:space="preserve">, </w:t>
      </w:r>
      <w:r w:rsidRPr="00B6593D">
        <w:rPr>
          <w:rFonts w:cstheme="majorHAnsi"/>
          <w:color w:val="000000" w:themeColor="text1"/>
        </w:rPr>
        <w:t xml:space="preserve">përveç rolit të tij </w:t>
      </w:r>
      <w:r w:rsidR="008F1881" w:rsidRPr="00B6593D">
        <w:rPr>
          <w:rFonts w:cstheme="majorHAnsi"/>
          <w:color w:val="000000" w:themeColor="text1"/>
        </w:rPr>
        <w:t>për</w:t>
      </w:r>
      <w:r w:rsidRPr="00B6593D">
        <w:rPr>
          <w:rFonts w:cstheme="majorHAnsi"/>
          <w:color w:val="000000" w:themeColor="text1"/>
        </w:rPr>
        <w:t xml:space="preserve"> monitorim dhe vlerësim mund të iniciojë </w:t>
      </w:r>
      <w:r w:rsidR="008F1881" w:rsidRPr="00B6593D">
        <w:rPr>
          <w:rFonts w:cstheme="majorHAnsi"/>
          <w:color w:val="000000" w:themeColor="text1"/>
        </w:rPr>
        <w:t>dhe aplikojë</w:t>
      </w:r>
      <w:r w:rsidRPr="00B6593D">
        <w:rPr>
          <w:rFonts w:cstheme="majorHAnsi"/>
          <w:color w:val="000000" w:themeColor="text1"/>
        </w:rPr>
        <w:t xml:space="preserve"> masa për një zbatim më të suksesshëm të Strategjisë dhe politikave në praktikë. </w:t>
      </w:r>
      <w:r w:rsidRPr="00B6593D">
        <w:rPr>
          <w:rFonts w:cstheme="majorHAnsi"/>
          <w:color w:val="000000" w:themeColor="text1"/>
          <w:szCs w:val="22"/>
        </w:rPr>
        <w:t xml:space="preserve">Roli i </w:t>
      </w:r>
      <w:r w:rsidR="008F1881" w:rsidRPr="00B6593D">
        <w:rPr>
          <w:rFonts w:cstheme="majorHAnsi"/>
          <w:bCs/>
          <w:color w:val="000000" w:themeColor="text1"/>
          <w:szCs w:val="22"/>
        </w:rPr>
        <w:t xml:space="preserve">Zyrës për Qeverisje të Mirë </w:t>
      </w:r>
      <w:r w:rsidRPr="00B6593D">
        <w:rPr>
          <w:rFonts w:cstheme="majorHAnsi"/>
          <w:color w:val="000000" w:themeColor="text1"/>
          <w:szCs w:val="22"/>
        </w:rPr>
        <w:t xml:space="preserve">si Sekretariat i Këshillit është që të ofrojë mbështetje profesionale dhe administrative në përgatitjen e </w:t>
      </w:r>
      <w:r w:rsidR="008F1881" w:rsidRPr="00B6593D">
        <w:rPr>
          <w:rFonts w:cstheme="majorHAnsi"/>
          <w:color w:val="000000" w:themeColor="text1"/>
          <w:szCs w:val="22"/>
        </w:rPr>
        <w:t>takimeve</w:t>
      </w:r>
      <w:r w:rsidRPr="00B6593D">
        <w:rPr>
          <w:rFonts w:cstheme="majorHAnsi"/>
          <w:color w:val="000000" w:themeColor="text1"/>
          <w:szCs w:val="22"/>
        </w:rPr>
        <w:t xml:space="preserve"> të Këshillit, për të vlerësuar </w:t>
      </w:r>
      <w:r w:rsidR="008F1881" w:rsidRPr="00B6593D">
        <w:rPr>
          <w:rFonts w:cstheme="majorHAnsi"/>
          <w:color w:val="000000" w:themeColor="text1"/>
          <w:szCs w:val="22"/>
        </w:rPr>
        <w:t>nivelin e zbatimit të</w:t>
      </w:r>
      <w:r w:rsidRPr="00B6593D">
        <w:rPr>
          <w:rFonts w:cstheme="majorHAnsi"/>
          <w:color w:val="000000" w:themeColor="text1"/>
          <w:szCs w:val="22"/>
        </w:rPr>
        <w:t xml:space="preserve"> objektiva</w:t>
      </w:r>
      <w:r w:rsidR="008F1881" w:rsidRPr="00B6593D">
        <w:rPr>
          <w:rFonts w:cstheme="majorHAnsi"/>
          <w:color w:val="000000" w:themeColor="text1"/>
          <w:szCs w:val="22"/>
        </w:rPr>
        <w:t>ve</w:t>
      </w:r>
      <w:r w:rsidRPr="00B6593D">
        <w:rPr>
          <w:rFonts w:cstheme="majorHAnsi"/>
          <w:color w:val="000000" w:themeColor="text1"/>
          <w:szCs w:val="22"/>
        </w:rPr>
        <w:t xml:space="preserve"> dhe aktivitete</w:t>
      </w:r>
      <w:r w:rsidR="008F1881" w:rsidRPr="00B6593D">
        <w:rPr>
          <w:rFonts w:cstheme="majorHAnsi"/>
          <w:color w:val="000000" w:themeColor="text1"/>
          <w:szCs w:val="22"/>
        </w:rPr>
        <w:t>ve të</w:t>
      </w:r>
      <w:r w:rsidRPr="00B6593D">
        <w:rPr>
          <w:rFonts w:cstheme="majorHAnsi"/>
          <w:color w:val="000000" w:themeColor="text1"/>
          <w:szCs w:val="22"/>
        </w:rPr>
        <w:t xml:space="preserve"> Strategjisë</w:t>
      </w:r>
      <w:r w:rsidR="008F1881" w:rsidRPr="00B6593D">
        <w:rPr>
          <w:rFonts w:cstheme="majorHAnsi"/>
          <w:color w:val="000000" w:themeColor="text1"/>
          <w:szCs w:val="22"/>
        </w:rPr>
        <w:t xml:space="preserve"> dhe planit të veprimit</w:t>
      </w:r>
      <w:r w:rsidRPr="00B6593D">
        <w:rPr>
          <w:rFonts w:cstheme="majorHAnsi"/>
          <w:color w:val="000000" w:themeColor="text1"/>
          <w:szCs w:val="22"/>
        </w:rPr>
        <w:t xml:space="preserve">. </w: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rPr>
        <w:t xml:space="preserve">Përzgjedhja e anëtarëve të Këshillit do të </w:t>
      </w:r>
      <w:r w:rsidR="003F5EEC" w:rsidRPr="00B6593D">
        <w:rPr>
          <w:rFonts w:cstheme="majorHAnsi"/>
          <w:color w:val="000000" w:themeColor="text1"/>
        </w:rPr>
        <w:t>bëhet</w:t>
      </w:r>
      <w:r w:rsidRPr="00B6593D">
        <w:rPr>
          <w:rFonts w:cstheme="majorHAnsi"/>
          <w:color w:val="000000" w:themeColor="text1"/>
        </w:rPr>
        <w:t xml:space="preserve"> në mënyrë të hapur, transparente dhe të përgjegjshme. Kriteret për përzgjedhje në mënyrë të barabartë përfshijnë përfaqësimin (p.sh. kandidatët që kanë mbështetje të gjerë në shoqërinë civile, inkurajojnë emërimin e grave, anëtarët e komuniteteve jo-shumicë dhe grupet e nën-përfaqësuara) dhe eks</w:t>
      </w:r>
      <w:r w:rsidR="006D4A8E">
        <w:rPr>
          <w:rFonts w:cstheme="majorHAnsi"/>
          <w:color w:val="000000" w:themeColor="text1"/>
        </w:rPr>
        <w:t>për</w:t>
      </w:r>
      <w:r w:rsidRPr="00B6593D">
        <w:rPr>
          <w:rFonts w:cstheme="majorHAnsi"/>
          <w:color w:val="000000" w:themeColor="text1"/>
        </w:rPr>
        <w:t>tizën (p.sh. kandidatët që kanë njohuri, një fushë të caktuar</w:t>
      </w:r>
      <w:r w:rsidR="008F1881" w:rsidRPr="00B6593D">
        <w:rPr>
          <w:rFonts w:cstheme="majorHAnsi"/>
          <w:color w:val="000000" w:themeColor="text1"/>
        </w:rPr>
        <w:t xml:space="preserve"> </w:t>
      </w:r>
      <w:r w:rsidRPr="00B6593D">
        <w:rPr>
          <w:rFonts w:cstheme="majorHAnsi"/>
          <w:color w:val="000000" w:themeColor="text1"/>
        </w:rPr>
        <w:t xml:space="preserve">tematike) të anëtarëve të përzgjedhur që vijnë nga institucionet publike dhe nga radhët e shoqërisë civile. Secili anëtar duhet gjithashtu të plotësojë kriteret minimale, duke përfshirë vitet minimale të punës dhe përvojën në fushën dhe sektorin përkatës (publik ose shoqëri civile) etj. Udhëzimet e mësipërme të </w:t>
      </w:r>
      <w:r w:rsidRPr="00B6593D">
        <w:rPr>
          <w:rFonts w:cstheme="majorHAnsi"/>
          <w:color w:val="000000" w:themeColor="text1"/>
        </w:rPr>
        <w:lastRenderedPageBreak/>
        <w:t>kritereve do të zhvillohen edhe më tepër së bashku me rregullat dhe procedurat për procesin e përzgjedhjes.</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Këshilli mblidhet dhe funksionon në bazë të rregullave të punës të miratuara </w:t>
      </w:r>
      <w:r w:rsidR="003F5EEC" w:rsidRPr="00B6593D">
        <w:rPr>
          <w:rFonts w:cstheme="majorHAnsi"/>
          <w:color w:val="000000" w:themeColor="text1"/>
          <w:szCs w:val="22"/>
        </w:rPr>
        <w:t>bashke</w:t>
      </w:r>
      <w:r w:rsidRPr="00B6593D">
        <w:rPr>
          <w:rFonts w:cstheme="majorHAnsi"/>
          <w:color w:val="000000" w:themeColor="text1"/>
          <w:szCs w:val="22"/>
        </w:rPr>
        <w:t xml:space="preserve"> me ketë strategji. Për të ndihmuar punën e këshillit janë të caktuara Ekipet e Punës për çdo objektiv strategjik. Qëllimi i krijimit të EP-ve është që ato të ndihmojnë Këshillin për të qenë më efektiv në ushtrimin e rolit të tij dhe për të baraspeshuar punën e tij me punën e Sekretariatit. </w:t>
      </w:r>
      <w:r w:rsidR="008F1881" w:rsidRPr="00B6593D">
        <w:rPr>
          <w:rFonts w:cstheme="majorHAnsi"/>
          <w:color w:val="000000" w:themeColor="text1"/>
          <w:szCs w:val="22"/>
        </w:rPr>
        <w:t xml:space="preserve">Ekipet e Punës </w:t>
      </w:r>
      <w:r w:rsidRPr="00B6593D">
        <w:rPr>
          <w:rFonts w:cstheme="majorHAnsi"/>
          <w:color w:val="000000" w:themeColor="text1"/>
        </w:rPr>
        <w:t>përbëhen nga përfaqësues</w:t>
      </w:r>
      <w:r w:rsidR="003F5EEC" w:rsidRPr="00B6593D">
        <w:rPr>
          <w:rFonts w:cstheme="majorHAnsi"/>
          <w:color w:val="000000" w:themeColor="text1"/>
        </w:rPr>
        <w:t xml:space="preserve"> të ministrive përkatëse </w:t>
      </w:r>
      <w:r w:rsidRPr="00B6593D">
        <w:rPr>
          <w:rFonts w:cstheme="majorHAnsi"/>
          <w:color w:val="000000" w:themeColor="text1"/>
        </w:rPr>
        <w:t xml:space="preserve"> të linjës dhe përfaqësues të zgjedhur të OSHC-ve në Këshill. Përveç kësaj, përfaqësues të tjerë të jashtëm (OSHC ose eks</w:t>
      </w:r>
      <w:r w:rsidR="006D4A8E">
        <w:rPr>
          <w:rFonts w:cstheme="majorHAnsi"/>
          <w:color w:val="000000" w:themeColor="text1"/>
        </w:rPr>
        <w:t>për</w:t>
      </w:r>
      <w:r w:rsidRPr="00B6593D">
        <w:rPr>
          <w:rFonts w:cstheme="majorHAnsi"/>
          <w:color w:val="000000" w:themeColor="text1"/>
        </w:rPr>
        <w:t>të) mund të ftohen me iniciativën e Këshillit nëse konsiderohen se sjellin vlerë të shtuar në procesin e</w:t>
      </w:r>
      <w:r w:rsidR="00515A47" w:rsidRPr="00B6593D">
        <w:rPr>
          <w:rFonts w:cstheme="majorHAnsi"/>
          <w:color w:val="000000" w:themeColor="text1"/>
        </w:rPr>
        <w:t xml:space="preserve"> zbatimit t</w:t>
      </w:r>
      <w:r w:rsidR="00515A47" w:rsidRPr="00B6593D">
        <w:rPr>
          <w:rFonts w:cstheme="majorHAnsi"/>
          <w:color w:val="000000" w:themeColor="text1"/>
          <w:szCs w:val="22"/>
        </w:rPr>
        <w:t>ë aktiviteteve të Strategjisë apo edhe të</w:t>
      </w:r>
      <w:r w:rsidRPr="00B6593D">
        <w:rPr>
          <w:rFonts w:cstheme="majorHAnsi"/>
          <w:color w:val="000000" w:themeColor="text1"/>
        </w:rPr>
        <w:t xml:space="preserve"> M &amp; V. </w:t>
      </w:r>
      <w:r w:rsidRPr="00B6593D">
        <w:rPr>
          <w:rFonts w:cstheme="majorHAnsi"/>
          <w:color w:val="000000" w:themeColor="text1"/>
          <w:szCs w:val="22"/>
        </w:rPr>
        <w:t xml:space="preserve">Secili anëtar i emëruar në </w:t>
      </w:r>
      <w:r w:rsidR="008F1881" w:rsidRPr="00B6593D">
        <w:rPr>
          <w:rFonts w:cstheme="majorHAnsi"/>
          <w:color w:val="000000" w:themeColor="text1"/>
          <w:szCs w:val="22"/>
        </w:rPr>
        <w:t>Ekipet e Punës</w:t>
      </w:r>
      <w:r w:rsidRPr="00B6593D">
        <w:rPr>
          <w:rFonts w:cstheme="majorHAnsi"/>
          <w:color w:val="000000" w:themeColor="text1"/>
          <w:szCs w:val="22"/>
        </w:rPr>
        <w:t xml:space="preserve"> do të marr pjesë në takimet e Këshillit dhe në aktivitetet e tjera për të siguruar përkushtimin e plotë të të gjithë palëve të interesuara. </w:t>
      </w:r>
    </w:p>
    <w:p w:rsidR="00B42F51" w:rsidRPr="00B6593D" w:rsidRDefault="00B42F51"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Zyra për Qeverisje të Mirë/Zyra e Kryeministrit duhet të raportoj mbi përparimet në </w:t>
      </w:r>
      <w:r w:rsidR="00B42F51" w:rsidRPr="00B6593D">
        <w:rPr>
          <w:rFonts w:cstheme="majorHAnsi"/>
          <w:color w:val="000000" w:themeColor="text1"/>
          <w:szCs w:val="22"/>
        </w:rPr>
        <w:t>progresin</w:t>
      </w:r>
      <w:r w:rsidRPr="00B6593D">
        <w:rPr>
          <w:rFonts w:cstheme="majorHAnsi"/>
          <w:color w:val="000000" w:themeColor="text1"/>
          <w:szCs w:val="22"/>
        </w:rPr>
        <w:t xml:space="preserve"> e Strategjisë dhe Planit të saj të Veprimit në baza vjetore. Raporti vjetor i </w:t>
      </w:r>
      <w:r w:rsidR="00B42F51" w:rsidRPr="00B6593D">
        <w:rPr>
          <w:rFonts w:cstheme="majorHAnsi"/>
          <w:color w:val="000000" w:themeColor="text1"/>
          <w:szCs w:val="22"/>
        </w:rPr>
        <w:t>progresit</w:t>
      </w:r>
      <w:r w:rsidRPr="00B6593D">
        <w:rPr>
          <w:rFonts w:cstheme="majorHAnsi"/>
          <w:color w:val="000000" w:themeColor="text1"/>
          <w:szCs w:val="22"/>
        </w:rPr>
        <w:t xml:space="preserve"> do të përgatitet deri në fund të çerekut të parë të vitit vijues. Matrica për Monitorim dhe Raportim</w:t>
      </w:r>
      <w:r w:rsidRPr="00B6593D">
        <w:rPr>
          <w:rFonts w:cstheme="majorHAnsi"/>
          <w:b/>
          <w:color w:val="000000" w:themeColor="text1"/>
          <w:szCs w:val="22"/>
        </w:rPr>
        <w:t xml:space="preserve"> </w:t>
      </w:r>
      <w:r w:rsidRPr="00B6593D">
        <w:rPr>
          <w:rFonts w:cstheme="majorHAnsi"/>
          <w:color w:val="000000" w:themeColor="text1"/>
          <w:szCs w:val="22"/>
        </w:rPr>
        <w:t xml:space="preserve">do të përdoret </w:t>
      </w:r>
      <w:r w:rsidR="00B42F51" w:rsidRPr="00B6593D">
        <w:rPr>
          <w:rFonts w:cstheme="majorHAnsi"/>
          <w:color w:val="000000" w:themeColor="text1"/>
          <w:szCs w:val="22"/>
        </w:rPr>
        <w:t xml:space="preserve">si instrument </w:t>
      </w:r>
      <w:r w:rsidRPr="00B6593D">
        <w:rPr>
          <w:rFonts w:cstheme="majorHAnsi"/>
          <w:color w:val="000000" w:themeColor="text1"/>
          <w:szCs w:val="22"/>
        </w:rPr>
        <w:t xml:space="preserve">për të vlerësuar progresin </w:t>
      </w:r>
      <w:r w:rsidR="00B42F51" w:rsidRPr="00B6593D">
        <w:rPr>
          <w:rFonts w:cstheme="majorHAnsi"/>
          <w:color w:val="000000" w:themeColor="text1"/>
          <w:szCs w:val="22"/>
        </w:rPr>
        <w:t xml:space="preserve">dhe sfidat </w:t>
      </w:r>
      <w:r w:rsidRPr="00B6593D">
        <w:rPr>
          <w:rFonts w:cstheme="majorHAnsi"/>
          <w:color w:val="000000" w:themeColor="text1"/>
          <w:szCs w:val="22"/>
        </w:rPr>
        <w:t xml:space="preserve">në zbatimin e Strategjisë. Ky sistem do të përbëhet nga </w:t>
      </w:r>
      <w:r w:rsidRPr="00B6593D">
        <w:rPr>
          <w:rFonts w:cstheme="majorHAnsi"/>
          <w:i/>
          <w:iCs/>
          <w:color w:val="000000" w:themeColor="text1"/>
          <w:szCs w:val="22"/>
        </w:rPr>
        <w:t>“</w:t>
      </w:r>
      <w:r w:rsidRPr="00B6593D">
        <w:rPr>
          <w:rFonts w:cstheme="majorHAnsi"/>
          <w:iCs/>
          <w:color w:val="000000" w:themeColor="text1"/>
          <w:szCs w:val="22"/>
        </w:rPr>
        <w:t xml:space="preserve">treguesit e bazuar në </w:t>
      </w:r>
      <w:r w:rsidR="006D4A8E">
        <w:rPr>
          <w:rFonts w:cstheme="majorHAnsi"/>
          <w:iCs/>
          <w:color w:val="000000" w:themeColor="text1"/>
          <w:szCs w:val="22"/>
        </w:rPr>
        <w:t>për</w:t>
      </w:r>
      <w:r w:rsidRPr="00B6593D">
        <w:rPr>
          <w:rFonts w:cstheme="majorHAnsi"/>
          <w:iCs/>
          <w:color w:val="000000" w:themeColor="text1"/>
          <w:szCs w:val="22"/>
        </w:rPr>
        <w:t>formancë”</w:t>
      </w:r>
      <w:r w:rsidRPr="00B6593D">
        <w:rPr>
          <w:rFonts w:cstheme="majorHAnsi"/>
          <w:color w:val="000000" w:themeColor="text1"/>
          <w:szCs w:val="22"/>
        </w:rPr>
        <w:t xml:space="preserve"> të cilët janë dizajnuar për të matur rezultatet dhe nivelin e ndikimit që Strategjia do të ketë në praktikë. Logjika se si janë përkufizuar treguesit është ilustruar në Shtojcën 4. </w:t>
      </w:r>
    </w:p>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rPr>
      </w:pPr>
      <w:r w:rsidRPr="00B6593D">
        <w:rPr>
          <w:rFonts w:cstheme="majorHAnsi"/>
          <w:color w:val="000000" w:themeColor="text1"/>
          <w:szCs w:val="22"/>
        </w:rPr>
        <w:t xml:space="preserve">Strategjia do të shoqërohet me Planin e Veprimit 2019-2021, i cili do të përditësohet në baza vjetore. Strategjia do të ketë një vlerësim afatmesëm dhe një vlerësim final. Bashkë me raportin për vitin 2019, Zyra për Qeverisje të Mirë/Zyra e Kryeministrit do të bëj një vlerësim/rishikim afatmesëm të objektivave dhe treguesve. Vlerësimi afatmesëm dhe final i strategjisë do të përqendrohen në  zbatimin e Strategjisë dhe Planit të Veprimit si dhe përmirësimet potenciale në mënyrë që të arrihen rezultatet dhe objektivat e synuara. Kjo do të behet </w:t>
      </w:r>
      <w:r w:rsidRPr="00B6593D">
        <w:rPr>
          <w:rFonts w:cstheme="majorHAnsi"/>
          <w:color w:val="000000" w:themeColor="text1"/>
        </w:rPr>
        <w:t xml:space="preserve">duke përditësuar objektivat sipas nevojës bazuar në të dhënat e disponueshme për vitin 2019, si pikënisje për matjen e progresit të Strategjisë. Meqenëse burimet e të dhënave (ose mjetet e verifikimit) </w:t>
      </w:r>
      <w:r w:rsidRPr="00B6593D">
        <w:rPr>
          <w:rFonts w:cstheme="majorHAnsi"/>
          <w:i/>
          <w:color w:val="000000" w:themeColor="text1"/>
        </w:rPr>
        <w:t>për treguesit e bazuar në rezultate</w:t>
      </w:r>
      <w:r w:rsidRPr="00B6593D">
        <w:rPr>
          <w:rFonts w:cstheme="majorHAnsi"/>
          <w:color w:val="000000" w:themeColor="text1"/>
        </w:rPr>
        <w:t xml:space="preserve"> në disa raste nuk janë parashikuar përmes rezultateve apo aktiviteteve individuale të Strategjisë, është thelbësore që më së voni pas dy viteve</w:t>
      </w:r>
      <w:r w:rsidR="00E81789" w:rsidRPr="00B6593D">
        <w:rPr>
          <w:rFonts w:cstheme="majorHAnsi"/>
          <w:color w:val="000000" w:themeColor="text1"/>
        </w:rPr>
        <w:t xml:space="preserve"> ZQM/ZKM</w:t>
      </w:r>
      <w:r w:rsidRPr="00B6593D">
        <w:rPr>
          <w:rFonts w:cstheme="majorHAnsi"/>
          <w:color w:val="000000" w:themeColor="text1"/>
        </w:rPr>
        <w:t xml:space="preserve"> propozon zhvillimin e masave shtesë për të siguruar mbledhjen e të dhënave të tilla, p.sh. monitorimi i procesit të konsultimit në nivel komunal, financimi publik për OSHC-të në nivel komunal, shkalla dhe lloji i vullnetarizmit</w:t>
      </w:r>
      <w:r w:rsidR="00E81789" w:rsidRPr="00B6593D">
        <w:rPr>
          <w:rFonts w:cstheme="majorHAnsi"/>
          <w:color w:val="000000" w:themeColor="text1"/>
        </w:rPr>
        <w:t>, etj</w:t>
      </w:r>
      <w:r w:rsidRPr="00B6593D">
        <w:rPr>
          <w:rFonts w:cstheme="majorHAnsi"/>
          <w:color w:val="000000" w:themeColor="text1"/>
        </w:rPr>
        <w:t xml:space="preserve">. Kjo gjithashtu </w:t>
      </w:r>
      <w:r w:rsidR="00E81789" w:rsidRPr="00B6593D">
        <w:rPr>
          <w:rFonts w:cstheme="majorHAnsi"/>
          <w:color w:val="000000" w:themeColor="text1"/>
        </w:rPr>
        <w:t xml:space="preserve">do të </w:t>
      </w:r>
      <w:r w:rsidRPr="00B6593D">
        <w:rPr>
          <w:rFonts w:cstheme="majorHAnsi"/>
          <w:color w:val="000000" w:themeColor="text1"/>
        </w:rPr>
        <w:t>mund</w:t>
      </w:r>
      <w:r w:rsidR="00E81789" w:rsidRPr="00B6593D">
        <w:rPr>
          <w:rFonts w:cstheme="majorHAnsi"/>
          <w:color w:val="000000" w:themeColor="text1"/>
        </w:rPr>
        <w:t xml:space="preserve">ësoj ndërlidhjen </w:t>
      </w:r>
      <w:r w:rsidR="00D0386D">
        <w:rPr>
          <w:rFonts w:cstheme="majorHAnsi"/>
          <w:color w:val="000000" w:themeColor="text1"/>
        </w:rPr>
        <w:t xml:space="preserve">me </w:t>
      </w:r>
      <w:r w:rsidRPr="00B6593D">
        <w:rPr>
          <w:rFonts w:cstheme="majorHAnsi"/>
          <w:color w:val="000000" w:themeColor="text1"/>
        </w:rPr>
        <w:t>përmbushje</w:t>
      </w:r>
      <w:r w:rsidR="00E81789" w:rsidRPr="00B6593D">
        <w:rPr>
          <w:rFonts w:cstheme="majorHAnsi"/>
          <w:color w:val="000000" w:themeColor="text1"/>
        </w:rPr>
        <w:t>n e</w:t>
      </w:r>
      <w:r w:rsidRPr="00B6593D">
        <w:rPr>
          <w:rFonts w:cstheme="majorHAnsi"/>
          <w:color w:val="000000" w:themeColor="text1"/>
        </w:rPr>
        <w:t xml:space="preserve"> treguesve të Strategjisë / PV </w:t>
      </w:r>
      <w:r w:rsidR="006D4A8E">
        <w:rPr>
          <w:rFonts w:cstheme="majorHAnsi"/>
          <w:color w:val="000000" w:themeColor="text1"/>
        </w:rPr>
        <w:t>për</w:t>
      </w:r>
      <w:r w:rsidR="00E81789" w:rsidRPr="00B6593D">
        <w:rPr>
          <w:rFonts w:cstheme="majorHAnsi"/>
          <w:color w:val="000000" w:themeColor="text1"/>
        </w:rPr>
        <w:t>kitazi</w:t>
      </w:r>
      <w:r w:rsidRPr="00B6593D">
        <w:rPr>
          <w:rFonts w:cstheme="majorHAnsi"/>
          <w:color w:val="000000" w:themeColor="text1"/>
        </w:rPr>
        <w:t xml:space="preserve"> me Udhëzimet e BE-së për shoqëri civile për aq sa kjo është relevante për Strategjinë / planin e veprimit. </w:t>
      </w:r>
      <w:r w:rsidRPr="00B6593D">
        <w:rPr>
          <w:rFonts w:cstheme="majorHAnsi"/>
          <w:color w:val="000000" w:themeColor="text1"/>
          <w:szCs w:val="22"/>
        </w:rPr>
        <w:t xml:space="preserve">Procesi i vlerësimi dhe rishikimit të Strategjisë do të ndërlidhet edhe me rishikimin dhe vlerësimin e Reformës së Administratës Publike (indikatorët për mbështetjen buxhetore sektoriale, konkretisht indikatorit 2 - konsultimet  publike). </w:t>
      </w:r>
    </w:p>
    <w:p w:rsidR="00CF44A5" w:rsidRPr="00B6593D" w:rsidRDefault="00CF44A5" w:rsidP="00CF44A5">
      <w:pPr>
        <w:spacing w:line="276" w:lineRule="auto"/>
        <w:rPr>
          <w:rFonts w:cstheme="majorHAnsi"/>
          <w:color w:val="000000" w:themeColor="text1"/>
          <w:szCs w:val="22"/>
        </w:rPr>
      </w:pPr>
    </w:p>
    <w:p w:rsidR="00E81789" w:rsidRDefault="00E81789" w:rsidP="00CF44A5">
      <w:pPr>
        <w:spacing w:line="276" w:lineRule="auto"/>
        <w:rPr>
          <w:rFonts w:cstheme="majorHAnsi"/>
          <w:color w:val="000000" w:themeColor="text1"/>
          <w:szCs w:val="22"/>
        </w:rPr>
      </w:pPr>
    </w:p>
    <w:p w:rsidR="00C005C7" w:rsidRDefault="00C005C7" w:rsidP="00CF44A5">
      <w:pPr>
        <w:spacing w:line="276" w:lineRule="auto"/>
        <w:rPr>
          <w:rFonts w:cstheme="majorHAnsi"/>
          <w:color w:val="000000" w:themeColor="text1"/>
          <w:szCs w:val="22"/>
        </w:rPr>
      </w:pPr>
    </w:p>
    <w:p w:rsidR="00C005C7" w:rsidRPr="00B6593D" w:rsidRDefault="00C005C7" w:rsidP="00CF44A5">
      <w:pPr>
        <w:spacing w:line="276" w:lineRule="auto"/>
        <w:rPr>
          <w:rFonts w:cstheme="majorHAnsi"/>
          <w:color w:val="000000" w:themeColor="text1"/>
          <w:szCs w:val="22"/>
        </w:rPr>
      </w:pPr>
    </w:p>
    <w:p w:rsidR="00E81789" w:rsidRPr="00B6593D" w:rsidRDefault="00E81789" w:rsidP="00CF44A5">
      <w:pPr>
        <w:spacing w:line="276" w:lineRule="auto"/>
        <w:rPr>
          <w:rFonts w:cstheme="majorHAnsi"/>
          <w:color w:val="000000" w:themeColor="text1"/>
          <w:szCs w:val="22"/>
        </w:rPr>
      </w:pPr>
    </w:p>
    <w:p w:rsidR="00CF44A5" w:rsidRPr="00B6593D" w:rsidRDefault="001A00DD" w:rsidP="00CF44A5">
      <w:pPr>
        <w:rPr>
          <w:rFonts w:eastAsiaTheme="majorEastAsia" w:cstheme="majorHAnsi"/>
          <w:b/>
          <w:color w:val="000000" w:themeColor="text1"/>
          <w:sz w:val="26"/>
          <w:szCs w:val="26"/>
          <w:u w:val="single"/>
        </w:rPr>
      </w:pPr>
      <w:r w:rsidRPr="00B770C6">
        <w:rPr>
          <w:rFonts w:eastAsiaTheme="majorEastAsia" w:cstheme="majorHAnsi"/>
          <w:b/>
          <w:color w:val="000000" w:themeColor="text1"/>
          <w:sz w:val="26"/>
          <w:szCs w:val="26"/>
          <w:u w:val="single"/>
        </w:rPr>
        <w:lastRenderedPageBreak/>
        <w:t>Funksionalizimi</w:t>
      </w:r>
      <w:r w:rsidR="00CF44A5" w:rsidRPr="00B770C6">
        <w:rPr>
          <w:rFonts w:eastAsiaTheme="majorEastAsia" w:cstheme="majorHAnsi"/>
          <w:b/>
          <w:color w:val="000000" w:themeColor="text1"/>
          <w:sz w:val="26"/>
          <w:szCs w:val="26"/>
          <w:u w:val="single"/>
        </w:rPr>
        <w:t xml:space="preserve"> i procesit të monitorimit dhe vlerësimit</w:t>
      </w:r>
    </w:p>
    <w:p w:rsidR="00CF44A5" w:rsidRPr="00B6593D" w:rsidRDefault="00CF44A5" w:rsidP="00CF44A5">
      <w:pPr>
        <w:rPr>
          <w:rFonts w:cstheme="majorHAnsi"/>
          <w:color w:val="000000" w:themeColor="text1"/>
          <w:szCs w:val="22"/>
        </w:rPr>
      </w:pPr>
    </w:p>
    <w:p w:rsidR="00CF44A5" w:rsidRPr="00B6593D" w:rsidRDefault="00CF44A5" w:rsidP="00CF44A5">
      <w:pPr>
        <w:rPr>
          <w:rFonts w:cstheme="majorHAnsi"/>
          <w:color w:val="000000" w:themeColor="text1"/>
          <w:szCs w:val="22"/>
        </w:rPr>
      </w:pPr>
      <w:r w:rsidRPr="00B6593D">
        <w:rPr>
          <w:rFonts w:cstheme="majorHAnsi"/>
          <w:color w:val="000000" w:themeColor="text1"/>
          <w:szCs w:val="22"/>
        </w:rPr>
        <w:t>Plani i Veprimit (PV) 2019-2021 për zbatimin e Strategjisë Qeveri</w:t>
      </w:r>
      <w:r w:rsidR="001A00DD" w:rsidRPr="00B6593D">
        <w:rPr>
          <w:rFonts w:cstheme="majorHAnsi"/>
          <w:color w:val="000000" w:themeColor="text1"/>
          <w:szCs w:val="22"/>
        </w:rPr>
        <w:t>tare</w:t>
      </w:r>
      <w:r w:rsidRPr="00B6593D">
        <w:rPr>
          <w:rFonts w:cstheme="majorHAnsi"/>
          <w:color w:val="000000" w:themeColor="text1"/>
          <w:szCs w:val="22"/>
        </w:rPr>
        <w:t xml:space="preserve"> për Bashkëpunim me Shoqërinë Civile parasheh hapa që duhet të ndërmerren në lidhje me monitorimin dhe raportimin:</w:t>
      </w:r>
    </w:p>
    <w:p w:rsidR="00CF44A5" w:rsidRPr="00B6593D" w:rsidRDefault="00CF44A5" w:rsidP="00CF44A5">
      <w:pPr>
        <w:rPr>
          <w:rFonts w:cstheme="majorHAnsi"/>
          <w:color w:val="000000" w:themeColor="text1"/>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2"/>
      </w:tblGrid>
      <w:tr w:rsidR="00CF44A5" w:rsidRPr="00B6593D" w:rsidTr="00C005C7">
        <w:tc>
          <w:tcPr>
            <w:tcW w:w="1134" w:type="dxa"/>
            <w:shd w:val="clear" w:color="auto" w:fill="auto"/>
          </w:tcPr>
          <w:p w:rsidR="00CF44A5" w:rsidRPr="00B6593D" w:rsidRDefault="00CF44A5" w:rsidP="00221DE3">
            <w:pPr>
              <w:rPr>
                <w:rFonts w:cstheme="majorHAnsi"/>
                <w:color w:val="000000" w:themeColor="text1"/>
                <w:szCs w:val="22"/>
              </w:rPr>
            </w:pPr>
          </w:p>
        </w:tc>
        <w:tc>
          <w:tcPr>
            <w:tcW w:w="8222" w:type="dxa"/>
            <w:shd w:val="clear" w:color="auto" w:fill="auto"/>
          </w:tcPr>
          <w:p w:rsidR="00CF44A5" w:rsidRPr="00B6593D" w:rsidRDefault="00CF44A5" w:rsidP="00221DE3">
            <w:pPr>
              <w:rPr>
                <w:rFonts w:cstheme="majorHAnsi"/>
                <w:color w:val="000000" w:themeColor="text1"/>
                <w:szCs w:val="22"/>
              </w:rPr>
            </w:pPr>
          </w:p>
        </w:tc>
      </w:tr>
      <w:tr w:rsidR="00CF44A5" w:rsidRPr="00B6593D" w:rsidTr="00C005C7">
        <w:tc>
          <w:tcPr>
            <w:tcW w:w="1134" w:type="dxa"/>
            <w:shd w:val="clear" w:color="auto" w:fill="auto"/>
          </w:tcPr>
          <w:p w:rsidR="00CF44A5" w:rsidRPr="00B6593D" w:rsidRDefault="00CF44A5" w:rsidP="00221DE3">
            <w:pPr>
              <w:rPr>
                <w:rFonts w:cstheme="majorHAnsi"/>
                <w:color w:val="000000" w:themeColor="text1"/>
                <w:szCs w:val="22"/>
              </w:rPr>
            </w:pPr>
            <w:r w:rsidRPr="00B6593D">
              <w:rPr>
                <w:rFonts w:cstheme="majorHAnsi"/>
                <w:color w:val="000000" w:themeColor="text1"/>
                <w:szCs w:val="22"/>
              </w:rPr>
              <w:t>Hapi 1</w:t>
            </w:r>
          </w:p>
        </w:tc>
        <w:tc>
          <w:tcPr>
            <w:tcW w:w="8222" w:type="dxa"/>
            <w:shd w:val="clear" w:color="auto" w:fill="auto"/>
          </w:tcPr>
          <w:p w:rsidR="00CF44A5" w:rsidRPr="00B6593D" w:rsidRDefault="00CF44A5" w:rsidP="00221DE3">
            <w:pPr>
              <w:rPr>
                <w:rFonts w:cstheme="majorHAnsi"/>
                <w:color w:val="000000" w:themeColor="text1"/>
                <w:szCs w:val="22"/>
              </w:rPr>
            </w:pPr>
            <w:r w:rsidRPr="00B6593D">
              <w:rPr>
                <w:rFonts w:cstheme="majorHAnsi"/>
                <w:color w:val="000000" w:themeColor="text1"/>
              </w:rPr>
              <w:t>Hartimi dhe miratimi i Raportit të parë mbi Zbatimin e Strategjisë / PV 2019</w:t>
            </w:r>
          </w:p>
        </w:tc>
      </w:tr>
      <w:tr w:rsidR="00CF44A5" w:rsidRPr="00B6593D" w:rsidTr="00C005C7">
        <w:tc>
          <w:tcPr>
            <w:tcW w:w="1134" w:type="dxa"/>
            <w:shd w:val="clear" w:color="auto" w:fill="auto"/>
          </w:tcPr>
          <w:p w:rsidR="00CF44A5" w:rsidRPr="00B6593D" w:rsidRDefault="00CF44A5" w:rsidP="00221DE3">
            <w:pPr>
              <w:rPr>
                <w:rFonts w:cstheme="majorHAnsi"/>
                <w:color w:val="000000" w:themeColor="text1"/>
              </w:rPr>
            </w:pPr>
            <w:r w:rsidRPr="00B6593D">
              <w:rPr>
                <w:rFonts w:cstheme="majorHAnsi"/>
                <w:color w:val="000000" w:themeColor="text1"/>
                <w:szCs w:val="22"/>
              </w:rPr>
              <w:t>Hapi 2</w:t>
            </w:r>
          </w:p>
        </w:tc>
        <w:tc>
          <w:tcPr>
            <w:tcW w:w="8222" w:type="dxa"/>
            <w:shd w:val="clear" w:color="auto" w:fill="auto"/>
          </w:tcPr>
          <w:p w:rsidR="00CF44A5" w:rsidRPr="00B6593D" w:rsidRDefault="00CF44A5" w:rsidP="00221DE3">
            <w:pPr>
              <w:rPr>
                <w:rFonts w:cstheme="majorHAnsi"/>
                <w:color w:val="000000" w:themeColor="text1"/>
                <w:szCs w:val="22"/>
              </w:rPr>
            </w:pPr>
            <w:r w:rsidRPr="00B6593D">
              <w:rPr>
                <w:rFonts w:cstheme="majorHAnsi"/>
                <w:color w:val="000000" w:themeColor="text1"/>
              </w:rPr>
              <w:t xml:space="preserve">Rishikimi dhe </w:t>
            </w:r>
            <w:r w:rsidR="00460292" w:rsidRPr="00B6593D">
              <w:rPr>
                <w:rFonts w:cstheme="majorHAnsi"/>
                <w:color w:val="000000" w:themeColor="text1"/>
              </w:rPr>
              <w:t>përditësimi</w:t>
            </w:r>
            <w:r w:rsidRPr="00B6593D">
              <w:rPr>
                <w:rFonts w:cstheme="majorHAnsi"/>
                <w:color w:val="000000" w:themeColor="text1"/>
              </w:rPr>
              <w:t xml:space="preserve"> (nëse është e nevojshme) të Planit të Veprimit 2019-2021</w:t>
            </w:r>
          </w:p>
        </w:tc>
      </w:tr>
      <w:tr w:rsidR="00CF44A5" w:rsidRPr="00B6593D" w:rsidTr="00C005C7">
        <w:tc>
          <w:tcPr>
            <w:tcW w:w="1134" w:type="dxa"/>
            <w:shd w:val="clear" w:color="auto" w:fill="auto"/>
          </w:tcPr>
          <w:p w:rsidR="00CF44A5" w:rsidRPr="00B6593D" w:rsidRDefault="00CF44A5" w:rsidP="00221DE3">
            <w:pPr>
              <w:rPr>
                <w:rFonts w:cstheme="majorHAnsi"/>
                <w:color w:val="000000" w:themeColor="text1"/>
              </w:rPr>
            </w:pPr>
            <w:r w:rsidRPr="00B6593D">
              <w:rPr>
                <w:rFonts w:cstheme="majorHAnsi"/>
                <w:color w:val="000000" w:themeColor="text1"/>
                <w:szCs w:val="22"/>
              </w:rPr>
              <w:t>Hapi 3</w:t>
            </w:r>
          </w:p>
        </w:tc>
        <w:tc>
          <w:tcPr>
            <w:tcW w:w="8222" w:type="dxa"/>
            <w:shd w:val="clear" w:color="auto" w:fill="auto"/>
          </w:tcPr>
          <w:p w:rsidR="00CF44A5" w:rsidRPr="00B6593D" w:rsidRDefault="00CF44A5" w:rsidP="00221DE3">
            <w:pPr>
              <w:rPr>
                <w:rFonts w:cstheme="majorHAnsi"/>
                <w:color w:val="000000" w:themeColor="text1"/>
                <w:szCs w:val="22"/>
              </w:rPr>
            </w:pPr>
            <w:r w:rsidRPr="00B6593D">
              <w:rPr>
                <w:rFonts w:cstheme="majorHAnsi"/>
                <w:color w:val="000000" w:themeColor="text1"/>
              </w:rPr>
              <w:t>Hartimi dhe miratimi i Raportit të 2 -të për Implementimin e Strategjisë / PV 2020</w:t>
            </w:r>
          </w:p>
        </w:tc>
      </w:tr>
      <w:tr w:rsidR="00CF44A5" w:rsidRPr="00B6593D" w:rsidTr="00C005C7">
        <w:tc>
          <w:tcPr>
            <w:tcW w:w="1134" w:type="dxa"/>
            <w:shd w:val="clear" w:color="auto" w:fill="auto"/>
          </w:tcPr>
          <w:p w:rsidR="00CF44A5" w:rsidRPr="00B6593D" w:rsidRDefault="00CF44A5" w:rsidP="00221DE3">
            <w:pPr>
              <w:rPr>
                <w:rFonts w:cstheme="majorHAnsi"/>
                <w:color w:val="000000" w:themeColor="text1"/>
              </w:rPr>
            </w:pPr>
            <w:r w:rsidRPr="00B6593D">
              <w:rPr>
                <w:rFonts w:cstheme="majorHAnsi"/>
                <w:color w:val="000000" w:themeColor="text1"/>
                <w:szCs w:val="22"/>
              </w:rPr>
              <w:t>Hapi 4</w:t>
            </w:r>
          </w:p>
        </w:tc>
        <w:tc>
          <w:tcPr>
            <w:tcW w:w="8222" w:type="dxa"/>
            <w:shd w:val="clear" w:color="auto" w:fill="auto"/>
          </w:tcPr>
          <w:p w:rsidR="00CF44A5" w:rsidRPr="00B6593D" w:rsidRDefault="00CF44A5" w:rsidP="00221DE3">
            <w:pPr>
              <w:rPr>
                <w:rFonts w:cstheme="majorHAnsi"/>
                <w:color w:val="000000" w:themeColor="text1"/>
                <w:szCs w:val="22"/>
              </w:rPr>
            </w:pPr>
            <w:r w:rsidRPr="00B6593D">
              <w:rPr>
                <w:rFonts w:cstheme="majorHAnsi"/>
                <w:color w:val="000000" w:themeColor="text1"/>
              </w:rPr>
              <w:t xml:space="preserve">Rishikimi, </w:t>
            </w:r>
            <w:r w:rsidR="00460292" w:rsidRPr="00B6593D">
              <w:rPr>
                <w:rFonts w:cstheme="majorHAnsi"/>
                <w:color w:val="000000" w:themeColor="text1"/>
              </w:rPr>
              <w:t>përditësimi</w:t>
            </w:r>
            <w:r w:rsidRPr="00B6593D">
              <w:rPr>
                <w:rFonts w:cstheme="majorHAnsi"/>
                <w:color w:val="000000" w:themeColor="text1"/>
              </w:rPr>
              <w:t xml:space="preserve"> (nëse është e nevojshme) të Planit të Veprimit 2019-2021 dhe hartimi dhe miratimi i Planit të Veprimit 2021-2023</w:t>
            </w:r>
          </w:p>
        </w:tc>
      </w:tr>
      <w:tr w:rsidR="00CF44A5" w:rsidRPr="00B6593D" w:rsidTr="00C005C7">
        <w:tc>
          <w:tcPr>
            <w:tcW w:w="1134" w:type="dxa"/>
            <w:shd w:val="clear" w:color="auto" w:fill="auto"/>
          </w:tcPr>
          <w:p w:rsidR="00CF44A5" w:rsidRPr="00B6593D" w:rsidRDefault="00CF44A5" w:rsidP="00221DE3">
            <w:pPr>
              <w:rPr>
                <w:rFonts w:cstheme="majorHAnsi"/>
                <w:color w:val="000000" w:themeColor="text1"/>
              </w:rPr>
            </w:pPr>
            <w:r w:rsidRPr="00B6593D">
              <w:rPr>
                <w:rFonts w:cstheme="majorHAnsi"/>
                <w:color w:val="000000" w:themeColor="text1"/>
                <w:szCs w:val="22"/>
              </w:rPr>
              <w:t>Hapi 5</w:t>
            </w:r>
          </w:p>
        </w:tc>
        <w:tc>
          <w:tcPr>
            <w:tcW w:w="8222" w:type="dxa"/>
            <w:shd w:val="clear" w:color="auto" w:fill="auto"/>
          </w:tcPr>
          <w:p w:rsidR="00CF44A5" w:rsidRPr="00B6593D" w:rsidRDefault="00CF44A5" w:rsidP="00221DE3">
            <w:pPr>
              <w:rPr>
                <w:rFonts w:cstheme="majorHAnsi"/>
                <w:color w:val="000000" w:themeColor="text1"/>
                <w:szCs w:val="22"/>
              </w:rPr>
            </w:pPr>
            <w:r w:rsidRPr="00B6593D">
              <w:rPr>
                <w:rFonts w:cstheme="majorHAnsi"/>
                <w:color w:val="000000" w:themeColor="text1"/>
              </w:rPr>
              <w:t>Hartimi dhe miratimi i Raportit të 3-të për Zbatimin e Strategjisë / PV 2021</w:t>
            </w:r>
          </w:p>
        </w:tc>
      </w:tr>
      <w:tr w:rsidR="00CF44A5" w:rsidRPr="00B6593D" w:rsidTr="00C005C7">
        <w:tc>
          <w:tcPr>
            <w:tcW w:w="1134" w:type="dxa"/>
            <w:shd w:val="clear" w:color="auto" w:fill="auto"/>
          </w:tcPr>
          <w:p w:rsidR="00CF44A5" w:rsidRPr="00B6593D" w:rsidRDefault="00CF44A5" w:rsidP="00221DE3">
            <w:pPr>
              <w:rPr>
                <w:rFonts w:cstheme="majorHAnsi"/>
                <w:color w:val="000000" w:themeColor="text1"/>
              </w:rPr>
            </w:pPr>
            <w:r w:rsidRPr="00B6593D">
              <w:rPr>
                <w:rFonts w:cstheme="majorHAnsi"/>
                <w:color w:val="000000" w:themeColor="text1"/>
                <w:szCs w:val="22"/>
              </w:rPr>
              <w:t>Hapi 6</w:t>
            </w:r>
          </w:p>
        </w:tc>
        <w:tc>
          <w:tcPr>
            <w:tcW w:w="8222" w:type="dxa"/>
            <w:shd w:val="clear" w:color="auto" w:fill="auto"/>
          </w:tcPr>
          <w:p w:rsidR="00CF44A5" w:rsidRPr="00B6593D" w:rsidRDefault="00CF44A5" w:rsidP="00221DE3">
            <w:pPr>
              <w:rPr>
                <w:rFonts w:cstheme="majorHAnsi"/>
                <w:color w:val="000000" w:themeColor="text1"/>
                <w:szCs w:val="22"/>
              </w:rPr>
            </w:pPr>
            <w:r w:rsidRPr="00B6593D">
              <w:rPr>
                <w:rFonts w:cstheme="majorHAnsi"/>
                <w:color w:val="000000" w:themeColor="text1"/>
              </w:rPr>
              <w:t>Realizimi i rishikimit / vlerësimin afatmesëm të zbatimit të Strategjisë / PV</w:t>
            </w:r>
          </w:p>
        </w:tc>
      </w:tr>
      <w:tr w:rsidR="00CF44A5" w:rsidRPr="00B6593D" w:rsidTr="00C005C7">
        <w:tc>
          <w:tcPr>
            <w:tcW w:w="1134" w:type="dxa"/>
            <w:shd w:val="clear" w:color="auto" w:fill="auto"/>
          </w:tcPr>
          <w:p w:rsidR="00CF44A5" w:rsidRPr="00B6593D" w:rsidRDefault="00CF44A5" w:rsidP="00221DE3">
            <w:pPr>
              <w:rPr>
                <w:rFonts w:cstheme="majorHAnsi"/>
                <w:color w:val="000000" w:themeColor="text1"/>
              </w:rPr>
            </w:pPr>
            <w:r w:rsidRPr="00B6593D">
              <w:rPr>
                <w:rFonts w:cstheme="majorHAnsi"/>
                <w:color w:val="000000" w:themeColor="text1"/>
                <w:szCs w:val="22"/>
              </w:rPr>
              <w:t>Hapi 7</w:t>
            </w:r>
          </w:p>
        </w:tc>
        <w:tc>
          <w:tcPr>
            <w:tcW w:w="8222" w:type="dxa"/>
            <w:shd w:val="clear" w:color="auto" w:fill="auto"/>
          </w:tcPr>
          <w:p w:rsidR="00CF44A5" w:rsidRPr="00B6593D" w:rsidRDefault="00CF44A5" w:rsidP="00221DE3">
            <w:pPr>
              <w:rPr>
                <w:rFonts w:cstheme="majorHAnsi"/>
                <w:color w:val="000000" w:themeColor="text1"/>
                <w:szCs w:val="22"/>
              </w:rPr>
            </w:pPr>
            <w:r w:rsidRPr="00B6593D">
              <w:rPr>
                <w:rFonts w:cstheme="majorHAnsi"/>
                <w:color w:val="000000" w:themeColor="text1"/>
              </w:rPr>
              <w:t xml:space="preserve">Rishikimi dhe </w:t>
            </w:r>
            <w:r w:rsidR="00460292" w:rsidRPr="00B6593D">
              <w:rPr>
                <w:rFonts w:cstheme="majorHAnsi"/>
                <w:color w:val="000000" w:themeColor="text1"/>
              </w:rPr>
              <w:t>përditësimi</w:t>
            </w:r>
            <w:r w:rsidRPr="00B6593D">
              <w:rPr>
                <w:rFonts w:cstheme="majorHAnsi"/>
                <w:color w:val="000000" w:themeColor="text1"/>
              </w:rPr>
              <w:t xml:space="preserve"> (nëse është e nevojshme) i Planit të Veprimit 2021-2023</w:t>
            </w:r>
          </w:p>
        </w:tc>
      </w:tr>
      <w:tr w:rsidR="00CF44A5" w:rsidRPr="00B6593D" w:rsidTr="00C005C7">
        <w:tc>
          <w:tcPr>
            <w:tcW w:w="1134" w:type="dxa"/>
            <w:shd w:val="clear" w:color="auto" w:fill="auto"/>
          </w:tcPr>
          <w:p w:rsidR="00CF44A5" w:rsidRPr="00B6593D" w:rsidRDefault="00CF44A5" w:rsidP="00221DE3">
            <w:pPr>
              <w:rPr>
                <w:rFonts w:cstheme="majorHAnsi"/>
                <w:color w:val="000000" w:themeColor="text1"/>
              </w:rPr>
            </w:pPr>
            <w:r w:rsidRPr="00B6593D">
              <w:rPr>
                <w:rFonts w:cstheme="majorHAnsi"/>
                <w:color w:val="000000" w:themeColor="text1"/>
                <w:szCs w:val="22"/>
              </w:rPr>
              <w:t>Hapi 8</w:t>
            </w:r>
          </w:p>
        </w:tc>
        <w:tc>
          <w:tcPr>
            <w:tcW w:w="8222" w:type="dxa"/>
            <w:shd w:val="clear" w:color="auto" w:fill="auto"/>
          </w:tcPr>
          <w:p w:rsidR="00CF44A5" w:rsidRPr="00B6593D" w:rsidRDefault="00CF44A5" w:rsidP="00221DE3">
            <w:pPr>
              <w:rPr>
                <w:rFonts w:cstheme="majorHAnsi"/>
                <w:color w:val="000000" w:themeColor="text1"/>
                <w:szCs w:val="22"/>
              </w:rPr>
            </w:pPr>
            <w:r w:rsidRPr="00B6593D">
              <w:rPr>
                <w:rFonts w:cstheme="majorHAnsi"/>
                <w:color w:val="000000" w:themeColor="text1"/>
              </w:rPr>
              <w:t>Hartimi dhe miratimi i Raportit të 4-të mbi Zbatimin e Strategjisë / PV 2022</w:t>
            </w:r>
          </w:p>
        </w:tc>
      </w:tr>
      <w:tr w:rsidR="00CF44A5" w:rsidRPr="00B6593D" w:rsidTr="00C005C7">
        <w:tc>
          <w:tcPr>
            <w:tcW w:w="1134" w:type="dxa"/>
            <w:shd w:val="clear" w:color="auto" w:fill="auto"/>
          </w:tcPr>
          <w:p w:rsidR="00CF44A5" w:rsidRPr="00B6593D" w:rsidRDefault="00CF44A5" w:rsidP="00221DE3">
            <w:pPr>
              <w:rPr>
                <w:rFonts w:cstheme="majorHAnsi"/>
                <w:color w:val="000000" w:themeColor="text1"/>
              </w:rPr>
            </w:pPr>
            <w:r w:rsidRPr="00B6593D">
              <w:rPr>
                <w:rFonts w:cstheme="majorHAnsi"/>
                <w:color w:val="000000" w:themeColor="text1"/>
                <w:szCs w:val="22"/>
              </w:rPr>
              <w:t>Hapi 9</w:t>
            </w:r>
          </w:p>
        </w:tc>
        <w:tc>
          <w:tcPr>
            <w:tcW w:w="8222" w:type="dxa"/>
            <w:shd w:val="clear" w:color="auto" w:fill="auto"/>
          </w:tcPr>
          <w:p w:rsidR="00CF44A5" w:rsidRPr="00B6593D" w:rsidRDefault="00CF44A5" w:rsidP="00221DE3">
            <w:pPr>
              <w:rPr>
                <w:rFonts w:cstheme="majorHAnsi"/>
                <w:color w:val="000000" w:themeColor="text1"/>
                <w:szCs w:val="22"/>
              </w:rPr>
            </w:pPr>
            <w:r w:rsidRPr="00B6593D">
              <w:rPr>
                <w:rFonts w:cstheme="majorHAnsi"/>
                <w:color w:val="000000" w:themeColor="text1"/>
              </w:rPr>
              <w:t>Rishik</w:t>
            </w:r>
            <w:r w:rsidR="00B770C6">
              <w:rPr>
                <w:rFonts w:cstheme="majorHAnsi"/>
                <w:color w:val="000000" w:themeColor="text1"/>
              </w:rPr>
              <w:t>imi</w:t>
            </w:r>
            <w:r w:rsidRPr="00B6593D">
              <w:rPr>
                <w:rFonts w:cstheme="majorHAnsi"/>
                <w:color w:val="000000" w:themeColor="text1"/>
              </w:rPr>
              <w:t xml:space="preserve"> dhe </w:t>
            </w:r>
            <w:r w:rsidR="00460292" w:rsidRPr="00B6593D">
              <w:rPr>
                <w:rFonts w:cstheme="majorHAnsi"/>
                <w:color w:val="000000" w:themeColor="text1"/>
              </w:rPr>
              <w:t>përditësimi</w:t>
            </w:r>
            <w:r w:rsidRPr="00B6593D">
              <w:rPr>
                <w:rFonts w:cstheme="majorHAnsi"/>
                <w:color w:val="000000" w:themeColor="text1"/>
              </w:rPr>
              <w:t xml:space="preserve"> (nëse është e nevojshme) i Planit të Veprimit 2019-2021</w:t>
            </w:r>
          </w:p>
        </w:tc>
      </w:tr>
      <w:tr w:rsidR="00CF44A5" w:rsidRPr="00B6593D" w:rsidTr="00C005C7">
        <w:tc>
          <w:tcPr>
            <w:tcW w:w="1134" w:type="dxa"/>
            <w:shd w:val="clear" w:color="auto" w:fill="auto"/>
          </w:tcPr>
          <w:p w:rsidR="00CF44A5" w:rsidRPr="00B6593D" w:rsidRDefault="00CF44A5" w:rsidP="00221DE3">
            <w:pPr>
              <w:rPr>
                <w:rFonts w:cstheme="majorHAnsi"/>
                <w:color w:val="000000" w:themeColor="text1"/>
              </w:rPr>
            </w:pPr>
            <w:r w:rsidRPr="00B6593D">
              <w:rPr>
                <w:rFonts w:cstheme="majorHAnsi"/>
                <w:color w:val="000000" w:themeColor="text1"/>
                <w:szCs w:val="22"/>
              </w:rPr>
              <w:t>Hapi 10</w:t>
            </w:r>
          </w:p>
        </w:tc>
        <w:tc>
          <w:tcPr>
            <w:tcW w:w="8222" w:type="dxa"/>
            <w:shd w:val="clear" w:color="auto" w:fill="auto"/>
          </w:tcPr>
          <w:p w:rsidR="00CF44A5" w:rsidRPr="00B6593D" w:rsidRDefault="00CF44A5" w:rsidP="00221DE3">
            <w:pPr>
              <w:rPr>
                <w:rFonts w:cstheme="majorHAnsi"/>
                <w:color w:val="000000" w:themeColor="text1"/>
                <w:szCs w:val="22"/>
              </w:rPr>
            </w:pPr>
            <w:r w:rsidRPr="00B6593D">
              <w:rPr>
                <w:rFonts w:cstheme="majorHAnsi"/>
                <w:color w:val="000000" w:themeColor="text1"/>
              </w:rPr>
              <w:t>Hartimi dhe miratimi i Raportit të 5-të mbi Zbatimin e Strategjisë / PV 2023</w:t>
            </w:r>
          </w:p>
        </w:tc>
      </w:tr>
      <w:tr w:rsidR="00CF44A5" w:rsidRPr="00B6593D" w:rsidTr="00C005C7">
        <w:tc>
          <w:tcPr>
            <w:tcW w:w="1134" w:type="dxa"/>
            <w:shd w:val="clear" w:color="auto" w:fill="auto"/>
          </w:tcPr>
          <w:p w:rsidR="00CF44A5" w:rsidRPr="00B6593D" w:rsidRDefault="00CF44A5" w:rsidP="00221DE3">
            <w:pPr>
              <w:rPr>
                <w:rFonts w:cstheme="majorHAnsi"/>
                <w:color w:val="000000" w:themeColor="text1"/>
              </w:rPr>
            </w:pPr>
            <w:r w:rsidRPr="00B6593D">
              <w:rPr>
                <w:rFonts w:cstheme="majorHAnsi"/>
                <w:color w:val="000000" w:themeColor="text1"/>
                <w:szCs w:val="22"/>
              </w:rPr>
              <w:t>Hapi 11</w:t>
            </w:r>
          </w:p>
        </w:tc>
        <w:tc>
          <w:tcPr>
            <w:tcW w:w="8222" w:type="dxa"/>
            <w:shd w:val="clear" w:color="auto" w:fill="auto"/>
          </w:tcPr>
          <w:p w:rsidR="00CF44A5" w:rsidRPr="00B6593D" w:rsidRDefault="00B770C6" w:rsidP="00221DE3">
            <w:pPr>
              <w:rPr>
                <w:rFonts w:cstheme="majorHAnsi"/>
                <w:color w:val="000000" w:themeColor="text1"/>
                <w:szCs w:val="22"/>
              </w:rPr>
            </w:pPr>
            <w:r>
              <w:rPr>
                <w:rFonts w:cstheme="majorHAnsi"/>
                <w:color w:val="000000" w:themeColor="text1"/>
              </w:rPr>
              <w:t>R</w:t>
            </w:r>
            <w:r w:rsidR="00CF44A5" w:rsidRPr="00B6593D">
              <w:rPr>
                <w:rFonts w:cstheme="majorHAnsi"/>
                <w:color w:val="000000" w:themeColor="text1"/>
              </w:rPr>
              <w:t>ishikimi</w:t>
            </w:r>
            <w:r>
              <w:rPr>
                <w:rFonts w:cstheme="majorHAnsi"/>
                <w:color w:val="000000" w:themeColor="text1"/>
              </w:rPr>
              <w:t xml:space="preserve"> afatmesem</w:t>
            </w:r>
            <w:r w:rsidR="00CF44A5" w:rsidRPr="00B6593D">
              <w:rPr>
                <w:rFonts w:cstheme="majorHAnsi"/>
                <w:color w:val="000000" w:themeColor="text1"/>
              </w:rPr>
              <w:t xml:space="preserve"> / vlerësimi </w:t>
            </w:r>
            <w:r>
              <w:rPr>
                <w:rFonts w:cstheme="majorHAnsi"/>
                <w:color w:val="000000" w:themeColor="text1"/>
              </w:rPr>
              <w:t>i</w:t>
            </w:r>
            <w:r w:rsidR="00CF44A5" w:rsidRPr="00B6593D">
              <w:rPr>
                <w:rFonts w:cstheme="majorHAnsi"/>
                <w:color w:val="000000" w:themeColor="text1"/>
              </w:rPr>
              <w:t xml:space="preserve"> zbatimit të Strategjisë / PV</w:t>
            </w:r>
          </w:p>
        </w:tc>
      </w:tr>
    </w:tbl>
    <w:p w:rsidR="00CF44A5" w:rsidRPr="00B6593D" w:rsidRDefault="00CF44A5" w:rsidP="00CF44A5">
      <w:pPr>
        <w:rPr>
          <w:rFonts w:cstheme="majorHAnsi"/>
          <w:color w:val="000000" w:themeColor="text1"/>
        </w:rPr>
      </w:pPr>
    </w:p>
    <w:p w:rsidR="003F5EEC" w:rsidRPr="00B6593D" w:rsidRDefault="003F5EEC" w:rsidP="00CF44A5">
      <w:pPr>
        <w:contextualSpacing w:val="0"/>
        <w:rPr>
          <w:rFonts w:eastAsia="Times New Roman" w:cstheme="majorHAnsi"/>
          <w:color w:val="000000" w:themeColor="text1"/>
          <w:szCs w:val="22"/>
        </w:rPr>
      </w:pPr>
    </w:p>
    <w:p w:rsidR="00CF44A5" w:rsidRPr="00B6593D" w:rsidRDefault="00CF44A5" w:rsidP="00CF44A5">
      <w:pPr>
        <w:contextualSpacing w:val="0"/>
        <w:rPr>
          <w:rFonts w:eastAsia="Times New Roman" w:cstheme="majorHAnsi"/>
          <w:color w:val="000000" w:themeColor="text1"/>
          <w:szCs w:val="22"/>
        </w:rPr>
      </w:pPr>
      <w:r w:rsidRPr="00B6593D">
        <w:rPr>
          <w:rFonts w:eastAsia="Times New Roman" w:cstheme="majorHAnsi"/>
          <w:color w:val="000000" w:themeColor="text1"/>
          <w:szCs w:val="22"/>
        </w:rPr>
        <w:t>Nën koordinimin e Zyrës për Qeverisje të Mirë/Zyra e Kryeministrit dhe me përkrahje e E</w:t>
      </w:r>
      <w:r w:rsidR="00460292" w:rsidRPr="00B6593D">
        <w:rPr>
          <w:rFonts w:eastAsia="Times New Roman" w:cstheme="majorHAnsi"/>
          <w:color w:val="000000" w:themeColor="text1"/>
          <w:szCs w:val="22"/>
        </w:rPr>
        <w:t xml:space="preserve">kipeve të punës </w:t>
      </w:r>
      <w:r w:rsidRPr="00B6593D">
        <w:rPr>
          <w:rFonts w:eastAsia="Times New Roman" w:cstheme="majorHAnsi"/>
          <w:color w:val="000000" w:themeColor="text1"/>
          <w:szCs w:val="22"/>
        </w:rPr>
        <w:t xml:space="preserve">përgatiten Raportet e monitorimit të cilat dorëzohen në Këshill në baza vjetore. Zyra për Qeverisje të Mirë/Zyra e Kryeministrit, e cili ka rolin kyç koordinues për zbatimin e Strategjisë / PV </w:t>
      </w:r>
      <w:r w:rsidR="00460292" w:rsidRPr="00B6593D">
        <w:rPr>
          <w:rFonts w:eastAsia="Times New Roman" w:cstheme="majorHAnsi"/>
          <w:color w:val="000000" w:themeColor="text1"/>
          <w:szCs w:val="22"/>
        </w:rPr>
        <w:t xml:space="preserve">dhe rrjedhimisht </w:t>
      </w:r>
      <w:r w:rsidRPr="00B6593D">
        <w:rPr>
          <w:rFonts w:eastAsia="Times New Roman" w:cstheme="majorHAnsi"/>
          <w:color w:val="000000" w:themeColor="text1"/>
          <w:szCs w:val="22"/>
        </w:rPr>
        <w:t>është përgjegjëse për të siguruar ose koordinuar qasjen në të dhënat për E</w:t>
      </w:r>
      <w:r w:rsidR="00460292" w:rsidRPr="00B6593D">
        <w:rPr>
          <w:rFonts w:eastAsia="Times New Roman" w:cstheme="majorHAnsi"/>
          <w:color w:val="000000" w:themeColor="text1"/>
          <w:szCs w:val="22"/>
        </w:rPr>
        <w:t>kipet e punës</w:t>
      </w:r>
      <w:r w:rsidRPr="00B6593D">
        <w:rPr>
          <w:rFonts w:eastAsia="Times New Roman" w:cstheme="majorHAnsi"/>
          <w:color w:val="000000" w:themeColor="text1"/>
          <w:szCs w:val="22"/>
        </w:rPr>
        <w:t xml:space="preserve"> për të qenë në gjendje t</w:t>
      </w:r>
      <w:r w:rsidR="00460292" w:rsidRPr="00B6593D">
        <w:rPr>
          <w:rFonts w:eastAsia="Times New Roman" w:cstheme="majorHAnsi"/>
          <w:color w:val="000000" w:themeColor="text1"/>
          <w:szCs w:val="22"/>
        </w:rPr>
        <w:t>’i</w:t>
      </w:r>
      <w:r w:rsidRPr="00B6593D">
        <w:rPr>
          <w:rFonts w:eastAsia="Times New Roman" w:cstheme="majorHAnsi"/>
          <w:color w:val="000000" w:themeColor="text1"/>
          <w:szCs w:val="22"/>
        </w:rPr>
        <w:t xml:space="preserve"> kryej</w:t>
      </w:r>
      <w:r w:rsidR="00460292" w:rsidRPr="00B6593D">
        <w:rPr>
          <w:rFonts w:eastAsia="Times New Roman" w:cstheme="majorHAnsi"/>
          <w:color w:val="000000" w:themeColor="text1"/>
          <w:szCs w:val="22"/>
        </w:rPr>
        <w:t>n</w:t>
      </w:r>
      <w:r w:rsidRPr="00B6593D">
        <w:rPr>
          <w:rFonts w:eastAsia="Times New Roman" w:cstheme="majorHAnsi"/>
          <w:color w:val="000000" w:themeColor="text1"/>
          <w:szCs w:val="22"/>
        </w:rPr>
        <w:t>ë detyr</w:t>
      </w:r>
      <w:r w:rsidR="00460292" w:rsidRPr="00B6593D">
        <w:rPr>
          <w:rFonts w:eastAsia="Times New Roman" w:cstheme="majorHAnsi"/>
          <w:color w:val="000000" w:themeColor="text1"/>
          <w:szCs w:val="22"/>
        </w:rPr>
        <w:t>at e veta</w:t>
      </w:r>
      <w:r w:rsidRPr="00B6593D">
        <w:rPr>
          <w:rFonts w:eastAsia="Times New Roman" w:cstheme="majorHAnsi"/>
          <w:color w:val="000000" w:themeColor="text1"/>
          <w:szCs w:val="22"/>
        </w:rPr>
        <w:t>. Tabela e mëposhtme ofron informacione për burimet kryesore të të dhënave (mjetet e verifikimit) për treguesin e nivelit të rezultatit (ndikimit), ministrinë përgjegjëse, shpeshtësinë, afatin kohor të publikimit / afatin e fundit,</w:t>
      </w:r>
      <w:r w:rsidR="003F5EEC" w:rsidRPr="00B6593D">
        <w:rPr>
          <w:rFonts w:eastAsia="Times New Roman" w:cstheme="majorHAnsi"/>
          <w:color w:val="000000" w:themeColor="text1"/>
          <w:szCs w:val="22"/>
        </w:rPr>
        <w:t xml:space="preserve"> </w:t>
      </w:r>
      <w:r w:rsidRPr="00B6593D">
        <w:rPr>
          <w:rFonts w:eastAsia="Times New Roman" w:cstheme="majorHAnsi"/>
          <w:color w:val="000000" w:themeColor="text1"/>
          <w:szCs w:val="22"/>
        </w:rPr>
        <w:t>etj.</w:t>
      </w:r>
    </w:p>
    <w:p w:rsidR="00460292" w:rsidRPr="00B6593D" w:rsidRDefault="00460292" w:rsidP="00CF44A5">
      <w:pPr>
        <w:contextualSpacing w:val="0"/>
        <w:rPr>
          <w:rFonts w:eastAsia="Times New Roman" w:cstheme="majorHAnsi"/>
          <w:color w:val="000000" w:themeColor="text1"/>
          <w:szCs w:val="22"/>
        </w:rPr>
      </w:pPr>
    </w:p>
    <w:p w:rsidR="00CF44A5" w:rsidRPr="00B6593D" w:rsidRDefault="00460292" w:rsidP="00CF44A5">
      <w:pPr>
        <w:contextualSpacing w:val="0"/>
        <w:rPr>
          <w:rFonts w:eastAsia="Times New Roman" w:cstheme="majorHAnsi"/>
          <w:b/>
          <w:color w:val="000000" w:themeColor="text1"/>
          <w:szCs w:val="22"/>
        </w:rPr>
      </w:pPr>
      <w:r w:rsidRPr="00B6593D">
        <w:rPr>
          <w:rFonts w:eastAsia="Times New Roman" w:cstheme="majorHAnsi"/>
          <w:b/>
          <w:color w:val="000000" w:themeColor="text1"/>
          <w:szCs w:val="22"/>
        </w:rPr>
        <w:t xml:space="preserve"> Tabela e të dhënave për nivelin e arritjës së rezultateve dhe mjetet e verifikimit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3402"/>
        <w:gridCol w:w="1163"/>
        <w:gridCol w:w="1536"/>
      </w:tblGrid>
      <w:tr w:rsidR="00CF44A5" w:rsidRPr="00B6593D" w:rsidTr="00221DE3">
        <w:tc>
          <w:tcPr>
            <w:tcW w:w="1985" w:type="dxa"/>
            <w:shd w:val="clear" w:color="auto" w:fill="auto"/>
          </w:tcPr>
          <w:p w:rsidR="00CF44A5" w:rsidRPr="00B6593D" w:rsidRDefault="00CF44A5" w:rsidP="00221DE3">
            <w:pPr>
              <w:contextualSpacing w:val="0"/>
              <w:jc w:val="center"/>
              <w:rPr>
                <w:rFonts w:eastAsia="Times New Roman" w:cstheme="majorHAnsi"/>
                <w:b/>
                <w:color w:val="000000" w:themeColor="text1"/>
                <w:sz w:val="20"/>
                <w:szCs w:val="20"/>
              </w:rPr>
            </w:pPr>
            <w:r w:rsidRPr="00B6593D">
              <w:rPr>
                <w:rFonts w:eastAsia="Times New Roman" w:cstheme="majorHAnsi"/>
                <w:b/>
                <w:color w:val="000000" w:themeColor="text1"/>
                <w:sz w:val="20"/>
                <w:szCs w:val="20"/>
              </w:rPr>
              <w:t>Objektivi Strategjik / treguesi</w:t>
            </w:r>
          </w:p>
        </w:tc>
        <w:tc>
          <w:tcPr>
            <w:tcW w:w="1559" w:type="dxa"/>
            <w:shd w:val="clear" w:color="auto" w:fill="auto"/>
          </w:tcPr>
          <w:p w:rsidR="00CF44A5" w:rsidRPr="00B6593D" w:rsidRDefault="00CF44A5" w:rsidP="00221DE3">
            <w:pPr>
              <w:contextualSpacing w:val="0"/>
              <w:jc w:val="center"/>
              <w:rPr>
                <w:rFonts w:eastAsia="Times New Roman" w:cstheme="majorHAnsi"/>
                <w:b/>
                <w:color w:val="000000" w:themeColor="text1"/>
                <w:sz w:val="18"/>
                <w:szCs w:val="18"/>
              </w:rPr>
            </w:pPr>
            <w:r w:rsidRPr="00B6593D">
              <w:rPr>
                <w:rFonts w:eastAsia="Times New Roman" w:cstheme="majorHAnsi"/>
                <w:b/>
                <w:color w:val="000000" w:themeColor="text1"/>
                <w:sz w:val="18"/>
                <w:szCs w:val="18"/>
              </w:rPr>
              <w:t>Ministria përgjegjëse / njësia e qeverisë/ komuna</w:t>
            </w:r>
          </w:p>
        </w:tc>
        <w:tc>
          <w:tcPr>
            <w:tcW w:w="3402" w:type="dxa"/>
            <w:shd w:val="clear" w:color="auto" w:fill="auto"/>
          </w:tcPr>
          <w:p w:rsidR="00CF44A5" w:rsidRPr="00B6593D" w:rsidRDefault="00CF44A5" w:rsidP="00221DE3">
            <w:pPr>
              <w:contextualSpacing w:val="0"/>
              <w:jc w:val="center"/>
              <w:rPr>
                <w:rFonts w:eastAsia="Times New Roman" w:cstheme="majorHAnsi"/>
                <w:b/>
                <w:color w:val="000000" w:themeColor="text1"/>
                <w:sz w:val="20"/>
                <w:szCs w:val="20"/>
              </w:rPr>
            </w:pPr>
            <w:r w:rsidRPr="00B6593D">
              <w:rPr>
                <w:rFonts w:eastAsia="Times New Roman" w:cstheme="majorHAnsi"/>
                <w:b/>
                <w:color w:val="000000" w:themeColor="text1"/>
                <w:sz w:val="20"/>
                <w:szCs w:val="20"/>
              </w:rPr>
              <w:t>Burimi i të dhënave (mjetet e verifikimit)</w:t>
            </w:r>
          </w:p>
        </w:tc>
        <w:tc>
          <w:tcPr>
            <w:tcW w:w="1163" w:type="dxa"/>
            <w:shd w:val="clear" w:color="auto" w:fill="auto"/>
          </w:tcPr>
          <w:p w:rsidR="00CF44A5" w:rsidRPr="00B6593D" w:rsidRDefault="00460292" w:rsidP="00221DE3">
            <w:pPr>
              <w:contextualSpacing w:val="0"/>
              <w:jc w:val="center"/>
              <w:rPr>
                <w:rFonts w:eastAsia="Times New Roman" w:cstheme="majorHAnsi"/>
                <w:b/>
                <w:color w:val="000000" w:themeColor="text1"/>
                <w:sz w:val="18"/>
                <w:szCs w:val="18"/>
              </w:rPr>
            </w:pPr>
            <w:r w:rsidRPr="00B6593D">
              <w:rPr>
                <w:rFonts w:eastAsia="Times New Roman" w:cstheme="majorHAnsi"/>
                <w:b/>
                <w:color w:val="000000" w:themeColor="text1"/>
                <w:sz w:val="18"/>
                <w:szCs w:val="18"/>
              </w:rPr>
              <w:t>Periudha kohore</w:t>
            </w:r>
          </w:p>
        </w:tc>
        <w:tc>
          <w:tcPr>
            <w:tcW w:w="1536" w:type="dxa"/>
            <w:shd w:val="clear" w:color="auto" w:fill="auto"/>
          </w:tcPr>
          <w:p w:rsidR="00CF44A5" w:rsidRPr="00B6593D" w:rsidRDefault="00CF44A5" w:rsidP="00221DE3">
            <w:pPr>
              <w:contextualSpacing w:val="0"/>
              <w:jc w:val="center"/>
              <w:rPr>
                <w:rFonts w:eastAsia="Times New Roman" w:cstheme="majorHAnsi"/>
                <w:b/>
                <w:color w:val="000000" w:themeColor="text1"/>
                <w:sz w:val="20"/>
                <w:szCs w:val="20"/>
              </w:rPr>
            </w:pPr>
            <w:r w:rsidRPr="00B6593D">
              <w:rPr>
                <w:rFonts w:eastAsia="Times New Roman" w:cstheme="majorHAnsi"/>
                <w:b/>
                <w:color w:val="000000" w:themeColor="text1"/>
                <w:sz w:val="20"/>
                <w:szCs w:val="20"/>
              </w:rPr>
              <w:t>Afati i publikimit /</w:t>
            </w:r>
          </w:p>
          <w:p w:rsidR="00CF44A5" w:rsidRPr="00B6593D" w:rsidRDefault="00CF44A5" w:rsidP="00221DE3">
            <w:pPr>
              <w:contextualSpacing w:val="0"/>
              <w:jc w:val="center"/>
              <w:rPr>
                <w:rFonts w:eastAsia="Times New Roman" w:cstheme="majorHAnsi"/>
                <w:b/>
                <w:color w:val="000000" w:themeColor="text1"/>
                <w:sz w:val="20"/>
                <w:szCs w:val="20"/>
              </w:rPr>
            </w:pPr>
            <w:r w:rsidRPr="00B6593D">
              <w:rPr>
                <w:rFonts w:eastAsia="Times New Roman" w:cstheme="majorHAnsi"/>
                <w:b/>
                <w:color w:val="000000" w:themeColor="text1"/>
                <w:sz w:val="20"/>
                <w:szCs w:val="20"/>
              </w:rPr>
              <w:t>Afati i fundit</w:t>
            </w:r>
          </w:p>
        </w:tc>
      </w:tr>
      <w:tr w:rsidR="00CF44A5" w:rsidRPr="00B6593D" w:rsidTr="00221DE3">
        <w:tc>
          <w:tcPr>
            <w:tcW w:w="9645" w:type="dxa"/>
            <w:gridSpan w:val="5"/>
            <w:shd w:val="clear" w:color="auto" w:fill="D9D9D9"/>
          </w:tcPr>
          <w:p w:rsidR="00CF44A5" w:rsidRPr="00B6593D" w:rsidRDefault="00CF44A5" w:rsidP="00221DE3">
            <w:pPr>
              <w:contextualSpacing w:val="0"/>
              <w:jc w:val="center"/>
              <w:rPr>
                <w:rFonts w:eastAsia="Times New Roman" w:cstheme="majorHAnsi"/>
                <w:b/>
                <w:color w:val="000000" w:themeColor="text1"/>
                <w:szCs w:val="22"/>
                <w:highlight w:val="yellow"/>
              </w:rPr>
            </w:pPr>
            <w:r w:rsidRPr="00B6593D">
              <w:rPr>
                <w:rFonts w:cstheme="majorHAnsi"/>
                <w:b/>
                <w:color w:val="000000" w:themeColor="text1"/>
              </w:rPr>
              <w:t>Objektivi strategjik 1: Rritja e pjesëmarrjes së shoqërisë civile në hartimin e politikave</w:t>
            </w:r>
          </w:p>
        </w:tc>
      </w:tr>
      <w:tr w:rsidR="00CF44A5" w:rsidRPr="00B6593D" w:rsidTr="00221DE3">
        <w:tc>
          <w:tcPr>
            <w:tcW w:w="1985" w:type="dxa"/>
            <w:shd w:val="clear" w:color="auto" w:fill="auto"/>
          </w:tcPr>
          <w:p w:rsidR="00CF44A5" w:rsidRPr="00B6593D" w:rsidRDefault="00CF44A5" w:rsidP="00221DE3">
            <w:pPr>
              <w:contextualSpacing w:val="0"/>
              <w:jc w:val="left"/>
              <w:rPr>
                <w:rFonts w:eastAsia="Times New Roman" w:cstheme="majorHAnsi"/>
                <w:color w:val="000000" w:themeColor="text1"/>
              </w:rPr>
            </w:pPr>
          </w:p>
          <w:p w:rsidR="00CF44A5" w:rsidRPr="00B6593D" w:rsidRDefault="00CF44A5" w:rsidP="00221DE3">
            <w:pPr>
              <w:contextualSpacing w:val="0"/>
              <w:jc w:val="left"/>
              <w:rPr>
                <w:rFonts w:eastAsia="Times New Roman" w:cstheme="majorHAnsi"/>
                <w:color w:val="000000" w:themeColor="text1"/>
                <w:szCs w:val="22"/>
              </w:rPr>
            </w:pPr>
            <w:r w:rsidRPr="00B6593D">
              <w:rPr>
                <w:rFonts w:cstheme="majorHAnsi"/>
                <w:color w:val="000000" w:themeColor="text1"/>
                <w:szCs w:val="22"/>
              </w:rPr>
              <w:t>1.1 Përmirësimi i kapaciteteve të institucioneve për zbatimin e standardeve minimale për konsultime me publikun</w:t>
            </w:r>
          </w:p>
        </w:tc>
        <w:tc>
          <w:tcPr>
            <w:tcW w:w="1559"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ZQM</w:t>
            </w:r>
            <w:r w:rsidR="00460292" w:rsidRPr="00B6593D">
              <w:rPr>
                <w:rFonts w:eastAsia="Times New Roman" w:cstheme="majorHAnsi"/>
                <w:color w:val="000000" w:themeColor="text1"/>
                <w:szCs w:val="22"/>
              </w:rPr>
              <w:t>/</w:t>
            </w:r>
            <w:r w:rsidRPr="00B6593D">
              <w:rPr>
                <w:rFonts w:eastAsia="Times New Roman" w:cstheme="majorHAnsi"/>
                <w:color w:val="000000" w:themeColor="text1"/>
                <w:szCs w:val="22"/>
              </w:rPr>
              <w:t>ZKM (me mbështetjen e projektit të AT të BE-së)</w:t>
            </w:r>
          </w:p>
          <w:p w:rsidR="00CF44A5" w:rsidRPr="00B6593D" w:rsidRDefault="00CF44A5" w:rsidP="00221DE3">
            <w:pPr>
              <w:contextualSpacing w:val="0"/>
              <w:jc w:val="center"/>
              <w:rPr>
                <w:rFonts w:eastAsia="Times New Roman" w:cstheme="majorHAnsi"/>
                <w:color w:val="000000" w:themeColor="text1"/>
                <w:szCs w:val="22"/>
                <w:highlight w:val="yellow"/>
              </w:rPr>
            </w:pPr>
            <w:r w:rsidRPr="00B6593D">
              <w:rPr>
                <w:rFonts w:eastAsia="Times New Roman" w:cstheme="majorHAnsi"/>
                <w:color w:val="000000" w:themeColor="text1"/>
                <w:szCs w:val="22"/>
              </w:rPr>
              <w:t xml:space="preserve">MAPL </w:t>
            </w:r>
            <w:r w:rsidR="006D4A8E">
              <w:rPr>
                <w:rFonts w:eastAsia="Times New Roman" w:cstheme="majorHAnsi"/>
                <w:color w:val="000000" w:themeColor="text1"/>
                <w:szCs w:val="22"/>
              </w:rPr>
              <w:t>për</w:t>
            </w:r>
            <w:r w:rsidRPr="00B6593D">
              <w:rPr>
                <w:rFonts w:eastAsia="Times New Roman" w:cstheme="majorHAnsi"/>
                <w:color w:val="000000" w:themeColor="text1"/>
                <w:szCs w:val="22"/>
              </w:rPr>
              <w:t xml:space="preserve"> nivel lokal</w:t>
            </w:r>
          </w:p>
        </w:tc>
        <w:tc>
          <w:tcPr>
            <w:tcW w:w="3402"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Raport vjetor për zbatimin e Rregullores për standardet minimale të konsultimeve publike</w:t>
            </w:r>
          </w:p>
          <w:p w:rsidR="00CF44A5" w:rsidRPr="00B6593D" w:rsidRDefault="00CF44A5" w:rsidP="00221DE3">
            <w:pPr>
              <w:contextualSpacing w:val="0"/>
              <w:jc w:val="center"/>
              <w:rPr>
                <w:rFonts w:eastAsia="Times New Roman" w:cstheme="majorHAnsi"/>
                <w:color w:val="000000" w:themeColor="text1"/>
                <w:szCs w:val="22"/>
                <w:highlight w:val="yellow"/>
              </w:rPr>
            </w:pPr>
          </w:p>
        </w:tc>
        <w:tc>
          <w:tcPr>
            <w:tcW w:w="1163" w:type="dxa"/>
            <w:shd w:val="clear" w:color="auto" w:fill="auto"/>
          </w:tcPr>
          <w:p w:rsidR="00CF44A5" w:rsidRPr="00B6593D" w:rsidRDefault="00CF44A5" w:rsidP="00221DE3">
            <w:pPr>
              <w:contextualSpacing w:val="0"/>
              <w:jc w:val="center"/>
              <w:rPr>
                <w:rFonts w:eastAsia="Times New Roman" w:cstheme="majorHAnsi"/>
                <w:color w:val="000000" w:themeColor="text1"/>
                <w:szCs w:val="22"/>
                <w:highlight w:val="yellow"/>
              </w:rPr>
            </w:pPr>
            <w:r w:rsidRPr="00B6593D">
              <w:rPr>
                <w:rFonts w:eastAsia="Times New Roman" w:cstheme="majorHAnsi"/>
                <w:color w:val="000000" w:themeColor="text1"/>
                <w:szCs w:val="22"/>
              </w:rPr>
              <w:t>Vjetor</w:t>
            </w:r>
            <w:r w:rsidR="00460292" w:rsidRPr="00B6593D">
              <w:rPr>
                <w:rFonts w:eastAsia="Times New Roman" w:cstheme="majorHAnsi"/>
                <w:color w:val="000000" w:themeColor="text1"/>
                <w:szCs w:val="22"/>
              </w:rPr>
              <w:t>e</w:t>
            </w:r>
          </w:p>
        </w:tc>
        <w:tc>
          <w:tcPr>
            <w:tcW w:w="1536" w:type="dxa"/>
            <w:shd w:val="clear" w:color="auto" w:fill="auto"/>
          </w:tcPr>
          <w:p w:rsidR="00CF44A5" w:rsidRPr="00B6593D" w:rsidRDefault="00CF44A5" w:rsidP="00221DE3">
            <w:pPr>
              <w:contextualSpacing w:val="0"/>
              <w:jc w:val="center"/>
              <w:rPr>
                <w:rFonts w:eastAsia="Times New Roman" w:cstheme="majorHAnsi"/>
                <w:color w:val="000000" w:themeColor="text1"/>
                <w:szCs w:val="22"/>
                <w:highlight w:val="yellow"/>
              </w:rPr>
            </w:pPr>
            <w:r w:rsidRPr="00B6593D">
              <w:rPr>
                <w:rFonts w:cstheme="majorHAnsi"/>
                <w:color w:val="000000" w:themeColor="text1"/>
              </w:rPr>
              <w:t>31 Mars i vitit vijues</w:t>
            </w:r>
          </w:p>
        </w:tc>
      </w:tr>
      <w:tr w:rsidR="00CF44A5" w:rsidRPr="00B6593D" w:rsidTr="00221DE3">
        <w:tc>
          <w:tcPr>
            <w:tcW w:w="1985" w:type="dxa"/>
            <w:shd w:val="clear" w:color="auto" w:fill="auto"/>
          </w:tcPr>
          <w:p w:rsidR="00CF44A5" w:rsidRPr="00B6593D" w:rsidRDefault="00CF44A5" w:rsidP="00221DE3">
            <w:pPr>
              <w:spacing w:line="276" w:lineRule="auto"/>
              <w:jc w:val="left"/>
              <w:rPr>
                <w:rFonts w:cstheme="majorHAnsi"/>
                <w:color w:val="000000" w:themeColor="text1"/>
                <w:szCs w:val="22"/>
              </w:rPr>
            </w:pPr>
            <w:r w:rsidRPr="00B6593D">
              <w:rPr>
                <w:rFonts w:eastAsia="Times New Roman" w:cstheme="majorHAnsi"/>
                <w:color w:val="000000" w:themeColor="text1"/>
              </w:rPr>
              <w:t xml:space="preserve">1.2 </w:t>
            </w:r>
            <w:r w:rsidR="00460292" w:rsidRPr="00B6593D">
              <w:rPr>
                <w:rFonts w:cstheme="majorHAnsi"/>
                <w:color w:val="000000" w:themeColor="text1"/>
                <w:szCs w:val="22"/>
              </w:rPr>
              <w:t>Ngritja</w:t>
            </w:r>
            <w:r w:rsidRPr="00B6593D">
              <w:rPr>
                <w:rFonts w:cstheme="majorHAnsi"/>
                <w:color w:val="000000" w:themeColor="text1"/>
                <w:szCs w:val="22"/>
              </w:rPr>
              <w:t xml:space="preserve"> e njohurive të qytetarëve dhe </w:t>
            </w:r>
            <w:r w:rsidRPr="00B6593D">
              <w:rPr>
                <w:rFonts w:cstheme="majorHAnsi"/>
                <w:color w:val="000000" w:themeColor="text1"/>
                <w:szCs w:val="22"/>
              </w:rPr>
              <w:lastRenderedPageBreak/>
              <w:t>shoqërisë civile për konsultimet publike</w:t>
            </w:r>
          </w:p>
          <w:p w:rsidR="00CF44A5" w:rsidRPr="00B6593D" w:rsidRDefault="00CF44A5" w:rsidP="00221DE3">
            <w:pPr>
              <w:contextualSpacing w:val="0"/>
              <w:jc w:val="left"/>
              <w:rPr>
                <w:rFonts w:eastAsia="Times New Roman" w:cstheme="majorHAnsi"/>
                <w:color w:val="000000" w:themeColor="text1"/>
              </w:rPr>
            </w:pPr>
          </w:p>
        </w:tc>
        <w:tc>
          <w:tcPr>
            <w:tcW w:w="1559"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lastRenderedPageBreak/>
              <w:t>ZQM</w:t>
            </w:r>
            <w:r w:rsidR="00460292" w:rsidRPr="00B6593D">
              <w:rPr>
                <w:rFonts w:eastAsia="Times New Roman" w:cstheme="majorHAnsi"/>
                <w:color w:val="000000" w:themeColor="text1"/>
                <w:szCs w:val="22"/>
              </w:rPr>
              <w:t>/</w:t>
            </w:r>
            <w:r w:rsidRPr="00B6593D">
              <w:rPr>
                <w:rFonts w:eastAsia="Times New Roman" w:cstheme="majorHAnsi"/>
                <w:color w:val="000000" w:themeColor="text1"/>
                <w:szCs w:val="22"/>
              </w:rPr>
              <w:t>ZKM (me mbështetjen e projektit të AT të BE-së)</w:t>
            </w:r>
          </w:p>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lastRenderedPageBreak/>
              <w:t xml:space="preserve">MAPL </w:t>
            </w:r>
            <w:r w:rsidR="006D4A8E">
              <w:rPr>
                <w:rFonts w:eastAsia="Times New Roman" w:cstheme="majorHAnsi"/>
                <w:color w:val="000000" w:themeColor="text1"/>
                <w:szCs w:val="22"/>
              </w:rPr>
              <w:t>për</w:t>
            </w:r>
            <w:r w:rsidRPr="00B6593D">
              <w:rPr>
                <w:rFonts w:eastAsia="Times New Roman" w:cstheme="majorHAnsi"/>
                <w:color w:val="000000" w:themeColor="text1"/>
                <w:szCs w:val="22"/>
              </w:rPr>
              <w:t xml:space="preserve"> nivel lokal</w:t>
            </w:r>
          </w:p>
        </w:tc>
        <w:tc>
          <w:tcPr>
            <w:tcW w:w="3402" w:type="dxa"/>
            <w:shd w:val="clear" w:color="auto" w:fill="auto"/>
          </w:tcPr>
          <w:p w:rsidR="00CF44A5" w:rsidRPr="00B6593D" w:rsidRDefault="00515A47" w:rsidP="00221DE3">
            <w:pPr>
              <w:contextualSpacing w:val="0"/>
              <w:jc w:val="center"/>
              <w:rPr>
                <w:rFonts w:eastAsia="Times New Roman" w:cstheme="majorHAnsi"/>
                <w:color w:val="000000" w:themeColor="text1"/>
                <w:szCs w:val="22"/>
              </w:rPr>
            </w:pPr>
            <w:r w:rsidRPr="00B6593D">
              <w:rPr>
                <w:rFonts w:cstheme="majorHAnsi"/>
                <w:color w:val="000000" w:themeColor="text1"/>
                <w:szCs w:val="22"/>
              </w:rPr>
              <w:lastRenderedPageBreak/>
              <w:t>N</w:t>
            </w:r>
            <w:r w:rsidR="00CF44A5" w:rsidRPr="00B6593D">
              <w:rPr>
                <w:rFonts w:cstheme="majorHAnsi"/>
                <w:color w:val="000000" w:themeColor="text1"/>
                <w:szCs w:val="22"/>
              </w:rPr>
              <w:t>umrit të organizatave të shoqërisë civile dhe qytetarëve të regjistruar në Platformën Online</w:t>
            </w:r>
          </w:p>
        </w:tc>
        <w:tc>
          <w:tcPr>
            <w:tcW w:w="1163"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Vjetor</w:t>
            </w:r>
            <w:r w:rsidR="00460292" w:rsidRPr="00B6593D">
              <w:rPr>
                <w:rFonts w:eastAsia="Times New Roman" w:cstheme="majorHAnsi"/>
                <w:color w:val="000000" w:themeColor="text1"/>
                <w:szCs w:val="22"/>
              </w:rPr>
              <w:t>e</w:t>
            </w:r>
          </w:p>
        </w:tc>
        <w:tc>
          <w:tcPr>
            <w:tcW w:w="1536" w:type="dxa"/>
            <w:shd w:val="clear" w:color="auto" w:fill="auto"/>
          </w:tcPr>
          <w:p w:rsidR="00CF44A5" w:rsidRPr="00B6593D" w:rsidRDefault="00CF44A5" w:rsidP="00221DE3">
            <w:pPr>
              <w:contextualSpacing w:val="0"/>
              <w:jc w:val="center"/>
              <w:rPr>
                <w:rFonts w:cstheme="majorHAnsi"/>
                <w:color w:val="000000" w:themeColor="text1"/>
                <w:highlight w:val="yellow"/>
              </w:rPr>
            </w:pPr>
            <w:r w:rsidRPr="00B6593D">
              <w:rPr>
                <w:rFonts w:cstheme="majorHAnsi"/>
                <w:color w:val="000000" w:themeColor="text1"/>
              </w:rPr>
              <w:t>31 Mars i vitit vijues</w:t>
            </w:r>
          </w:p>
        </w:tc>
      </w:tr>
      <w:tr w:rsidR="00CF44A5" w:rsidRPr="00B6593D" w:rsidTr="00221DE3">
        <w:tc>
          <w:tcPr>
            <w:tcW w:w="1985" w:type="dxa"/>
            <w:shd w:val="clear" w:color="auto" w:fill="auto"/>
          </w:tcPr>
          <w:p w:rsidR="00CF44A5" w:rsidRPr="00B6593D" w:rsidRDefault="00CF44A5" w:rsidP="00221DE3">
            <w:pPr>
              <w:contextualSpacing w:val="0"/>
              <w:jc w:val="left"/>
              <w:rPr>
                <w:rFonts w:eastAsia="Times New Roman" w:cstheme="majorHAnsi"/>
                <w:color w:val="000000" w:themeColor="text1"/>
              </w:rPr>
            </w:pPr>
            <w:r w:rsidRPr="00B6593D">
              <w:rPr>
                <w:rFonts w:eastAsia="Times New Roman" w:cstheme="majorHAnsi"/>
                <w:color w:val="000000" w:themeColor="text1"/>
              </w:rPr>
              <w:t>1.3 Përmirësimi i kapaciteteve të OSHC-ve për të kontribuar në procesin e politikë-bërjes</w:t>
            </w:r>
          </w:p>
        </w:tc>
        <w:tc>
          <w:tcPr>
            <w:tcW w:w="1559" w:type="dxa"/>
            <w:shd w:val="clear" w:color="auto" w:fill="auto"/>
          </w:tcPr>
          <w:p w:rsidR="00CF44A5" w:rsidRPr="00B6593D" w:rsidRDefault="00CF44A5" w:rsidP="00221DE3">
            <w:pPr>
              <w:contextualSpacing w:val="0"/>
              <w:jc w:val="center"/>
              <w:rPr>
                <w:rFonts w:eastAsia="Times New Roman" w:cstheme="majorHAnsi"/>
                <w:color w:val="000000" w:themeColor="text1"/>
                <w:szCs w:val="22"/>
                <w:highlight w:val="yellow"/>
              </w:rPr>
            </w:pPr>
          </w:p>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ZQM</w:t>
            </w:r>
            <w:r w:rsidR="00460292" w:rsidRPr="00B6593D">
              <w:rPr>
                <w:rFonts w:eastAsia="Times New Roman" w:cstheme="majorHAnsi"/>
                <w:color w:val="000000" w:themeColor="text1"/>
                <w:szCs w:val="22"/>
              </w:rPr>
              <w:t>/</w:t>
            </w:r>
            <w:r w:rsidRPr="00B6593D">
              <w:rPr>
                <w:rFonts w:eastAsia="Times New Roman" w:cstheme="majorHAnsi"/>
                <w:color w:val="000000" w:themeColor="text1"/>
                <w:szCs w:val="22"/>
              </w:rPr>
              <w:t>ZKM</w:t>
            </w:r>
          </w:p>
          <w:p w:rsidR="00CF44A5" w:rsidRPr="00B6593D" w:rsidRDefault="00CF44A5" w:rsidP="00B65E9F">
            <w:pPr>
              <w:contextualSpacing w:val="0"/>
              <w:jc w:val="center"/>
              <w:rPr>
                <w:rFonts w:eastAsia="Times New Roman" w:cstheme="majorHAnsi"/>
                <w:color w:val="000000" w:themeColor="text1"/>
                <w:szCs w:val="22"/>
              </w:rPr>
            </w:pPr>
          </w:p>
        </w:tc>
        <w:tc>
          <w:tcPr>
            <w:tcW w:w="3402" w:type="dxa"/>
            <w:shd w:val="clear" w:color="auto" w:fill="auto"/>
          </w:tcPr>
          <w:p w:rsidR="00CF44A5" w:rsidRPr="00B6593D" w:rsidRDefault="00CF44A5" w:rsidP="00221DE3">
            <w:pPr>
              <w:spacing w:line="276" w:lineRule="auto"/>
              <w:jc w:val="left"/>
              <w:rPr>
                <w:rFonts w:cstheme="majorHAnsi"/>
                <w:color w:val="000000" w:themeColor="text1"/>
                <w:szCs w:val="22"/>
              </w:rPr>
            </w:pPr>
            <w:r w:rsidRPr="00B6593D">
              <w:rPr>
                <w:rFonts w:cstheme="majorHAnsi"/>
                <w:color w:val="000000" w:themeColor="text1"/>
                <w:szCs w:val="22"/>
              </w:rPr>
              <w:t xml:space="preserve">Numri i OSHC-ve të trajnuara në procesin e politikbërjes për zbatimin e Rregullores, përdorimin e Platformës Online, përfshirjen në EP, mënyrat tjera të konsultimit si dhe nr. i atyre qo kontribuojnë në konsultimet publike. </w:t>
            </w:r>
          </w:p>
          <w:p w:rsidR="00CF44A5" w:rsidRPr="00B6593D" w:rsidRDefault="00CF44A5" w:rsidP="00221DE3">
            <w:pPr>
              <w:contextualSpacing w:val="0"/>
              <w:jc w:val="center"/>
              <w:rPr>
                <w:rFonts w:eastAsia="Times New Roman" w:cstheme="majorHAnsi"/>
                <w:color w:val="000000" w:themeColor="text1"/>
                <w:szCs w:val="22"/>
              </w:rPr>
            </w:pPr>
          </w:p>
        </w:tc>
        <w:tc>
          <w:tcPr>
            <w:tcW w:w="1163"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p>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Vjetor</w:t>
            </w:r>
            <w:r w:rsidR="00460292" w:rsidRPr="00B6593D">
              <w:rPr>
                <w:rFonts w:eastAsia="Times New Roman" w:cstheme="majorHAnsi"/>
                <w:color w:val="000000" w:themeColor="text1"/>
                <w:szCs w:val="22"/>
              </w:rPr>
              <w:t>e</w:t>
            </w:r>
          </w:p>
        </w:tc>
        <w:tc>
          <w:tcPr>
            <w:tcW w:w="1536" w:type="dxa"/>
            <w:shd w:val="clear" w:color="auto" w:fill="auto"/>
          </w:tcPr>
          <w:p w:rsidR="00CF44A5" w:rsidRPr="00B6593D" w:rsidRDefault="00CF44A5" w:rsidP="00221DE3">
            <w:pPr>
              <w:contextualSpacing w:val="0"/>
              <w:jc w:val="center"/>
              <w:rPr>
                <w:rFonts w:cstheme="majorHAnsi"/>
                <w:color w:val="000000" w:themeColor="text1"/>
              </w:rPr>
            </w:pPr>
            <w:r w:rsidRPr="00B6593D">
              <w:rPr>
                <w:rFonts w:cstheme="majorHAnsi"/>
                <w:color w:val="000000" w:themeColor="text1"/>
              </w:rPr>
              <w:t>Raporti vjetor</w:t>
            </w:r>
          </w:p>
          <w:p w:rsidR="00657554" w:rsidRPr="00B6593D" w:rsidRDefault="00657554"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 xml:space="preserve">150 OSHC për vit </w:t>
            </w:r>
          </w:p>
        </w:tc>
      </w:tr>
      <w:tr w:rsidR="00CF44A5" w:rsidRPr="00B6593D" w:rsidTr="00221DE3">
        <w:tc>
          <w:tcPr>
            <w:tcW w:w="9645" w:type="dxa"/>
            <w:gridSpan w:val="5"/>
            <w:shd w:val="clear" w:color="auto" w:fill="D9D9D9"/>
          </w:tcPr>
          <w:p w:rsidR="00CF44A5" w:rsidRPr="00B6593D" w:rsidRDefault="00CF44A5" w:rsidP="00221DE3">
            <w:pPr>
              <w:pStyle w:val="Heading2"/>
              <w:spacing w:before="0" w:after="0"/>
              <w:rPr>
                <w:rFonts w:eastAsia="Times New Roman" w:cstheme="majorHAnsi"/>
                <w:color w:val="000000" w:themeColor="text1"/>
              </w:rPr>
            </w:pPr>
            <w:bookmarkStart w:id="27" w:name="_Toc535484359"/>
            <w:bookmarkStart w:id="28" w:name="_Toc536000966"/>
            <w:r w:rsidRPr="00B6593D">
              <w:rPr>
                <w:rFonts w:eastAsia="Times New Roman" w:cstheme="majorHAnsi"/>
                <w:color w:val="000000" w:themeColor="text1"/>
                <w:szCs w:val="22"/>
              </w:rPr>
              <w:t>Objektivi strategjik 2:</w:t>
            </w:r>
            <w:r w:rsidRPr="00B6593D">
              <w:rPr>
                <w:rFonts w:eastAsia="Times New Roman" w:cstheme="majorHAnsi"/>
                <w:b w:val="0"/>
                <w:color w:val="000000" w:themeColor="text1"/>
                <w:szCs w:val="22"/>
              </w:rPr>
              <w:t xml:space="preserve"> </w:t>
            </w:r>
            <w:r w:rsidRPr="00B6593D">
              <w:rPr>
                <w:rFonts w:eastAsia="Times New Roman" w:cstheme="majorHAnsi"/>
                <w:color w:val="000000" w:themeColor="text1"/>
              </w:rPr>
              <w:t>Përmirësimi i kornizës institucionale dhe ligjore për financim në zhvillimin e qëndrueshëm të programeve dhe projekteve të OShC-ve me interes publik</w:t>
            </w:r>
            <w:bookmarkEnd w:id="27"/>
            <w:bookmarkEnd w:id="28"/>
          </w:p>
          <w:p w:rsidR="00CF44A5" w:rsidRPr="00B6593D" w:rsidRDefault="00CF44A5" w:rsidP="00221DE3">
            <w:pPr>
              <w:contextualSpacing w:val="0"/>
              <w:jc w:val="center"/>
              <w:rPr>
                <w:rFonts w:eastAsia="Times New Roman" w:cstheme="majorHAnsi"/>
                <w:b/>
                <w:color w:val="000000" w:themeColor="text1"/>
                <w:szCs w:val="22"/>
                <w:highlight w:val="yellow"/>
              </w:rPr>
            </w:pPr>
          </w:p>
        </w:tc>
      </w:tr>
      <w:tr w:rsidR="00CF44A5" w:rsidRPr="00B6593D" w:rsidTr="00221DE3">
        <w:tc>
          <w:tcPr>
            <w:tcW w:w="1985"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p>
          <w:p w:rsidR="00CF44A5" w:rsidRPr="00B6593D" w:rsidRDefault="00CF44A5" w:rsidP="00221DE3">
            <w:pPr>
              <w:contextualSpacing w:val="0"/>
              <w:jc w:val="left"/>
              <w:rPr>
                <w:rFonts w:eastAsia="Times New Roman" w:cstheme="majorHAnsi"/>
                <w:color w:val="000000" w:themeColor="text1"/>
                <w:szCs w:val="22"/>
              </w:rPr>
            </w:pPr>
            <w:r w:rsidRPr="00B6593D">
              <w:rPr>
                <w:rFonts w:eastAsia="Times New Roman" w:cstheme="majorHAnsi"/>
                <w:color w:val="000000" w:themeColor="text1"/>
                <w:szCs w:val="22"/>
              </w:rPr>
              <w:t xml:space="preserve">2.1 </w:t>
            </w:r>
            <w:r w:rsidRPr="00B6593D">
              <w:rPr>
                <w:rFonts w:eastAsia="Times New Roman" w:cstheme="majorHAnsi"/>
                <w:color w:val="000000" w:themeColor="text1"/>
                <w:sz w:val="24"/>
              </w:rPr>
              <w:t>Fuqizimi i kapaciteteve të Ministrive dhe Komunave për zbatimin e standardeve për financimin publik të OSHC-ve</w:t>
            </w:r>
          </w:p>
        </w:tc>
        <w:tc>
          <w:tcPr>
            <w:tcW w:w="1559" w:type="dxa"/>
            <w:shd w:val="clear" w:color="auto" w:fill="auto"/>
          </w:tcPr>
          <w:p w:rsidR="00CF44A5" w:rsidRPr="00B6593D" w:rsidRDefault="00CF44A5" w:rsidP="00221DE3">
            <w:pPr>
              <w:contextualSpacing w:val="0"/>
              <w:rPr>
                <w:rFonts w:eastAsia="Times New Roman" w:cstheme="majorHAnsi"/>
                <w:color w:val="000000" w:themeColor="text1"/>
                <w:szCs w:val="22"/>
              </w:rPr>
            </w:pPr>
          </w:p>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MF</w:t>
            </w:r>
          </w:p>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ZQM/ZKM</w:t>
            </w:r>
          </w:p>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Projekti i AT</w:t>
            </w:r>
          </w:p>
        </w:tc>
        <w:tc>
          <w:tcPr>
            <w:tcW w:w="3402" w:type="dxa"/>
            <w:shd w:val="clear" w:color="auto" w:fill="auto"/>
          </w:tcPr>
          <w:p w:rsidR="00CF44A5" w:rsidRPr="00B6593D" w:rsidRDefault="005A67EB" w:rsidP="00221DE3">
            <w:pPr>
              <w:spacing w:line="276" w:lineRule="auto"/>
              <w:jc w:val="left"/>
              <w:rPr>
                <w:rFonts w:cstheme="majorHAnsi"/>
                <w:color w:val="000000" w:themeColor="text1"/>
                <w:szCs w:val="22"/>
              </w:rPr>
            </w:pPr>
            <w:r w:rsidRPr="00B6593D">
              <w:rPr>
                <w:rFonts w:eastAsia="Calibri" w:cstheme="majorHAnsi"/>
                <w:color w:val="000000" w:themeColor="text1"/>
              </w:rPr>
              <w:t>N</w:t>
            </w:r>
            <w:r w:rsidR="00CF44A5" w:rsidRPr="00B6593D">
              <w:rPr>
                <w:rFonts w:cstheme="majorHAnsi"/>
                <w:color w:val="000000" w:themeColor="text1"/>
                <w:szCs w:val="22"/>
              </w:rPr>
              <w:t>umri</w:t>
            </w:r>
            <w:r w:rsidRPr="00B6593D">
              <w:rPr>
                <w:rFonts w:cstheme="majorHAnsi"/>
                <w:color w:val="000000" w:themeColor="text1"/>
                <w:szCs w:val="22"/>
              </w:rPr>
              <w:t xml:space="preserve"> i </w:t>
            </w:r>
            <w:r w:rsidR="00CF44A5" w:rsidRPr="00B6593D">
              <w:rPr>
                <w:rFonts w:cstheme="majorHAnsi"/>
                <w:color w:val="000000" w:themeColor="text1"/>
                <w:szCs w:val="22"/>
              </w:rPr>
              <w:t>shërbyesve civil të trajnuar për kriteret, standardet dhe procedurat, e financimit publik të OSHC-ve</w:t>
            </w:r>
          </w:p>
          <w:p w:rsidR="00CF44A5" w:rsidRPr="00B6593D" w:rsidRDefault="00CF44A5" w:rsidP="00221DE3">
            <w:pPr>
              <w:contextualSpacing w:val="0"/>
              <w:jc w:val="center"/>
              <w:rPr>
                <w:rFonts w:eastAsia="Times New Roman" w:cstheme="majorHAnsi"/>
                <w:color w:val="000000" w:themeColor="text1"/>
                <w:szCs w:val="22"/>
                <w:highlight w:val="yellow"/>
              </w:rPr>
            </w:pPr>
          </w:p>
          <w:p w:rsidR="00515A47" w:rsidRPr="00B6593D" w:rsidRDefault="00515A47" w:rsidP="00515A47">
            <w:pPr>
              <w:spacing w:line="276" w:lineRule="auto"/>
              <w:jc w:val="left"/>
              <w:rPr>
                <w:rFonts w:cstheme="majorHAnsi"/>
                <w:color w:val="000000" w:themeColor="text1"/>
                <w:szCs w:val="22"/>
              </w:rPr>
            </w:pPr>
            <w:r w:rsidRPr="00B6593D">
              <w:rPr>
                <w:rFonts w:cstheme="majorHAnsi"/>
                <w:color w:val="000000" w:themeColor="text1"/>
                <w:szCs w:val="22"/>
              </w:rPr>
              <w:t>Organizimi institucional për mbikëqyrje të zbatimit të standardeve për financim publik</w:t>
            </w:r>
          </w:p>
          <w:p w:rsidR="00515A47" w:rsidRPr="00B6593D" w:rsidRDefault="00515A47" w:rsidP="00221DE3">
            <w:pPr>
              <w:contextualSpacing w:val="0"/>
              <w:jc w:val="center"/>
              <w:rPr>
                <w:rFonts w:eastAsia="Times New Roman" w:cstheme="majorHAnsi"/>
                <w:color w:val="000000" w:themeColor="text1"/>
                <w:szCs w:val="22"/>
                <w:highlight w:val="yellow"/>
              </w:rPr>
            </w:pPr>
          </w:p>
        </w:tc>
        <w:tc>
          <w:tcPr>
            <w:tcW w:w="1163" w:type="dxa"/>
            <w:shd w:val="clear" w:color="auto" w:fill="auto"/>
          </w:tcPr>
          <w:p w:rsidR="00CF44A5" w:rsidRPr="00B6593D" w:rsidRDefault="00CF44A5" w:rsidP="00221DE3">
            <w:pPr>
              <w:contextualSpacing w:val="0"/>
              <w:rPr>
                <w:rFonts w:eastAsia="Times New Roman" w:cstheme="majorHAnsi"/>
                <w:color w:val="000000" w:themeColor="text1"/>
                <w:szCs w:val="22"/>
              </w:rPr>
            </w:pPr>
            <w:r w:rsidRPr="00B6593D">
              <w:rPr>
                <w:rFonts w:eastAsia="Times New Roman" w:cstheme="majorHAnsi"/>
                <w:color w:val="000000" w:themeColor="text1"/>
                <w:szCs w:val="22"/>
              </w:rPr>
              <w:t xml:space="preserve">   Vjetor</w:t>
            </w:r>
            <w:r w:rsidR="00657554" w:rsidRPr="00B6593D">
              <w:rPr>
                <w:rFonts w:eastAsia="Times New Roman" w:cstheme="majorHAnsi"/>
                <w:color w:val="000000" w:themeColor="text1"/>
                <w:szCs w:val="22"/>
              </w:rPr>
              <w:t>e</w:t>
            </w:r>
          </w:p>
          <w:p w:rsidR="00CF44A5" w:rsidRPr="00B6593D" w:rsidRDefault="00CF44A5" w:rsidP="00221DE3">
            <w:pPr>
              <w:contextualSpacing w:val="0"/>
              <w:rPr>
                <w:rFonts w:eastAsia="Times New Roman" w:cstheme="majorHAnsi"/>
                <w:color w:val="000000" w:themeColor="text1"/>
                <w:szCs w:val="22"/>
              </w:rPr>
            </w:pPr>
          </w:p>
          <w:p w:rsidR="00CF44A5" w:rsidRPr="00B6593D" w:rsidRDefault="00CF44A5" w:rsidP="00221DE3">
            <w:pPr>
              <w:contextualSpacing w:val="0"/>
              <w:jc w:val="center"/>
              <w:rPr>
                <w:rFonts w:eastAsia="Times New Roman" w:cstheme="majorHAnsi"/>
                <w:color w:val="000000" w:themeColor="text1"/>
                <w:szCs w:val="22"/>
              </w:rPr>
            </w:pPr>
          </w:p>
        </w:tc>
        <w:tc>
          <w:tcPr>
            <w:tcW w:w="1536" w:type="dxa"/>
            <w:shd w:val="clear" w:color="auto" w:fill="auto"/>
          </w:tcPr>
          <w:p w:rsidR="00CF44A5" w:rsidRPr="00B6593D" w:rsidRDefault="00CF44A5" w:rsidP="00221DE3">
            <w:pPr>
              <w:spacing w:line="276" w:lineRule="auto"/>
              <w:jc w:val="left"/>
              <w:rPr>
                <w:rFonts w:eastAsia="Times New Roman" w:cstheme="majorHAnsi"/>
                <w:color w:val="000000" w:themeColor="text1"/>
                <w:szCs w:val="22"/>
              </w:rPr>
            </w:pPr>
            <w:r w:rsidRPr="00B6593D">
              <w:rPr>
                <w:rFonts w:cstheme="majorHAnsi"/>
                <w:color w:val="000000" w:themeColor="text1"/>
                <w:szCs w:val="22"/>
              </w:rPr>
              <w:t>Raport vjetor</w:t>
            </w:r>
          </w:p>
        </w:tc>
      </w:tr>
      <w:tr w:rsidR="00CF44A5" w:rsidRPr="00B6593D" w:rsidTr="00221DE3">
        <w:tc>
          <w:tcPr>
            <w:tcW w:w="1985" w:type="dxa"/>
            <w:shd w:val="clear" w:color="auto" w:fill="auto"/>
          </w:tcPr>
          <w:p w:rsidR="00CF44A5" w:rsidRPr="00B6593D" w:rsidRDefault="00CF44A5" w:rsidP="00221DE3">
            <w:pPr>
              <w:contextualSpacing w:val="0"/>
              <w:jc w:val="left"/>
              <w:rPr>
                <w:rFonts w:eastAsia="Times New Roman" w:cstheme="majorHAnsi"/>
                <w:color w:val="000000" w:themeColor="text1"/>
                <w:sz w:val="24"/>
              </w:rPr>
            </w:pPr>
            <w:r w:rsidRPr="00B6593D">
              <w:rPr>
                <w:rFonts w:eastAsia="Times New Roman" w:cstheme="majorHAnsi"/>
                <w:color w:val="000000" w:themeColor="text1"/>
                <w:sz w:val="24"/>
              </w:rPr>
              <w:t xml:space="preserve">2.2 Përmirësimi i kornizës ligjore dhe institucionale për zhvillimin e filantropisë individuale dhe të korporatave </w:t>
            </w:r>
          </w:p>
          <w:p w:rsidR="00CF44A5" w:rsidRPr="00B6593D" w:rsidRDefault="00CF44A5" w:rsidP="00221DE3">
            <w:pPr>
              <w:contextualSpacing w:val="0"/>
              <w:jc w:val="left"/>
              <w:rPr>
                <w:rFonts w:eastAsia="Times New Roman" w:cstheme="majorHAnsi"/>
                <w:color w:val="000000" w:themeColor="text1"/>
                <w:szCs w:val="22"/>
              </w:rPr>
            </w:pPr>
          </w:p>
        </w:tc>
        <w:tc>
          <w:tcPr>
            <w:tcW w:w="1559"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p>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MF</w:t>
            </w:r>
          </w:p>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Projekti i AT</w:t>
            </w:r>
          </w:p>
        </w:tc>
        <w:tc>
          <w:tcPr>
            <w:tcW w:w="3402" w:type="dxa"/>
            <w:shd w:val="clear" w:color="auto" w:fill="auto"/>
          </w:tcPr>
          <w:p w:rsidR="00CF44A5" w:rsidRPr="00B6593D" w:rsidRDefault="00CF44A5" w:rsidP="00221DE3">
            <w:pPr>
              <w:contextualSpacing w:val="0"/>
              <w:jc w:val="left"/>
              <w:rPr>
                <w:rFonts w:eastAsia="Times New Roman" w:cstheme="majorHAnsi"/>
                <w:color w:val="000000" w:themeColor="text1"/>
                <w:szCs w:val="22"/>
                <w:highlight w:val="yellow"/>
              </w:rPr>
            </w:pPr>
            <w:r w:rsidRPr="00B6593D">
              <w:rPr>
                <w:rFonts w:cstheme="majorHAnsi"/>
                <w:color w:val="000000" w:themeColor="text1"/>
                <w:szCs w:val="22"/>
              </w:rPr>
              <w:t>Korniza ligjore gjithëpërfshirëse për filantropinë individuale dhe të korporatave e përgatitur/ Koncept dokumenti</w:t>
            </w:r>
            <w:r w:rsidR="005A67EB" w:rsidRPr="00B6593D">
              <w:rPr>
                <w:rFonts w:cstheme="majorHAnsi"/>
                <w:color w:val="000000" w:themeColor="text1"/>
                <w:szCs w:val="22"/>
              </w:rPr>
              <w:t xml:space="preserve"> e krijuar</w:t>
            </w:r>
          </w:p>
        </w:tc>
        <w:tc>
          <w:tcPr>
            <w:tcW w:w="1163"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p>
          <w:p w:rsidR="00CF44A5" w:rsidRPr="00B6593D" w:rsidRDefault="005A67EB"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N/A</w:t>
            </w:r>
          </w:p>
        </w:tc>
        <w:tc>
          <w:tcPr>
            <w:tcW w:w="1536" w:type="dxa"/>
            <w:shd w:val="clear" w:color="auto" w:fill="auto"/>
          </w:tcPr>
          <w:p w:rsidR="00CF44A5" w:rsidRPr="00B6593D" w:rsidRDefault="005A67EB" w:rsidP="00221DE3">
            <w:pPr>
              <w:contextualSpacing w:val="0"/>
              <w:jc w:val="center"/>
              <w:rPr>
                <w:rFonts w:eastAsia="Times New Roman" w:cstheme="majorHAnsi"/>
                <w:color w:val="000000" w:themeColor="text1"/>
                <w:szCs w:val="22"/>
              </w:rPr>
            </w:pPr>
            <w:r w:rsidRPr="00B6593D">
              <w:rPr>
                <w:rFonts w:cstheme="majorHAnsi"/>
                <w:color w:val="000000" w:themeColor="text1"/>
              </w:rPr>
              <w:t>2020</w:t>
            </w:r>
          </w:p>
        </w:tc>
      </w:tr>
      <w:tr w:rsidR="00CF44A5" w:rsidRPr="00B6593D" w:rsidTr="00221DE3">
        <w:tc>
          <w:tcPr>
            <w:tcW w:w="1985"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r w:rsidRPr="00B6593D">
              <w:rPr>
                <w:rFonts w:eastAsia="Times New Roman" w:cstheme="majorHAnsi"/>
                <w:color w:val="000000" w:themeColor="text1"/>
                <w:szCs w:val="22"/>
              </w:rPr>
              <w:t>2.3 Rregullimi i ndarjes së pronës publike për shfrytëzim nga OSHC-të</w:t>
            </w:r>
          </w:p>
        </w:tc>
        <w:tc>
          <w:tcPr>
            <w:tcW w:w="1559"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MMPH</w:t>
            </w:r>
          </w:p>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MAP</w:t>
            </w:r>
          </w:p>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MAPL</w:t>
            </w:r>
          </w:p>
        </w:tc>
        <w:tc>
          <w:tcPr>
            <w:tcW w:w="3402" w:type="dxa"/>
            <w:shd w:val="clear" w:color="auto" w:fill="auto"/>
          </w:tcPr>
          <w:p w:rsidR="00CF44A5" w:rsidRPr="00B6593D" w:rsidRDefault="00CF44A5" w:rsidP="00221DE3">
            <w:pPr>
              <w:contextualSpacing w:val="0"/>
              <w:rPr>
                <w:rFonts w:cstheme="majorHAnsi"/>
                <w:color w:val="000000" w:themeColor="text1"/>
              </w:rPr>
            </w:pPr>
          </w:p>
          <w:p w:rsidR="00CF44A5" w:rsidRPr="00B6593D" w:rsidRDefault="00CF44A5" w:rsidP="00221DE3">
            <w:pPr>
              <w:contextualSpacing w:val="0"/>
              <w:jc w:val="center"/>
              <w:rPr>
                <w:rFonts w:eastAsia="Times New Roman" w:cstheme="majorHAnsi"/>
                <w:color w:val="000000" w:themeColor="text1"/>
                <w:szCs w:val="22"/>
              </w:rPr>
            </w:pPr>
            <w:r w:rsidRPr="00B6593D">
              <w:rPr>
                <w:rFonts w:cstheme="majorHAnsi"/>
                <w:color w:val="000000" w:themeColor="text1"/>
              </w:rPr>
              <w:t>Regjistri elektronik (reporti/çasje)</w:t>
            </w:r>
          </w:p>
        </w:tc>
        <w:tc>
          <w:tcPr>
            <w:tcW w:w="1163" w:type="dxa"/>
            <w:shd w:val="clear" w:color="auto" w:fill="auto"/>
          </w:tcPr>
          <w:p w:rsidR="00CF44A5" w:rsidRPr="00B6593D" w:rsidRDefault="00CF44A5" w:rsidP="00221DE3">
            <w:pPr>
              <w:contextualSpacing w:val="0"/>
              <w:rPr>
                <w:rFonts w:eastAsia="Times New Roman" w:cstheme="majorHAnsi"/>
                <w:color w:val="000000" w:themeColor="text1"/>
                <w:szCs w:val="22"/>
              </w:rPr>
            </w:pPr>
          </w:p>
          <w:p w:rsidR="00CF44A5" w:rsidRPr="00B6593D" w:rsidRDefault="005A67EB"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N/A</w:t>
            </w:r>
          </w:p>
        </w:tc>
        <w:tc>
          <w:tcPr>
            <w:tcW w:w="1536" w:type="dxa"/>
            <w:shd w:val="clear" w:color="auto" w:fill="auto"/>
          </w:tcPr>
          <w:p w:rsidR="00CF44A5" w:rsidRPr="00B6593D" w:rsidRDefault="00CF44A5" w:rsidP="00221DE3">
            <w:pPr>
              <w:contextualSpacing w:val="0"/>
              <w:jc w:val="center"/>
              <w:rPr>
                <w:rFonts w:cstheme="majorHAnsi"/>
                <w:color w:val="000000" w:themeColor="text1"/>
                <w:highlight w:val="yellow"/>
              </w:rPr>
            </w:pPr>
          </w:p>
          <w:p w:rsidR="00CF44A5" w:rsidRPr="00B6593D" w:rsidRDefault="005A67EB" w:rsidP="00221DE3">
            <w:pPr>
              <w:contextualSpacing w:val="0"/>
              <w:jc w:val="center"/>
              <w:rPr>
                <w:rFonts w:eastAsia="Times New Roman" w:cstheme="majorHAnsi"/>
                <w:color w:val="000000" w:themeColor="text1"/>
                <w:szCs w:val="22"/>
              </w:rPr>
            </w:pPr>
            <w:r w:rsidRPr="00B6593D">
              <w:rPr>
                <w:rFonts w:cstheme="majorHAnsi"/>
                <w:color w:val="000000" w:themeColor="text1"/>
              </w:rPr>
              <w:t>2021</w:t>
            </w:r>
          </w:p>
        </w:tc>
      </w:tr>
      <w:tr w:rsidR="00CF44A5" w:rsidRPr="00B6593D" w:rsidTr="00221DE3">
        <w:tc>
          <w:tcPr>
            <w:tcW w:w="1985"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r w:rsidRPr="00B6593D">
              <w:rPr>
                <w:rFonts w:eastAsia="Times New Roman" w:cstheme="majorHAnsi"/>
                <w:color w:val="000000" w:themeColor="text1"/>
                <w:szCs w:val="22"/>
              </w:rPr>
              <w:t>Objektivi specifik 2.4 Krijimi i një sistemi të bashkëfinancimit për projektet e OSHC-ve të mbështetura nga BE-ja</w:t>
            </w:r>
          </w:p>
        </w:tc>
        <w:tc>
          <w:tcPr>
            <w:tcW w:w="1559" w:type="dxa"/>
            <w:shd w:val="clear" w:color="auto" w:fill="auto"/>
          </w:tcPr>
          <w:p w:rsidR="00CF44A5" w:rsidRPr="00B6593D" w:rsidRDefault="00CF44A5" w:rsidP="00221DE3">
            <w:pPr>
              <w:contextualSpacing w:val="0"/>
              <w:rPr>
                <w:rFonts w:eastAsia="Times New Roman" w:cstheme="majorHAnsi"/>
                <w:color w:val="000000" w:themeColor="text1"/>
                <w:szCs w:val="22"/>
              </w:rPr>
            </w:pPr>
          </w:p>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MIE, MF</w:t>
            </w:r>
          </w:p>
        </w:tc>
        <w:tc>
          <w:tcPr>
            <w:tcW w:w="3402"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r w:rsidRPr="00B6593D">
              <w:rPr>
                <w:rFonts w:cstheme="majorHAnsi"/>
                <w:color w:val="000000" w:themeColor="text1"/>
                <w:szCs w:val="22"/>
              </w:rPr>
              <w:t>Korniza rregulluese dhe institucionale për bashkëfinancim të projekteve të OSHC-ve të mbështetura nga BE e analizuar dhe miratuar</w:t>
            </w:r>
          </w:p>
        </w:tc>
        <w:tc>
          <w:tcPr>
            <w:tcW w:w="1163" w:type="dxa"/>
            <w:shd w:val="clear" w:color="auto" w:fill="auto"/>
          </w:tcPr>
          <w:p w:rsidR="00CF44A5" w:rsidRPr="00B6593D" w:rsidRDefault="00CF44A5" w:rsidP="00221DE3">
            <w:pPr>
              <w:contextualSpacing w:val="0"/>
              <w:rPr>
                <w:rFonts w:eastAsia="Times New Roman" w:cstheme="majorHAnsi"/>
                <w:color w:val="000000" w:themeColor="text1"/>
                <w:szCs w:val="22"/>
              </w:rPr>
            </w:pPr>
          </w:p>
          <w:p w:rsidR="00CF44A5" w:rsidRPr="00B6593D" w:rsidRDefault="005A67EB"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N/A</w:t>
            </w:r>
          </w:p>
        </w:tc>
        <w:tc>
          <w:tcPr>
            <w:tcW w:w="1536" w:type="dxa"/>
            <w:shd w:val="clear" w:color="auto" w:fill="auto"/>
          </w:tcPr>
          <w:p w:rsidR="00CF44A5" w:rsidRPr="00B6593D" w:rsidRDefault="005A67EB"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2021</w:t>
            </w:r>
          </w:p>
        </w:tc>
      </w:tr>
      <w:tr w:rsidR="00CF44A5" w:rsidRPr="00B6593D" w:rsidTr="00221DE3">
        <w:tc>
          <w:tcPr>
            <w:tcW w:w="9645" w:type="dxa"/>
            <w:gridSpan w:val="5"/>
            <w:shd w:val="clear" w:color="auto" w:fill="D9D9D9"/>
          </w:tcPr>
          <w:p w:rsidR="00CF44A5" w:rsidRPr="00B6593D" w:rsidRDefault="00CF44A5" w:rsidP="00221DE3">
            <w:pPr>
              <w:jc w:val="center"/>
              <w:rPr>
                <w:rFonts w:cstheme="majorHAnsi"/>
                <w:b/>
                <w:color w:val="000000" w:themeColor="text1"/>
              </w:rPr>
            </w:pPr>
            <w:r w:rsidRPr="00B6593D">
              <w:rPr>
                <w:rFonts w:cstheme="majorHAnsi"/>
                <w:b/>
                <w:color w:val="000000" w:themeColor="text1"/>
              </w:rPr>
              <w:lastRenderedPageBreak/>
              <w:t>Objektivi strategjik 3: Zhvillimi i praktikave dhe procedurave të kontraktimit të OSHC-ve për ofrimin e shërbimeve publike</w:t>
            </w:r>
          </w:p>
        </w:tc>
      </w:tr>
      <w:tr w:rsidR="00CF44A5" w:rsidRPr="00B6593D" w:rsidTr="00221DE3">
        <w:tc>
          <w:tcPr>
            <w:tcW w:w="1985"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r w:rsidRPr="00B6593D">
              <w:rPr>
                <w:rFonts w:eastAsia="Times New Roman" w:cstheme="majorHAnsi"/>
                <w:color w:val="000000" w:themeColor="text1"/>
                <w:szCs w:val="22"/>
              </w:rPr>
              <w:t>3.1 Përmirësimi i kornizës së përgjithshme ligjore dhe institucionale për rregullimin e aktiviteteve ekonomike të OJQ-ve</w:t>
            </w:r>
          </w:p>
        </w:tc>
        <w:tc>
          <w:tcPr>
            <w:tcW w:w="1559"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MF</w:t>
            </w:r>
          </w:p>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ATK</w:t>
            </w:r>
          </w:p>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Projekti i AT</w:t>
            </w:r>
          </w:p>
        </w:tc>
        <w:tc>
          <w:tcPr>
            <w:tcW w:w="3402" w:type="dxa"/>
            <w:shd w:val="clear" w:color="auto" w:fill="auto"/>
          </w:tcPr>
          <w:p w:rsidR="00CF44A5" w:rsidRPr="00B6593D" w:rsidRDefault="00CF44A5" w:rsidP="00474B0F">
            <w:pPr>
              <w:contextualSpacing w:val="0"/>
              <w:jc w:val="center"/>
              <w:rPr>
                <w:rFonts w:eastAsia="Times New Roman" w:cstheme="majorHAnsi"/>
                <w:color w:val="000000" w:themeColor="text1"/>
                <w:szCs w:val="22"/>
              </w:rPr>
            </w:pPr>
            <w:r w:rsidRPr="00B6593D">
              <w:rPr>
                <w:rFonts w:cstheme="majorHAnsi"/>
                <w:color w:val="000000" w:themeColor="text1"/>
                <w:szCs w:val="22"/>
              </w:rPr>
              <w:t>Korniza ligjore e konsoliduar (posaçërisht Ligji për Tatimin në të Ardhura të Korporatave)</w:t>
            </w:r>
          </w:p>
        </w:tc>
        <w:tc>
          <w:tcPr>
            <w:tcW w:w="1163" w:type="dxa"/>
            <w:shd w:val="clear" w:color="auto" w:fill="auto"/>
          </w:tcPr>
          <w:p w:rsidR="00CF44A5" w:rsidRPr="00B6593D" w:rsidRDefault="00CF44A5" w:rsidP="00221DE3">
            <w:pPr>
              <w:contextualSpacing w:val="0"/>
              <w:rPr>
                <w:rFonts w:eastAsia="Times New Roman" w:cstheme="majorHAnsi"/>
                <w:color w:val="000000" w:themeColor="text1"/>
                <w:szCs w:val="22"/>
              </w:rPr>
            </w:pPr>
          </w:p>
          <w:p w:rsidR="00CF44A5" w:rsidRPr="00B6593D" w:rsidRDefault="005A67EB"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N/A</w:t>
            </w:r>
          </w:p>
        </w:tc>
        <w:tc>
          <w:tcPr>
            <w:tcW w:w="1536" w:type="dxa"/>
            <w:shd w:val="clear" w:color="auto" w:fill="auto"/>
          </w:tcPr>
          <w:p w:rsidR="00CF44A5" w:rsidRPr="00B6593D" w:rsidRDefault="005A67EB"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2021</w:t>
            </w:r>
            <w:r w:rsidR="00CF44A5" w:rsidRPr="00B6593D">
              <w:rPr>
                <w:rFonts w:eastAsia="Times New Roman" w:cstheme="majorHAnsi"/>
                <w:color w:val="000000" w:themeColor="text1"/>
                <w:szCs w:val="22"/>
              </w:rPr>
              <w:t xml:space="preserve"> </w:t>
            </w:r>
          </w:p>
        </w:tc>
      </w:tr>
      <w:tr w:rsidR="00CF44A5" w:rsidRPr="00B6593D" w:rsidTr="00221DE3">
        <w:tc>
          <w:tcPr>
            <w:tcW w:w="1985"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r w:rsidRPr="00B6593D">
              <w:rPr>
                <w:rFonts w:eastAsia="Times New Roman" w:cstheme="majorHAnsi"/>
                <w:color w:val="000000" w:themeColor="text1"/>
                <w:szCs w:val="22"/>
              </w:rPr>
              <w:t>Objektivi specifik 3.2, 3.3 &amp; 3.4 (ofrimi i shërbimeve sociale)</w:t>
            </w:r>
          </w:p>
        </w:tc>
        <w:tc>
          <w:tcPr>
            <w:tcW w:w="1559"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ZKM</w:t>
            </w:r>
          </w:p>
        </w:tc>
        <w:tc>
          <w:tcPr>
            <w:tcW w:w="3402" w:type="dxa"/>
            <w:shd w:val="clear" w:color="auto" w:fill="auto"/>
          </w:tcPr>
          <w:p w:rsidR="00CF44A5" w:rsidRPr="00B6593D" w:rsidRDefault="00CF44A5" w:rsidP="00221DE3">
            <w:pPr>
              <w:jc w:val="center"/>
              <w:rPr>
                <w:rFonts w:cstheme="majorHAnsi"/>
                <w:color w:val="000000" w:themeColor="text1"/>
              </w:rPr>
            </w:pPr>
            <w:r w:rsidRPr="00B6593D">
              <w:rPr>
                <w:rFonts w:cstheme="majorHAnsi"/>
                <w:color w:val="000000" w:themeColor="text1"/>
              </w:rPr>
              <w:t>Baza e të dhënave online (Raport / qasje)</w:t>
            </w:r>
          </w:p>
          <w:p w:rsidR="00CF44A5" w:rsidRPr="00B6593D" w:rsidRDefault="00CF44A5" w:rsidP="00221DE3">
            <w:pPr>
              <w:jc w:val="center"/>
              <w:rPr>
                <w:rFonts w:cstheme="majorHAnsi"/>
                <w:color w:val="000000" w:themeColor="text1"/>
              </w:rPr>
            </w:pPr>
            <w:r w:rsidRPr="00B6593D">
              <w:rPr>
                <w:rFonts w:cstheme="majorHAnsi"/>
                <w:color w:val="000000" w:themeColor="text1"/>
              </w:rPr>
              <w:t>Raporti i mekanizmit të referimit</w:t>
            </w:r>
          </w:p>
        </w:tc>
        <w:tc>
          <w:tcPr>
            <w:tcW w:w="1163" w:type="dxa"/>
            <w:shd w:val="clear" w:color="auto" w:fill="auto"/>
          </w:tcPr>
          <w:p w:rsidR="00CF44A5" w:rsidRPr="00B6593D" w:rsidRDefault="00CF44A5" w:rsidP="00221DE3">
            <w:pPr>
              <w:contextualSpacing w:val="0"/>
              <w:rPr>
                <w:rFonts w:eastAsia="Times New Roman" w:cstheme="majorHAnsi"/>
                <w:color w:val="000000" w:themeColor="text1"/>
                <w:szCs w:val="22"/>
              </w:rPr>
            </w:pPr>
          </w:p>
          <w:p w:rsidR="00CF44A5" w:rsidRPr="00B6593D" w:rsidRDefault="005A67EB"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N/A</w:t>
            </w:r>
          </w:p>
        </w:tc>
        <w:tc>
          <w:tcPr>
            <w:tcW w:w="1536" w:type="dxa"/>
            <w:shd w:val="clear" w:color="auto" w:fill="auto"/>
          </w:tcPr>
          <w:p w:rsidR="00CF44A5" w:rsidRPr="00B6593D" w:rsidRDefault="005A67EB" w:rsidP="00221DE3">
            <w:pPr>
              <w:contextualSpacing w:val="0"/>
              <w:jc w:val="center"/>
              <w:rPr>
                <w:rFonts w:cstheme="majorHAnsi"/>
                <w:color w:val="000000" w:themeColor="text1"/>
              </w:rPr>
            </w:pPr>
            <w:r w:rsidRPr="00B6593D">
              <w:rPr>
                <w:rFonts w:cstheme="majorHAnsi"/>
                <w:color w:val="000000" w:themeColor="text1"/>
              </w:rPr>
              <w:t>2021</w:t>
            </w:r>
          </w:p>
          <w:p w:rsidR="00CF44A5" w:rsidRPr="00B6593D" w:rsidRDefault="00CF44A5" w:rsidP="00221DE3">
            <w:pPr>
              <w:contextualSpacing w:val="0"/>
              <w:jc w:val="center"/>
              <w:rPr>
                <w:rFonts w:eastAsia="Times New Roman" w:cstheme="majorHAnsi"/>
                <w:color w:val="000000" w:themeColor="text1"/>
                <w:szCs w:val="22"/>
              </w:rPr>
            </w:pPr>
          </w:p>
        </w:tc>
      </w:tr>
      <w:tr w:rsidR="00CF44A5" w:rsidRPr="00B6593D" w:rsidTr="00221DE3">
        <w:tc>
          <w:tcPr>
            <w:tcW w:w="9645" w:type="dxa"/>
            <w:gridSpan w:val="5"/>
            <w:shd w:val="clear" w:color="auto" w:fill="D9D9D9"/>
          </w:tcPr>
          <w:p w:rsidR="00CF44A5" w:rsidRPr="00B6593D" w:rsidRDefault="00CF44A5" w:rsidP="00221DE3">
            <w:pPr>
              <w:jc w:val="center"/>
              <w:rPr>
                <w:rFonts w:cstheme="majorHAnsi"/>
                <w:b/>
                <w:color w:val="000000" w:themeColor="text1"/>
              </w:rPr>
            </w:pPr>
            <w:r w:rsidRPr="00B6593D">
              <w:rPr>
                <w:rFonts w:cstheme="majorHAnsi"/>
                <w:b/>
                <w:color w:val="000000" w:themeColor="text1"/>
              </w:rPr>
              <w:t xml:space="preserve">Objektivi </w:t>
            </w:r>
            <w:r w:rsidR="00FA2BDF" w:rsidRPr="00B6593D">
              <w:rPr>
                <w:rFonts w:cstheme="majorHAnsi"/>
                <w:b/>
                <w:color w:val="000000" w:themeColor="text1"/>
              </w:rPr>
              <w:t>Strategjik</w:t>
            </w:r>
            <w:r w:rsidRPr="00B6593D">
              <w:rPr>
                <w:rFonts w:cstheme="majorHAnsi"/>
                <w:b/>
                <w:color w:val="000000" w:themeColor="text1"/>
              </w:rPr>
              <w:t xml:space="preserve"> 4</w:t>
            </w:r>
            <w:r w:rsidR="005A67EB" w:rsidRPr="00B6593D">
              <w:rPr>
                <w:rFonts w:cstheme="majorHAnsi"/>
                <w:b/>
                <w:color w:val="000000" w:themeColor="text1"/>
              </w:rPr>
              <w:t xml:space="preserve"> </w:t>
            </w:r>
            <w:r w:rsidRPr="00B6593D">
              <w:rPr>
                <w:rFonts w:cstheme="majorHAnsi"/>
                <w:b/>
                <w:color w:val="000000" w:themeColor="text1"/>
              </w:rPr>
              <w:t>Krijimi i një kuadri gjithëpërfshirës ligjor dhe institucional për mbështetjen e zhvillimit të vullnetarizmit</w:t>
            </w:r>
          </w:p>
        </w:tc>
      </w:tr>
      <w:tr w:rsidR="00CF44A5" w:rsidRPr="00B6593D" w:rsidTr="00221DE3">
        <w:tc>
          <w:tcPr>
            <w:tcW w:w="1985"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r w:rsidRPr="00B6593D">
              <w:rPr>
                <w:rFonts w:eastAsia="Times New Roman" w:cstheme="majorHAnsi"/>
                <w:color w:val="000000" w:themeColor="text1"/>
                <w:szCs w:val="22"/>
              </w:rPr>
              <w:t>Objektivi specifik 4.1, 4.2 &amp; 4.3</w:t>
            </w:r>
          </w:p>
        </w:tc>
        <w:tc>
          <w:tcPr>
            <w:tcW w:w="1559"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cstheme="majorHAnsi"/>
                <w:color w:val="000000" w:themeColor="text1"/>
                <w:szCs w:val="22"/>
              </w:rPr>
              <w:t>ZKM,MKRS, MPMS, MF</w:t>
            </w:r>
          </w:p>
        </w:tc>
        <w:tc>
          <w:tcPr>
            <w:tcW w:w="3402" w:type="dxa"/>
            <w:shd w:val="clear" w:color="auto" w:fill="auto"/>
          </w:tcPr>
          <w:p w:rsidR="00CF44A5" w:rsidRPr="00B6593D" w:rsidRDefault="00CF44A5" w:rsidP="00221DE3">
            <w:pPr>
              <w:jc w:val="center"/>
              <w:rPr>
                <w:rFonts w:cstheme="majorHAnsi"/>
                <w:color w:val="000000" w:themeColor="text1"/>
              </w:rPr>
            </w:pPr>
            <w:r w:rsidRPr="00B6593D">
              <w:rPr>
                <w:rFonts w:eastAsia="Times New Roman" w:cstheme="majorHAnsi"/>
                <w:color w:val="000000" w:themeColor="text1"/>
                <w:szCs w:val="22"/>
              </w:rPr>
              <w:t>Koncept dokumenti për vullnetarizëm i përgatitur</w:t>
            </w:r>
          </w:p>
        </w:tc>
        <w:tc>
          <w:tcPr>
            <w:tcW w:w="1163" w:type="dxa"/>
            <w:shd w:val="clear" w:color="auto" w:fill="auto"/>
          </w:tcPr>
          <w:p w:rsidR="00CF44A5" w:rsidRPr="00B6593D" w:rsidRDefault="00CF44A5" w:rsidP="00221DE3">
            <w:pPr>
              <w:contextualSpacing w:val="0"/>
              <w:rPr>
                <w:rFonts w:eastAsia="Times New Roman" w:cstheme="majorHAnsi"/>
                <w:color w:val="000000" w:themeColor="text1"/>
                <w:szCs w:val="22"/>
              </w:rPr>
            </w:pPr>
          </w:p>
          <w:p w:rsidR="00CF44A5" w:rsidRPr="00B6593D" w:rsidRDefault="005A67EB"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N/A</w:t>
            </w:r>
          </w:p>
        </w:tc>
        <w:tc>
          <w:tcPr>
            <w:tcW w:w="1536" w:type="dxa"/>
            <w:shd w:val="clear" w:color="auto" w:fill="auto"/>
          </w:tcPr>
          <w:p w:rsidR="00CF44A5" w:rsidRPr="00B6593D" w:rsidRDefault="005A67EB" w:rsidP="00221DE3">
            <w:pPr>
              <w:contextualSpacing w:val="0"/>
              <w:jc w:val="center"/>
              <w:rPr>
                <w:rFonts w:cstheme="majorHAnsi"/>
                <w:color w:val="000000" w:themeColor="text1"/>
              </w:rPr>
            </w:pPr>
            <w:r w:rsidRPr="00B6593D">
              <w:rPr>
                <w:rFonts w:cstheme="majorHAnsi"/>
                <w:color w:val="000000" w:themeColor="text1"/>
              </w:rPr>
              <w:t>2021</w:t>
            </w:r>
          </w:p>
          <w:p w:rsidR="00CF44A5" w:rsidRPr="00B6593D" w:rsidRDefault="00CF44A5" w:rsidP="00221DE3">
            <w:pPr>
              <w:contextualSpacing w:val="0"/>
              <w:jc w:val="center"/>
              <w:rPr>
                <w:rFonts w:eastAsia="Times New Roman" w:cstheme="majorHAnsi"/>
                <w:color w:val="000000" w:themeColor="text1"/>
                <w:szCs w:val="22"/>
              </w:rPr>
            </w:pPr>
          </w:p>
        </w:tc>
      </w:tr>
    </w:tbl>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spacing w:line="276" w:lineRule="auto"/>
        <w:rPr>
          <w:rFonts w:cstheme="majorHAnsi"/>
          <w:color w:val="000000" w:themeColor="text1"/>
          <w:szCs w:val="22"/>
        </w:rPr>
      </w:pPr>
    </w:p>
    <w:p w:rsidR="00691D3B" w:rsidRPr="00B6593D" w:rsidRDefault="00691D3B" w:rsidP="00CF44A5">
      <w:pPr>
        <w:spacing w:line="276" w:lineRule="auto"/>
        <w:rPr>
          <w:rFonts w:cstheme="majorHAnsi"/>
          <w:color w:val="000000" w:themeColor="text1"/>
          <w:szCs w:val="22"/>
        </w:rPr>
      </w:pPr>
    </w:p>
    <w:p w:rsidR="00CF44A5" w:rsidRPr="00B6593D" w:rsidRDefault="00CF44A5" w:rsidP="00CF44A5">
      <w:pPr>
        <w:pStyle w:val="Heading1"/>
        <w:rPr>
          <w:rFonts w:eastAsia="Times New Roman" w:cstheme="majorHAnsi"/>
          <w:color w:val="000000" w:themeColor="text1"/>
          <w:u w:val="single"/>
        </w:rPr>
      </w:pPr>
      <w:bookmarkStart w:id="29" w:name="_Toc536000967"/>
      <w:r w:rsidRPr="00B6593D">
        <w:rPr>
          <w:rFonts w:eastAsia="Times New Roman" w:cstheme="majorHAnsi"/>
          <w:color w:val="000000" w:themeColor="text1"/>
          <w:u w:val="single"/>
        </w:rPr>
        <w:t>Ndikimet Financiare në Implementimin e Strategjisë</w:t>
      </w:r>
      <w:bookmarkEnd w:id="29"/>
      <w:r w:rsidRPr="00B6593D">
        <w:rPr>
          <w:rFonts w:eastAsia="Times New Roman" w:cstheme="majorHAnsi"/>
          <w:color w:val="000000" w:themeColor="text1"/>
          <w:u w:val="single"/>
        </w:rPr>
        <w:t xml:space="preserve">  </w:t>
      </w:r>
    </w:p>
    <w:p w:rsidR="00CF44A5" w:rsidRPr="00B6593D" w:rsidRDefault="00FF12EB" w:rsidP="00CF44A5">
      <w:pPr>
        <w:spacing w:line="276" w:lineRule="auto"/>
        <w:rPr>
          <w:rFonts w:cstheme="majorHAnsi"/>
          <w:color w:val="000000" w:themeColor="text1"/>
          <w:szCs w:val="22"/>
        </w:rPr>
      </w:pPr>
      <w:r w:rsidRPr="00B6593D">
        <w:rPr>
          <w:rFonts w:cstheme="majorHAnsi"/>
          <w:color w:val="000000" w:themeColor="text1"/>
          <w:szCs w:val="22"/>
        </w:rPr>
        <w:t>K</w:t>
      </w:r>
      <w:r w:rsidR="00B87CD9">
        <w:rPr>
          <w:rFonts w:cstheme="majorHAnsi"/>
          <w:color w:val="000000" w:themeColor="text1"/>
          <w:szCs w:val="22"/>
        </w:rPr>
        <w:t>j</w:t>
      </w:r>
      <w:r w:rsidRPr="00B6593D">
        <w:rPr>
          <w:rFonts w:cstheme="majorHAnsi"/>
          <w:color w:val="000000" w:themeColor="text1"/>
          <w:szCs w:val="22"/>
        </w:rPr>
        <w:t>o s</w:t>
      </w:r>
      <w:r w:rsidR="00CF44A5" w:rsidRPr="00B6593D">
        <w:rPr>
          <w:rFonts w:cstheme="majorHAnsi"/>
          <w:color w:val="000000" w:themeColor="text1"/>
          <w:szCs w:val="22"/>
        </w:rPr>
        <w:t xml:space="preserve">trategji është </w:t>
      </w:r>
      <w:r w:rsidR="00A47E73" w:rsidRPr="00B6593D">
        <w:rPr>
          <w:rFonts w:cstheme="majorHAnsi"/>
          <w:color w:val="000000" w:themeColor="text1"/>
          <w:szCs w:val="22"/>
        </w:rPr>
        <w:t>pajisur</w:t>
      </w:r>
      <w:r w:rsidR="00CF44A5" w:rsidRPr="00B6593D">
        <w:rPr>
          <w:rFonts w:cstheme="majorHAnsi"/>
          <w:color w:val="000000" w:themeColor="text1"/>
          <w:szCs w:val="22"/>
        </w:rPr>
        <w:t xml:space="preserve"> me objektiva dhe veprime që janë më realiste dhe të arritshme. Për këtë Strategji, Qeveria ka vendosur që të ndajë buxhet për zbatimin e saj. Kjo është posaçërisht e rëndësishme për të ndihmuar Zyrën për Qeverisje të Mirë në Zyrën e Kryeministrit, ku </w:t>
      </w:r>
      <w:r w:rsidR="00B87CD9">
        <w:rPr>
          <w:rFonts w:cstheme="majorHAnsi"/>
          <w:color w:val="000000" w:themeColor="text1"/>
          <w:szCs w:val="22"/>
        </w:rPr>
        <w:t xml:space="preserve">përpos buxhetit të miratuat për aktivitete është paraparë edhe të bëhet rekrutimi i dy zyrtarëve të rinj </w:t>
      </w:r>
      <w:r w:rsidR="00CF44A5" w:rsidRPr="00B6593D">
        <w:rPr>
          <w:rFonts w:cstheme="majorHAnsi"/>
          <w:color w:val="000000" w:themeColor="text1"/>
          <w:szCs w:val="22"/>
        </w:rPr>
        <w:t xml:space="preserve">të cilët do të jenë përgjegjës për të ndihmuar zbatimin e strategjisë. Efektiviteti i zbatimit të strategjisë </w:t>
      </w:r>
      <w:r w:rsidR="00CF44A5" w:rsidRPr="00B6593D">
        <w:rPr>
          <w:rFonts w:cstheme="majorHAnsi"/>
          <w:color w:val="000000" w:themeColor="text1"/>
          <w:szCs w:val="22"/>
          <w:shd w:val="clear" w:color="auto" w:fill="FFFFFF"/>
        </w:rPr>
        <w:t xml:space="preserve">varet shumë nga kapacitetet shtesë me resurse njerëzore në kuadër të </w:t>
      </w:r>
      <w:r w:rsidR="00A47E73" w:rsidRPr="00B6593D">
        <w:rPr>
          <w:rFonts w:cstheme="majorHAnsi"/>
          <w:color w:val="000000" w:themeColor="text1"/>
          <w:szCs w:val="22"/>
        </w:rPr>
        <w:t>Zyrës për Qeverisje të Mirë/Zyrës së Kryeministrit</w:t>
      </w:r>
      <w:r w:rsidR="00CF44A5" w:rsidRPr="00B6593D">
        <w:rPr>
          <w:rFonts w:cstheme="majorHAnsi"/>
          <w:color w:val="000000" w:themeColor="text1"/>
          <w:szCs w:val="22"/>
          <w:shd w:val="clear" w:color="auto" w:fill="FFFFFF"/>
        </w:rPr>
        <w:t xml:space="preserve">. </w:t>
      </w:r>
    </w:p>
    <w:p w:rsidR="00CF44A5" w:rsidRPr="00B6593D" w:rsidRDefault="00CF44A5" w:rsidP="00CF44A5">
      <w:pPr>
        <w:spacing w:line="276" w:lineRule="auto"/>
        <w:rPr>
          <w:rFonts w:cstheme="majorHAnsi"/>
          <w:color w:val="000000" w:themeColor="text1"/>
          <w:szCs w:val="22"/>
        </w:rPr>
      </w:pPr>
    </w:p>
    <w:p w:rsidR="00CF44A5" w:rsidRPr="00B6593D" w:rsidRDefault="00CF44A5" w:rsidP="00B97937">
      <w:pPr>
        <w:spacing w:line="276" w:lineRule="auto"/>
        <w:jc w:val="left"/>
        <w:rPr>
          <w:rFonts w:cstheme="majorHAnsi"/>
          <w:color w:val="000000" w:themeColor="text1"/>
          <w:szCs w:val="22"/>
        </w:rPr>
      </w:pPr>
      <w:r w:rsidRPr="00B6593D">
        <w:rPr>
          <w:rFonts w:cstheme="majorHAnsi"/>
          <w:color w:val="000000" w:themeColor="text1"/>
          <w:szCs w:val="22"/>
        </w:rPr>
        <w:t xml:space="preserve">Buxheti i llogaritur për zbatimin e Strategjisë dhe Planit të Veprimit është </w:t>
      </w:r>
      <w:bookmarkStart w:id="30" w:name="_Hlk535923072"/>
      <w:r w:rsidR="00B97937" w:rsidRPr="0021663F">
        <w:rPr>
          <w:rFonts w:cstheme="majorHAnsi"/>
          <w:b/>
          <w:color w:val="000000" w:themeColor="text1"/>
          <w:szCs w:val="22"/>
        </w:rPr>
        <w:t>253</w:t>
      </w:r>
      <w:r w:rsidRPr="0021663F">
        <w:rPr>
          <w:rFonts w:cstheme="majorHAnsi"/>
          <w:b/>
          <w:color w:val="000000" w:themeColor="text1"/>
          <w:szCs w:val="22"/>
        </w:rPr>
        <w:t>.</w:t>
      </w:r>
      <w:r w:rsidR="00330785" w:rsidRPr="0021663F">
        <w:rPr>
          <w:rFonts w:cstheme="majorHAnsi"/>
          <w:b/>
          <w:color w:val="000000" w:themeColor="text1"/>
          <w:szCs w:val="22"/>
        </w:rPr>
        <w:t>5</w:t>
      </w:r>
      <w:r w:rsidRPr="0021663F">
        <w:rPr>
          <w:rFonts w:cstheme="majorHAnsi"/>
          <w:b/>
          <w:color w:val="000000" w:themeColor="text1"/>
          <w:szCs w:val="22"/>
        </w:rPr>
        <w:t>00 EUR.</w:t>
      </w:r>
      <w:r w:rsidR="00B97937" w:rsidRPr="0021663F">
        <w:rPr>
          <w:rFonts w:cstheme="majorHAnsi"/>
          <w:b/>
          <w:color w:val="000000" w:themeColor="text1"/>
          <w:szCs w:val="22"/>
        </w:rPr>
        <w:br/>
      </w:r>
      <w:bookmarkEnd w:id="30"/>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Pasqyra e kostos së Strategjisë</w:t>
      </w:r>
      <w:r w:rsidR="00A47E73" w:rsidRPr="00B6593D">
        <w:rPr>
          <w:rFonts w:cstheme="majorHAnsi"/>
          <w:color w:val="000000" w:themeColor="text1"/>
          <w:szCs w:val="22"/>
        </w:rPr>
        <w:t xml:space="preserve"> e ndarë sipas viteve 2019/2020/2021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363"/>
        <w:gridCol w:w="2329"/>
        <w:gridCol w:w="2329"/>
        <w:gridCol w:w="2329"/>
      </w:tblGrid>
      <w:tr w:rsidR="00CF44A5" w:rsidRPr="00B97937" w:rsidTr="0021663F">
        <w:tc>
          <w:tcPr>
            <w:tcW w:w="2363" w:type="dxa"/>
            <w:shd w:val="clear" w:color="auto" w:fill="F2F2F2" w:themeFill="background1" w:themeFillShade="F2"/>
          </w:tcPr>
          <w:p w:rsidR="00CF44A5" w:rsidRPr="00B97937" w:rsidRDefault="00CF44A5" w:rsidP="00221DE3">
            <w:pPr>
              <w:spacing w:line="276" w:lineRule="auto"/>
              <w:rPr>
                <w:rFonts w:cstheme="majorHAnsi"/>
                <w:b/>
                <w:color w:val="000000" w:themeColor="text1"/>
                <w:szCs w:val="22"/>
              </w:rPr>
            </w:pPr>
            <w:r w:rsidRPr="00B97937">
              <w:rPr>
                <w:rFonts w:cstheme="majorHAnsi"/>
                <w:b/>
                <w:color w:val="000000" w:themeColor="text1"/>
                <w:szCs w:val="22"/>
              </w:rPr>
              <w:t>Kostoja përmbledhëse e strategjisë</w:t>
            </w:r>
          </w:p>
          <w:p w:rsidR="00691D3B" w:rsidRPr="00B97937" w:rsidRDefault="00691D3B" w:rsidP="00221DE3">
            <w:pPr>
              <w:spacing w:line="276" w:lineRule="auto"/>
              <w:rPr>
                <w:rFonts w:cstheme="majorHAnsi"/>
                <w:b/>
                <w:color w:val="000000" w:themeColor="text1"/>
                <w:szCs w:val="22"/>
              </w:rPr>
            </w:pPr>
          </w:p>
        </w:tc>
        <w:tc>
          <w:tcPr>
            <w:tcW w:w="2329" w:type="dxa"/>
            <w:shd w:val="clear" w:color="auto" w:fill="F2F2F2" w:themeFill="background1" w:themeFillShade="F2"/>
          </w:tcPr>
          <w:p w:rsidR="00CF44A5" w:rsidRPr="00B97937" w:rsidRDefault="00995D9A" w:rsidP="00221DE3">
            <w:pPr>
              <w:spacing w:line="276" w:lineRule="auto"/>
              <w:rPr>
                <w:rFonts w:cstheme="majorHAnsi"/>
                <w:b/>
                <w:color w:val="000000" w:themeColor="text1"/>
                <w:szCs w:val="22"/>
              </w:rPr>
            </w:pPr>
            <w:r w:rsidRPr="00B97937">
              <w:rPr>
                <w:rFonts w:cstheme="majorHAnsi"/>
                <w:b/>
                <w:color w:val="000000" w:themeColor="text1"/>
                <w:szCs w:val="22"/>
              </w:rPr>
              <w:t>2019</w:t>
            </w:r>
          </w:p>
        </w:tc>
        <w:tc>
          <w:tcPr>
            <w:tcW w:w="2329" w:type="dxa"/>
            <w:shd w:val="clear" w:color="auto" w:fill="F2F2F2" w:themeFill="background1" w:themeFillShade="F2"/>
          </w:tcPr>
          <w:p w:rsidR="00CF44A5" w:rsidRPr="00B97937" w:rsidRDefault="00995D9A" w:rsidP="00221DE3">
            <w:pPr>
              <w:spacing w:line="276" w:lineRule="auto"/>
              <w:rPr>
                <w:rFonts w:cstheme="majorHAnsi"/>
                <w:b/>
                <w:color w:val="000000" w:themeColor="text1"/>
                <w:szCs w:val="22"/>
              </w:rPr>
            </w:pPr>
            <w:r w:rsidRPr="00B97937">
              <w:rPr>
                <w:rFonts w:cstheme="majorHAnsi"/>
                <w:b/>
                <w:color w:val="000000" w:themeColor="text1"/>
                <w:szCs w:val="22"/>
              </w:rPr>
              <w:t>2020</w:t>
            </w:r>
          </w:p>
        </w:tc>
        <w:tc>
          <w:tcPr>
            <w:tcW w:w="2329" w:type="dxa"/>
            <w:shd w:val="clear" w:color="auto" w:fill="F2F2F2" w:themeFill="background1" w:themeFillShade="F2"/>
          </w:tcPr>
          <w:p w:rsidR="00CF44A5" w:rsidRPr="00B97937" w:rsidRDefault="00995D9A" w:rsidP="00221DE3">
            <w:pPr>
              <w:spacing w:line="276" w:lineRule="auto"/>
              <w:rPr>
                <w:rFonts w:cstheme="majorHAnsi"/>
                <w:b/>
                <w:color w:val="000000" w:themeColor="text1"/>
                <w:szCs w:val="22"/>
              </w:rPr>
            </w:pPr>
            <w:r w:rsidRPr="00B97937">
              <w:rPr>
                <w:rFonts w:cstheme="majorHAnsi"/>
                <w:b/>
                <w:color w:val="000000" w:themeColor="text1"/>
                <w:szCs w:val="22"/>
              </w:rPr>
              <w:t>2021</w:t>
            </w:r>
          </w:p>
        </w:tc>
      </w:tr>
      <w:tr w:rsidR="00CF44A5" w:rsidRPr="00B97937" w:rsidTr="0021663F">
        <w:tc>
          <w:tcPr>
            <w:tcW w:w="2363" w:type="dxa"/>
            <w:shd w:val="clear" w:color="auto" w:fill="F2F2F2" w:themeFill="background1" w:themeFillShade="F2"/>
          </w:tcPr>
          <w:p w:rsidR="00CF44A5" w:rsidRPr="00B97937" w:rsidRDefault="00CF44A5" w:rsidP="00221DE3">
            <w:pPr>
              <w:spacing w:line="276" w:lineRule="auto"/>
              <w:rPr>
                <w:rFonts w:cstheme="majorHAnsi"/>
                <w:b/>
                <w:color w:val="000000" w:themeColor="text1"/>
                <w:szCs w:val="22"/>
              </w:rPr>
            </w:pPr>
            <w:r w:rsidRPr="00B97937">
              <w:rPr>
                <w:rFonts w:cstheme="majorHAnsi"/>
                <w:b/>
                <w:color w:val="000000" w:themeColor="text1"/>
                <w:szCs w:val="22"/>
              </w:rPr>
              <w:t>Mbështetja nga buxheti i Kosovës</w:t>
            </w:r>
          </w:p>
          <w:p w:rsidR="00691D3B" w:rsidRPr="00B97937" w:rsidRDefault="00691D3B" w:rsidP="00221DE3">
            <w:pPr>
              <w:spacing w:line="276" w:lineRule="auto"/>
              <w:rPr>
                <w:rFonts w:cstheme="majorHAnsi"/>
                <w:b/>
                <w:color w:val="000000" w:themeColor="text1"/>
                <w:szCs w:val="22"/>
              </w:rPr>
            </w:pPr>
          </w:p>
        </w:tc>
        <w:tc>
          <w:tcPr>
            <w:tcW w:w="2329" w:type="dxa"/>
            <w:shd w:val="clear" w:color="auto" w:fill="F2F2F2" w:themeFill="background1" w:themeFillShade="F2"/>
          </w:tcPr>
          <w:p w:rsidR="00CF44A5" w:rsidRPr="00B97937" w:rsidRDefault="0042612C" w:rsidP="00221DE3">
            <w:pPr>
              <w:spacing w:line="276" w:lineRule="auto"/>
              <w:rPr>
                <w:rFonts w:cstheme="majorHAnsi"/>
                <w:color w:val="000000" w:themeColor="text1"/>
                <w:szCs w:val="22"/>
              </w:rPr>
            </w:pPr>
            <w:r w:rsidRPr="00B97937">
              <w:rPr>
                <w:rFonts w:cstheme="majorHAnsi"/>
                <w:color w:val="000000" w:themeColor="text1"/>
                <w:szCs w:val="22"/>
              </w:rPr>
              <w:t>29,500</w:t>
            </w:r>
          </w:p>
        </w:tc>
        <w:tc>
          <w:tcPr>
            <w:tcW w:w="2329" w:type="dxa"/>
            <w:shd w:val="clear" w:color="auto" w:fill="F2F2F2" w:themeFill="background1" w:themeFillShade="F2"/>
          </w:tcPr>
          <w:p w:rsidR="00CF44A5" w:rsidRPr="00B97937" w:rsidRDefault="00FD1443" w:rsidP="00221DE3">
            <w:pPr>
              <w:spacing w:line="276" w:lineRule="auto"/>
              <w:rPr>
                <w:rFonts w:cstheme="majorHAnsi"/>
                <w:color w:val="000000" w:themeColor="text1"/>
                <w:szCs w:val="22"/>
              </w:rPr>
            </w:pPr>
            <w:r w:rsidRPr="00B97937">
              <w:rPr>
                <w:rFonts w:cstheme="majorHAnsi"/>
                <w:color w:val="000000" w:themeColor="text1"/>
                <w:szCs w:val="22"/>
              </w:rPr>
              <w:t>57</w:t>
            </w:r>
            <w:r w:rsidR="0042612C" w:rsidRPr="00B97937">
              <w:rPr>
                <w:rFonts w:cstheme="majorHAnsi"/>
                <w:color w:val="000000" w:themeColor="text1"/>
                <w:szCs w:val="22"/>
              </w:rPr>
              <w:t>,000</w:t>
            </w:r>
          </w:p>
        </w:tc>
        <w:tc>
          <w:tcPr>
            <w:tcW w:w="2329" w:type="dxa"/>
            <w:shd w:val="clear" w:color="auto" w:fill="F2F2F2" w:themeFill="background1" w:themeFillShade="F2"/>
          </w:tcPr>
          <w:p w:rsidR="00CF44A5" w:rsidRPr="00B97937" w:rsidRDefault="00FD1443" w:rsidP="00221DE3">
            <w:pPr>
              <w:spacing w:line="276" w:lineRule="auto"/>
              <w:rPr>
                <w:rFonts w:cstheme="majorHAnsi"/>
                <w:color w:val="000000" w:themeColor="text1"/>
                <w:szCs w:val="22"/>
              </w:rPr>
            </w:pPr>
            <w:r w:rsidRPr="00B97937">
              <w:rPr>
                <w:rFonts w:cstheme="majorHAnsi"/>
                <w:color w:val="000000" w:themeColor="text1"/>
                <w:szCs w:val="22"/>
              </w:rPr>
              <w:t>97</w:t>
            </w:r>
            <w:r w:rsidR="0042612C" w:rsidRPr="00B97937">
              <w:rPr>
                <w:rFonts w:cstheme="majorHAnsi"/>
                <w:color w:val="000000" w:themeColor="text1"/>
                <w:szCs w:val="22"/>
              </w:rPr>
              <w:t>,000</w:t>
            </w:r>
          </w:p>
        </w:tc>
      </w:tr>
      <w:tr w:rsidR="00CF44A5" w:rsidRPr="00B97937" w:rsidTr="0021663F">
        <w:tc>
          <w:tcPr>
            <w:tcW w:w="2363" w:type="dxa"/>
            <w:shd w:val="clear" w:color="auto" w:fill="F2F2F2" w:themeFill="background1" w:themeFillShade="F2"/>
          </w:tcPr>
          <w:p w:rsidR="00CF44A5" w:rsidRPr="00B97937" w:rsidRDefault="00CF44A5" w:rsidP="00221DE3">
            <w:pPr>
              <w:spacing w:line="276" w:lineRule="auto"/>
              <w:rPr>
                <w:rFonts w:cstheme="majorHAnsi"/>
                <w:b/>
                <w:color w:val="000000" w:themeColor="text1"/>
                <w:szCs w:val="22"/>
              </w:rPr>
            </w:pPr>
            <w:r w:rsidRPr="00B97937">
              <w:rPr>
                <w:rFonts w:cstheme="majorHAnsi"/>
                <w:b/>
                <w:color w:val="000000" w:themeColor="text1"/>
                <w:szCs w:val="22"/>
              </w:rPr>
              <w:t>Mbështetja e donatorëve potencialë</w:t>
            </w:r>
          </w:p>
          <w:p w:rsidR="00691D3B" w:rsidRPr="00B97937" w:rsidRDefault="00691D3B" w:rsidP="00221DE3">
            <w:pPr>
              <w:spacing w:line="276" w:lineRule="auto"/>
              <w:rPr>
                <w:rFonts w:cstheme="majorHAnsi"/>
                <w:b/>
                <w:color w:val="000000" w:themeColor="text1"/>
                <w:szCs w:val="22"/>
              </w:rPr>
            </w:pPr>
          </w:p>
        </w:tc>
        <w:tc>
          <w:tcPr>
            <w:tcW w:w="2329" w:type="dxa"/>
            <w:shd w:val="clear" w:color="auto" w:fill="F2F2F2" w:themeFill="background1" w:themeFillShade="F2"/>
          </w:tcPr>
          <w:p w:rsidR="00CF44A5" w:rsidRPr="00B97937" w:rsidRDefault="0042612C" w:rsidP="00221DE3">
            <w:pPr>
              <w:spacing w:line="276" w:lineRule="auto"/>
              <w:rPr>
                <w:rFonts w:cstheme="majorHAnsi"/>
                <w:color w:val="000000" w:themeColor="text1"/>
                <w:szCs w:val="22"/>
              </w:rPr>
            </w:pPr>
            <w:r w:rsidRPr="00B97937">
              <w:rPr>
                <w:rFonts w:cstheme="majorHAnsi"/>
                <w:color w:val="000000" w:themeColor="text1"/>
                <w:szCs w:val="22"/>
              </w:rPr>
              <w:t>30,000</w:t>
            </w:r>
          </w:p>
        </w:tc>
        <w:tc>
          <w:tcPr>
            <w:tcW w:w="2329" w:type="dxa"/>
            <w:shd w:val="clear" w:color="auto" w:fill="F2F2F2" w:themeFill="background1" w:themeFillShade="F2"/>
          </w:tcPr>
          <w:p w:rsidR="00CF44A5" w:rsidRPr="00B97937" w:rsidRDefault="0042612C" w:rsidP="00221DE3">
            <w:pPr>
              <w:spacing w:line="276" w:lineRule="auto"/>
              <w:rPr>
                <w:rFonts w:cstheme="majorHAnsi"/>
                <w:color w:val="000000" w:themeColor="text1"/>
                <w:szCs w:val="22"/>
              </w:rPr>
            </w:pPr>
            <w:r w:rsidRPr="00B97937">
              <w:rPr>
                <w:rFonts w:cstheme="majorHAnsi"/>
                <w:color w:val="000000" w:themeColor="text1"/>
                <w:szCs w:val="22"/>
              </w:rPr>
              <w:t>20,000</w:t>
            </w:r>
          </w:p>
        </w:tc>
        <w:tc>
          <w:tcPr>
            <w:tcW w:w="2329" w:type="dxa"/>
            <w:shd w:val="clear" w:color="auto" w:fill="F2F2F2" w:themeFill="background1" w:themeFillShade="F2"/>
          </w:tcPr>
          <w:p w:rsidR="00CF44A5" w:rsidRPr="00B97937" w:rsidRDefault="0042612C" w:rsidP="00221DE3">
            <w:pPr>
              <w:spacing w:line="276" w:lineRule="auto"/>
              <w:rPr>
                <w:rFonts w:cstheme="majorHAnsi"/>
                <w:color w:val="000000" w:themeColor="text1"/>
                <w:szCs w:val="22"/>
              </w:rPr>
            </w:pPr>
            <w:r w:rsidRPr="00B97937">
              <w:rPr>
                <w:rFonts w:cstheme="majorHAnsi"/>
                <w:color w:val="000000" w:themeColor="text1"/>
                <w:szCs w:val="22"/>
              </w:rPr>
              <w:t>20,000</w:t>
            </w:r>
          </w:p>
        </w:tc>
      </w:tr>
      <w:tr w:rsidR="00CF44A5" w:rsidRPr="00B6593D" w:rsidTr="0021663F">
        <w:tc>
          <w:tcPr>
            <w:tcW w:w="2363" w:type="dxa"/>
            <w:shd w:val="clear" w:color="auto" w:fill="F2F2F2" w:themeFill="background1" w:themeFillShade="F2"/>
          </w:tcPr>
          <w:p w:rsidR="00CF44A5" w:rsidRPr="00B97937" w:rsidRDefault="00CF44A5" w:rsidP="00221DE3">
            <w:pPr>
              <w:spacing w:line="276" w:lineRule="auto"/>
              <w:rPr>
                <w:rFonts w:cstheme="majorHAnsi"/>
                <w:b/>
                <w:color w:val="000000" w:themeColor="text1"/>
                <w:szCs w:val="22"/>
              </w:rPr>
            </w:pPr>
            <w:r w:rsidRPr="00B97937">
              <w:rPr>
                <w:rFonts w:cstheme="majorHAnsi"/>
                <w:b/>
                <w:color w:val="000000" w:themeColor="text1"/>
                <w:szCs w:val="22"/>
              </w:rPr>
              <w:t>Totali</w:t>
            </w:r>
          </w:p>
        </w:tc>
        <w:tc>
          <w:tcPr>
            <w:tcW w:w="2329" w:type="dxa"/>
            <w:shd w:val="clear" w:color="auto" w:fill="F2F2F2" w:themeFill="background1" w:themeFillShade="F2"/>
          </w:tcPr>
          <w:p w:rsidR="00CF44A5" w:rsidRPr="00B97937" w:rsidRDefault="00FB04EA" w:rsidP="00221DE3">
            <w:pPr>
              <w:spacing w:line="276" w:lineRule="auto"/>
              <w:rPr>
                <w:rFonts w:cstheme="majorHAnsi"/>
                <w:color w:val="000000" w:themeColor="text1"/>
                <w:szCs w:val="22"/>
              </w:rPr>
            </w:pPr>
            <w:r w:rsidRPr="00B97937">
              <w:rPr>
                <w:rFonts w:cstheme="majorHAnsi"/>
                <w:color w:val="000000" w:themeColor="text1"/>
                <w:szCs w:val="22"/>
              </w:rPr>
              <w:t>59</w:t>
            </w:r>
            <w:r w:rsidR="00B7242D" w:rsidRPr="00B97937">
              <w:rPr>
                <w:rFonts w:cstheme="majorHAnsi"/>
                <w:color w:val="000000" w:themeColor="text1"/>
                <w:szCs w:val="22"/>
              </w:rPr>
              <w:t>,500</w:t>
            </w:r>
          </w:p>
        </w:tc>
        <w:tc>
          <w:tcPr>
            <w:tcW w:w="2329" w:type="dxa"/>
            <w:shd w:val="clear" w:color="auto" w:fill="F2F2F2" w:themeFill="background1" w:themeFillShade="F2"/>
          </w:tcPr>
          <w:p w:rsidR="00CF44A5" w:rsidRPr="00B97937" w:rsidRDefault="00B97937" w:rsidP="00221DE3">
            <w:pPr>
              <w:spacing w:line="276" w:lineRule="auto"/>
              <w:rPr>
                <w:rFonts w:cstheme="majorHAnsi"/>
                <w:color w:val="000000" w:themeColor="text1"/>
                <w:szCs w:val="22"/>
              </w:rPr>
            </w:pPr>
            <w:r w:rsidRPr="00B97937">
              <w:rPr>
                <w:rFonts w:cstheme="majorHAnsi"/>
                <w:color w:val="000000" w:themeColor="text1"/>
                <w:szCs w:val="22"/>
              </w:rPr>
              <w:t>77</w:t>
            </w:r>
            <w:r w:rsidR="00B7242D" w:rsidRPr="00B97937">
              <w:rPr>
                <w:rFonts w:cstheme="majorHAnsi"/>
                <w:color w:val="000000" w:themeColor="text1"/>
                <w:szCs w:val="22"/>
              </w:rPr>
              <w:t>,</w:t>
            </w:r>
            <w:r w:rsidR="00330785" w:rsidRPr="00B97937">
              <w:rPr>
                <w:rFonts w:cstheme="majorHAnsi"/>
                <w:color w:val="000000" w:themeColor="text1"/>
                <w:szCs w:val="22"/>
              </w:rPr>
              <w:t>0</w:t>
            </w:r>
            <w:r w:rsidR="00B7242D" w:rsidRPr="00B97937">
              <w:rPr>
                <w:rFonts w:cstheme="majorHAnsi"/>
                <w:color w:val="000000" w:themeColor="text1"/>
                <w:szCs w:val="22"/>
              </w:rPr>
              <w:t>00</w:t>
            </w:r>
          </w:p>
        </w:tc>
        <w:tc>
          <w:tcPr>
            <w:tcW w:w="2329" w:type="dxa"/>
            <w:shd w:val="clear" w:color="auto" w:fill="F2F2F2" w:themeFill="background1" w:themeFillShade="F2"/>
          </w:tcPr>
          <w:p w:rsidR="00CF44A5" w:rsidRPr="00B6593D" w:rsidRDefault="00B97937" w:rsidP="00221DE3">
            <w:pPr>
              <w:spacing w:line="276" w:lineRule="auto"/>
              <w:rPr>
                <w:rFonts w:cstheme="majorHAnsi"/>
                <w:color w:val="000000" w:themeColor="text1"/>
                <w:szCs w:val="22"/>
              </w:rPr>
            </w:pPr>
            <w:r w:rsidRPr="00B97937">
              <w:rPr>
                <w:rFonts w:cstheme="majorHAnsi"/>
                <w:color w:val="000000" w:themeColor="text1"/>
                <w:szCs w:val="22"/>
              </w:rPr>
              <w:t>1</w:t>
            </w:r>
            <w:r w:rsidR="00E4421E">
              <w:rPr>
                <w:rFonts w:cstheme="majorHAnsi"/>
                <w:color w:val="000000" w:themeColor="text1"/>
                <w:szCs w:val="22"/>
              </w:rPr>
              <w:t>1</w:t>
            </w:r>
            <w:r w:rsidRPr="00B97937">
              <w:rPr>
                <w:rFonts w:cstheme="majorHAnsi"/>
                <w:color w:val="000000" w:themeColor="text1"/>
                <w:szCs w:val="22"/>
              </w:rPr>
              <w:t>7</w:t>
            </w:r>
            <w:r w:rsidR="00B7242D" w:rsidRPr="00B97937">
              <w:rPr>
                <w:rFonts w:cstheme="majorHAnsi"/>
                <w:color w:val="000000" w:themeColor="text1"/>
                <w:szCs w:val="22"/>
              </w:rPr>
              <w:t>,</w:t>
            </w:r>
            <w:r w:rsidR="00330785" w:rsidRPr="00B97937">
              <w:rPr>
                <w:rFonts w:cstheme="majorHAnsi"/>
                <w:color w:val="000000" w:themeColor="text1"/>
                <w:szCs w:val="22"/>
              </w:rPr>
              <w:t>0</w:t>
            </w:r>
            <w:r w:rsidR="00B7242D" w:rsidRPr="00B97937">
              <w:rPr>
                <w:rFonts w:cstheme="majorHAnsi"/>
                <w:color w:val="000000" w:themeColor="text1"/>
                <w:szCs w:val="22"/>
              </w:rPr>
              <w:t>00</w:t>
            </w:r>
          </w:p>
        </w:tc>
      </w:tr>
    </w:tbl>
    <w:p w:rsidR="00CF44A5" w:rsidRPr="00B6593D" w:rsidRDefault="00CF44A5" w:rsidP="00CF44A5">
      <w:pPr>
        <w:spacing w:line="276" w:lineRule="auto"/>
        <w:rPr>
          <w:rFonts w:cstheme="majorHAnsi"/>
          <w:b/>
          <w:color w:val="000000" w:themeColor="text1"/>
          <w:sz w:val="24"/>
          <w:szCs w:val="22"/>
        </w:rPr>
      </w:pPr>
      <w:r w:rsidRPr="00B6593D">
        <w:rPr>
          <w:rFonts w:cstheme="majorHAnsi"/>
          <w:b/>
          <w:color w:val="000000" w:themeColor="text1"/>
          <w:sz w:val="24"/>
          <w:szCs w:val="22"/>
        </w:rPr>
        <w:lastRenderedPageBreak/>
        <w:t>Pasqyra e kostos së Strategjisë(Për objektiva</w:t>
      </w:r>
      <w:r w:rsidR="001D02C2" w:rsidRPr="00B6593D">
        <w:rPr>
          <w:rFonts w:cstheme="majorHAnsi"/>
          <w:b/>
          <w:color w:val="000000" w:themeColor="text1"/>
          <w:sz w:val="24"/>
          <w:szCs w:val="22"/>
        </w:rPr>
        <w:t xml:space="preserve"> strategjike </w:t>
      </w:r>
      <w:r w:rsidRPr="00B6593D">
        <w:rPr>
          <w:rFonts w:cstheme="majorHAnsi"/>
          <w:b/>
          <w:color w:val="000000" w:themeColor="text1"/>
          <w:sz w:val="24"/>
          <w:szCs w:val="22"/>
        </w:rPr>
        <w:t xml:space="preserve">dhe </w:t>
      </w:r>
      <w:r w:rsidR="001D02C2" w:rsidRPr="00B6593D">
        <w:rPr>
          <w:rFonts w:cstheme="majorHAnsi"/>
          <w:b/>
          <w:color w:val="000000" w:themeColor="text1"/>
          <w:sz w:val="24"/>
          <w:szCs w:val="22"/>
        </w:rPr>
        <w:t xml:space="preserve"> </w:t>
      </w:r>
      <w:r w:rsidRPr="00B6593D">
        <w:rPr>
          <w:rFonts w:cstheme="majorHAnsi"/>
          <w:b/>
          <w:color w:val="000000" w:themeColor="text1"/>
          <w:sz w:val="24"/>
          <w:szCs w:val="22"/>
        </w:rPr>
        <w:t xml:space="preserve">objektiva </w:t>
      </w:r>
      <w:r w:rsidR="001D02C2" w:rsidRPr="00B6593D">
        <w:rPr>
          <w:rFonts w:cstheme="majorHAnsi"/>
          <w:b/>
          <w:color w:val="000000" w:themeColor="text1"/>
          <w:sz w:val="24"/>
          <w:szCs w:val="22"/>
        </w:rPr>
        <w:t>specifike</w:t>
      </w:r>
      <w:r w:rsidRPr="00B6593D">
        <w:rPr>
          <w:rFonts w:cstheme="majorHAnsi"/>
          <w:b/>
          <w:color w:val="000000" w:themeColor="text1"/>
          <w:sz w:val="24"/>
          <w:szCs w:val="22"/>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985"/>
      </w:tblGrid>
      <w:tr w:rsidR="00CF44A5" w:rsidRPr="00B6593D" w:rsidTr="00221DE3">
        <w:tc>
          <w:tcPr>
            <w:tcW w:w="7655" w:type="dxa"/>
            <w:shd w:val="clear" w:color="auto" w:fill="auto"/>
          </w:tcPr>
          <w:p w:rsidR="00CF44A5" w:rsidRPr="00B6593D" w:rsidRDefault="00CF44A5" w:rsidP="001D02C2">
            <w:pPr>
              <w:contextualSpacing w:val="0"/>
              <w:jc w:val="center"/>
              <w:rPr>
                <w:rFonts w:eastAsia="Times New Roman" w:cstheme="majorHAnsi"/>
                <w:b/>
                <w:color w:val="000000" w:themeColor="text1"/>
                <w:sz w:val="24"/>
              </w:rPr>
            </w:pPr>
            <w:r w:rsidRPr="00B6593D">
              <w:rPr>
                <w:rFonts w:eastAsia="Times New Roman" w:cstheme="majorHAnsi"/>
                <w:b/>
                <w:color w:val="000000" w:themeColor="text1"/>
                <w:sz w:val="24"/>
              </w:rPr>
              <w:t>Objektivat</w:t>
            </w:r>
            <w:r w:rsidR="001D02C2" w:rsidRPr="00B6593D">
              <w:rPr>
                <w:rFonts w:eastAsia="Times New Roman" w:cstheme="majorHAnsi"/>
                <w:b/>
                <w:color w:val="000000" w:themeColor="text1"/>
                <w:sz w:val="24"/>
              </w:rPr>
              <w:t xml:space="preserve"> Strategjike</w:t>
            </w:r>
            <w:r w:rsidRPr="00B6593D">
              <w:rPr>
                <w:rFonts w:eastAsia="Times New Roman" w:cstheme="majorHAnsi"/>
                <w:b/>
                <w:color w:val="000000" w:themeColor="text1"/>
                <w:sz w:val="24"/>
              </w:rPr>
              <w:t xml:space="preserve"> dhe </w:t>
            </w:r>
            <w:r w:rsidR="001D02C2" w:rsidRPr="00B6593D">
              <w:rPr>
                <w:rFonts w:eastAsia="Times New Roman" w:cstheme="majorHAnsi"/>
                <w:b/>
                <w:color w:val="000000" w:themeColor="text1"/>
                <w:sz w:val="24"/>
              </w:rPr>
              <w:t>objektivat specifike</w:t>
            </w:r>
          </w:p>
        </w:tc>
        <w:tc>
          <w:tcPr>
            <w:tcW w:w="1985" w:type="dxa"/>
            <w:shd w:val="clear" w:color="auto" w:fill="auto"/>
          </w:tcPr>
          <w:p w:rsidR="00CF44A5" w:rsidRPr="00B6593D" w:rsidRDefault="00CF44A5" w:rsidP="00221DE3">
            <w:pPr>
              <w:contextualSpacing w:val="0"/>
              <w:jc w:val="center"/>
              <w:rPr>
                <w:rFonts w:eastAsia="Times New Roman" w:cstheme="majorHAnsi"/>
                <w:b/>
                <w:color w:val="000000" w:themeColor="text1"/>
                <w:sz w:val="24"/>
              </w:rPr>
            </w:pPr>
            <w:r w:rsidRPr="00B6593D">
              <w:rPr>
                <w:rFonts w:eastAsia="Times New Roman" w:cstheme="majorHAnsi"/>
                <w:b/>
                <w:color w:val="000000" w:themeColor="text1"/>
                <w:sz w:val="24"/>
              </w:rPr>
              <w:t>Vlerësimi i kostos (në EUR)</w:t>
            </w:r>
          </w:p>
        </w:tc>
      </w:tr>
      <w:tr w:rsidR="00CF44A5" w:rsidRPr="00B6593D" w:rsidTr="00221DE3">
        <w:tc>
          <w:tcPr>
            <w:tcW w:w="9640" w:type="dxa"/>
            <w:gridSpan w:val="2"/>
            <w:shd w:val="clear" w:color="auto" w:fill="D9D9D9"/>
          </w:tcPr>
          <w:p w:rsidR="00CF44A5" w:rsidRPr="00B6593D" w:rsidRDefault="00CF44A5" w:rsidP="00221DE3">
            <w:pPr>
              <w:contextualSpacing w:val="0"/>
              <w:jc w:val="left"/>
              <w:rPr>
                <w:rFonts w:eastAsia="Times New Roman" w:cstheme="majorHAnsi"/>
                <w:b/>
                <w:color w:val="000000" w:themeColor="text1"/>
                <w:szCs w:val="22"/>
                <w:highlight w:val="yellow"/>
              </w:rPr>
            </w:pPr>
            <w:r w:rsidRPr="00B6593D">
              <w:rPr>
                <w:rFonts w:cstheme="majorHAnsi"/>
                <w:b/>
                <w:color w:val="000000" w:themeColor="text1"/>
              </w:rPr>
              <w:t xml:space="preserve">Objektivi Strategjik 1: Rritja e pjesëmarrjes së shoqërisë civile në </w:t>
            </w:r>
            <w:r w:rsidR="003F5EEC" w:rsidRPr="00B6593D">
              <w:rPr>
                <w:rFonts w:cstheme="majorHAnsi"/>
                <w:b/>
                <w:color w:val="000000" w:themeColor="text1"/>
              </w:rPr>
              <w:t>politikë bërje</w:t>
            </w:r>
          </w:p>
        </w:tc>
      </w:tr>
      <w:tr w:rsidR="00CF44A5" w:rsidRPr="00B6593D" w:rsidTr="00221DE3">
        <w:tc>
          <w:tcPr>
            <w:tcW w:w="7655" w:type="dxa"/>
            <w:shd w:val="clear" w:color="auto" w:fill="auto"/>
          </w:tcPr>
          <w:p w:rsidR="00CF44A5" w:rsidRPr="00B6593D" w:rsidRDefault="00CF44A5" w:rsidP="00221DE3">
            <w:pPr>
              <w:pStyle w:val="Heading3"/>
              <w:spacing w:before="0" w:after="0"/>
              <w:jc w:val="left"/>
              <w:rPr>
                <w:rFonts w:cstheme="majorHAnsi"/>
                <w:b w:val="0"/>
                <w:i w:val="0"/>
                <w:color w:val="000000" w:themeColor="text1"/>
                <w:sz w:val="22"/>
                <w:szCs w:val="22"/>
              </w:rPr>
            </w:pPr>
            <w:bookmarkStart w:id="31" w:name="_Toc533365729"/>
            <w:bookmarkStart w:id="32" w:name="_Toc535484361"/>
            <w:bookmarkStart w:id="33" w:name="_Toc536000968"/>
            <w:r w:rsidRPr="00B6593D">
              <w:rPr>
                <w:rFonts w:cstheme="majorHAnsi"/>
                <w:b w:val="0"/>
                <w:i w:val="0"/>
                <w:color w:val="000000" w:themeColor="text1"/>
                <w:sz w:val="22"/>
                <w:szCs w:val="22"/>
              </w:rPr>
              <w:t xml:space="preserve">Objektivi specifik 1.1 Përmirësimi i kapaciteteve të institucioneve shtetërore qendrore dhe komunave për përfshirjen e OSHC-ve në </w:t>
            </w:r>
            <w:bookmarkEnd w:id="31"/>
            <w:r w:rsidR="003F5EEC" w:rsidRPr="00B6593D">
              <w:rPr>
                <w:rFonts w:cstheme="majorHAnsi"/>
                <w:b w:val="0"/>
                <w:i w:val="0"/>
                <w:color w:val="000000" w:themeColor="text1"/>
                <w:sz w:val="22"/>
                <w:szCs w:val="22"/>
              </w:rPr>
              <w:t>politikë bërje</w:t>
            </w:r>
            <w:bookmarkEnd w:id="32"/>
            <w:bookmarkEnd w:id="33"/>
          </w:p>
        </w:tc>
        <w:tc>
          <w:tcPr>
            <w:tcW w:w="1985" w:type="dxa"/>
            <w:shd w:val="clear" w:color="auto" w:fill="auto"/>
          </w:tcPr>
          <w:p w:rsidR="00CF44A5" w:rsidRPr="00B6593D" w:rsidRDefault="00B97937" w:rsidP="00221DE3">
            <w:pPr>
              <w:contextualSpacing w:val="0"/>
              <w:jc w:val="center"/>
              <w:rPr>
                <w:rFonts w:eastAsia="Times New Roman" w:cstheme="majorHAnsi"/>
                <w:color w:val="000000" w:themeColor="text1"/>
                <w:szCs w:val="22"/>
              </w:rPr>
            </w:pPr>
            <w:r>
              <w:rPr>
                <w:rFonts w:eastAsia="Times New Roman" w:cstheme="majorHAnsi"/>
                <w:color w:val="000000" w:themeColor="text1"/>
                <w:szCs w:val="22"/>
              </w:rPr>
              <w:t>69</w:t>
            </w:r>
            <w:r w:rsidR="00CF44A5" w:rsidRPr="00B6593D">
              <w:rPr>
                <w:rFonts w:eastAsia="Times New Roman" w:cstheme="majorHAnsi"/>
                <w:color w:val="000000" w:themeColor="text1"/>
                <w:szCs w:val="22"/>
              </w:rPr>
              <w:t>.</w:t>
            </w:r>
            <w:r w:rsidR="00E66E67" w:rsidRPr="00B6593D">
              <w:rPr>
                <w:rFonts w:eastAsia="Times New Roman" w:cstheme="majorHAnsi"/>
                <w:color w:val="000000" w:themeColor="text1"/>
                <w:szCs w:val="22"/>
              </w:rPr>
              <w:t>0</w:t>
            </w:r>
            <w:r w:rsidR="00CF44A5" w:rsidRPr="00B6593D">
              <w:rPr>
                <w:rFonts w:eastAsia="Times New Roman" w:cstheme="majorHAnsi"/>
                <w:color w:val="000000" w:themeColor="text1"/>
                <w:szCs w:val="22"/>
              </w:rPr>
              <w:t>00</w:t>
            </w:r>
          </w:p>
        </w:tc>
      </w:tr>
      <w:tr w:rsidR="00CF44A5" w:rsidRPr="00B6593D" w:rsidTr="00221DE3">
        <w:tc>
          <w:tcPr>
            <w:tcW w:w="7655" w:type="dxa"/>
            <w:shd w:val="clear" w:color="auto" w:fill="auto"/>
          </w:tcPr>
          <w:p w:rsidR="00CF44A5" w:rsidRPr="00B6593D" w:rsidRDefault="00CF44A5" w:rsidP="00221DE3">
            <w:pPr>
              <w:pStyle w:val="Heading3"/>
              <w:spacing w:before="0" w:after="0"/>
              <w:jc w:val="left"/>
              <w:rPr>
                <w:rFonts w:cstheme="majorHAnsi"/>
                <w:b w:val="0"/>
                <w:i w:val="0"/>
                <w:color w:val="000000" w:themeColor="text1"/>
                <w:sz w:val="22"/>
                <w:szCs w:val="22"/>
              </w:rPr>
            </w:pPr>
            <w:bookmarkStart w:id="34" w:name="_Toc533365730"/>
            <w:bookmarkStart w:id="35" w:name="_Toc535484362"/>
            <w:bookmarkStart w:id="36" w:name="_Toc536000969"/>
            <w:r w:rsidRPr="00B6593D">
              <w:rPr>
                <w:rFonts w:cstheme="majorHAnsi"/>
                <w:b w:val="0"/>
                <w:i w:val="0"/>
                <w:color w:val="000000" w:themeColor="text1"/>
                <w:sz w:val="22"/>
                <w:szCs w:val="22"/>
              </w:rPr>
              <w:t>Objektivi specifik 1.2 Rritja e vetëdijes së qytetarëve dhe shoqërisë civile për konsultimet publike</w:t>
            </w:r>
            <w:bookmarkEnd w:id="34"/>
            <w:bookmarkEnd w:id="35"/>
            <w:bookmarkEnd w:id="36"/>
          </w:p>
        </w:tc>
        <w:tc>
          <w:tcPr>
            <w:tcW w:w="1985"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10.500</w:t>
            </w:r>
          </w:p>
        </w:tc>
      </w:tr>
      <w:tr w:rsidR="00CF44A5" w:rsidRPr="00B6593D" w:rsidTr="00221DE3">
        <w:tc>
          <w:tcPr>
            <w:tcW w:w="7655"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r w:rsidRPr="00B6593D">
              <w:rPr>
                <w:rFonts w:cstheme="majorHAnsi"/>
                <w:color w:val="000000" w:themeColor="text1"/>
                <w:szCs w:val="22"/>
              </w:rPr>
              <w:t xml:space="preserve">Objektivi specifik 1.3 Përmirësimi i kapaciteteve të OShC-ve për të kontribuar në procesin e </w:t>
            </w:r>
            <w:r w:rsidR="003F5EEC" w:rsidRPr="00B6593D">
              <w:rPr>
                <w:rFonts w:cstheme="majorHAnsi"/>
                <w:color w:val="000000" w:themeColor="text1"/>
                <w:szCs w:val="22"/>
              </w:rPr>
              <w:t>politikë bërjes</w:t>
            </w:r>
          </w:p>
        </w:tc>
        <w:tc>
          <w:tcPr>
            <w:tcW w:w="1985"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6.000</w:t>
            </w:r>
          </w:p>
        </w:tc>
      </w:tr>
      <w:tr w:rsidR="00CF44A5" w:rsidRPr="00B6593D" w:rsidTr="00221DE3">
        <w:tc>
          <w:tcPr>
            <w:tcW w:w="7655" w:type="dxa"/>
            <w:shd w:val="clear" w:color="auto" w:fill="auto"/>
          </w:tcPr>
          <w:p w:rsidR="00CF44A5" w:rsidRPr="00B6593D" w:rsidRDefault="00CF44A5" w:rsidP="00221DE3">
            <w:pPr>
              <w:contextualSpacing w:val="0"/>
              <w:jc w:val="right"/>
              <w:rPr>
                <w:rFonts w:eastAsia="Times New Roman" w:cstheme="majorHAnsi"/>
                <w:b/>
                <w:i/>
                <w:color w:val="000000" w:themeColor="text1"/>
              </w:rPr>
            </w:pPr>
            <w:r w:rsidRPr="00B6593D">
              <w:rPr>
                <w:rFonts w:eastAsia="Times New Roman" w:cstheme="majorHAnsi"/>
                <w:b/>
                <w:i/>
                <w:color w:val="000000" w:themeColor="text1"/>
              </w:rPr>
              <w:t>Totali i Objektivit Strategjik 1</w:t>
            </w:r>
          </w:p>
        </w:tc>
        <w:tc>
          <w:tcPr>
            <w:tcW w:w="1985" w:type="dxa"/>
            <w:shd w:val="clear" w:color="auto" w:fill="auto"/>
          </w:tcPr>
          <w:p w:rsidR="00CF44A5" w:rsidRPr="00B6593D" w:rsidRDefault="00B97937" w:rsidP="00221DE3">
            <w:pPr>
              <w:contextualSpacing w:val="0"/>
              <w:jc w:val="center"/>
              <w:rPr>
                <w:rFonts w:eastAsia="Times New Roman" w:cstheme="majorHAnsi"/>
                <w:b/>
                <w:color w:val="000000" w:themeColor="text1"/>
                <w:szCs w:val="22"/>
              </w:rPr>
            </w:pPr>
            <w:r>
              <w:rPr>
                <w:rFonts w:eastAsia="Times New Roman" w:cstheme="majorHAnsi"/>
                <w:b/>
                <w:color w:val="000000" w:themeColor="text1"/>
                <w:szCs w:val="22"/>
              </w:rPr>
              <w:t>85</w:t>
            </w:r>
            <w:r w:rsidR="00CF44A5" w:rsidRPr="00B6593D">
              <w:rPr>
                <w:rFonts w:eastAsia="Times New Roman" w:cstheme="majorHAnsi"/>
                <w:b/>
                <w:color w:val="000000" w:themeColor="text1"/>
                <w:szCs w:val="22"/>
              </w:rPr>
              <w:t>.</w:t>
            </w:r>
            <w:r w:rsidR="00E66E67" w:rsidRPr="00B6593D">
              <w:rPr>
                <w:rFonts w:eastAsia="Times New Roman" w:cstheme="majorHAnsi"/>
                <w:b/>
                <w:color w:val="000000" w:themeColor="text1"/>
                <w:szCs w:val="22"/>
              </w:rPr>
              <w:t>5</w:t>
            </w:r>
            <w:r w:rsidR="00CF44A5" w:rsidRPr="00B6593D">
              <w:rPr>
                <w:rFonts w:eastAsia="Times New Roman" w:cstheme="majorHAnsi"/>
                <w:b/>
                <w:color w:val="000000" w:themeColor="text1"/>
                <w:szCs w:val="22"/>
              </w:rPr>
              <w:t>00</w:t>
            </w:r>
          </w:p>
        </w:tc>
      </w:tr>
      <w:tr w:rsidR="00CF44A5" w:rsidRPr="00B6593D" w:rsidTr="00221DE3">
        <w:tc>
          <w:tcPr>
            <w:tcW w:w="9640" w:type="dxa"/>
            <w:gridSpan w:val="2"/>
            <w:shd w:val="clear" w:color="auto" w:fill="D9D9D9"/>
          </w:tcPr>
          <w:p w:rsidR="00CF44A5" w:rsidRPr="00B6593D" w:rsidRDefault="00CF44A5" w:rsidP="00221DE3">
            <w:pPr>
              <w:contextualSpacing w:val="0"/>
              <w:jc w:val="left"/>
              <w:rPr>
                <w:rFonts w:eastAsia="Times New Roman" w:cstheme="majorHAnsi"/>
                <w:b/>
                <w:color w:val="000000" w:themeColor="text1"/>
                <w:szCs w:val="22"/>
                <w:highlight w:val="yellow"/>
              </w:rPr>
            </w:pPr>
            <w:r w:rsidRPr="00B6593D">
              <w:rPr>
                <w:rFonts w:eastAsia="Times New Roman" w:cstheme="majorHAnsi"/>
                <w:b/>
                <w:color w:val="000000" w:themeColor="text1"/>
                <w:szCs w:val="22"/>
              </w:rPr>
              <w:t xml:space="preserve">Objektivi strategjik 2: Përmirësimi i kornizës institucionale dhe </w:t>
            </w:r>
            <w:r w:rsidR="003F5EEC" w:rsidRPr="00B6593D">
              <w:rPr>
                <w:rFonts w:eastAsia="Times New Roman" w:cstheme="majorHAnsi"/>
                <w:b/>
                <w:color w:val="000000" w:themeColor="text1"/>
                <w:szCs w:val="22"/>
              </w:rPr>
              <w:t>rregullatorë</w:t>
            </w:r>
            <w:r w:rsidRPr="00B6593D">
              <w:rPr>
                <w:rFonts w:eastAsia="Times New Roman" w:cstheme="majorHAnsi"/>
                <w:b/>
                <w:color w:val="000000" w:themeColor="text1"/>
                <w:szCs w:val="22"/>
              </w:rPr>
              <w:t xml:space="preserve"> për financimin e qëndrueshëm të programeve dhe projekteve të OShC-ve në interes të publikut</w:t>
            </w:r>
          </w:p>
        </w:tc>
      </w:tr>
      <w:tr w:rsidR="00CF44A5" w:rsidRPr="00B6593D" w:rsidTr="00221DE3">
        <w:tc>
          <w:tcPr>
            <w:tcW w:w="7655"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r w:rsidRPr="00B6593D">
              <w:rPr>
                <w:rFonts w:eastAsia="Times New Roman" w:cstheme="majorHAnsi"/>
                <w:color w:val="000000" w:themeColor="text1"/>
                <w:szCs w:val="22"/>
              </w:rPr>
              <w:t>Objektivi specifik 2.1 Forcimi i kapaciteteve të Ministrive dhe Komunave për standardet e financimit publik të OSHC-ve</w:t>
            </w:r>
          </w:p>
        </w:tc>
        <w:tc>
          <w:tcPr>
            <w:tcW w:w="1985"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30.000</w:t>
            </w:r>
          </w:p>
        </w:tc>
      </w:tr>
      <w:tr w:rsidR="00CF44A5" w:rsidRPr="00B6593D" w:rsidTr="00221DE3">
        <w:tc>
          <w:tcPr>
            <w:tcW w:w="7655"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r w:rsidRPr="00B6593D">
              <w:rPr>
                <w:rFonts w:eastAsia="Times New Roman" w:cstheme="majorHAnsi"/>
                <w:color w:val="000000" w:themeColor="text1"/>
                <w:szCs w:val="22"/>
              </w:rPr>
              <w:t>Objektivi specifik 2.2 Përmirësimi i kornizës ligjore dhe institucionale për zhvillimin e filantropisë individuale dhe korporative</w:t>
            </w:r>
          </w:p>
        </w:tc>
        <w:tc>
          <w:tcPr>
            <w:tcW w:w="1985" w:type="dxa"/>
            <w:shd w:val="clear" w:color="auto" w:fill="auto"/>
          </w:tcPr>
          <w:p w:rsidR="00CF44A5" w:rsidRPr="00B6593D" w:rsidRDefault="00B97937" w:rsidP="00221DE3">
            <w:pPr>
              <w:contextualSpacing w:val="0"/>
              <w:jc w:val="center"/>
              <w:rPr>
                <w:rFonts w:eastAsia="Times New Roman" w:cstheme="majorHAnsi"/>
                <w:color w:val="000000" w:themeColor="text1"/>
                <w:szCs w:val="22"/>
              </w:rPr>
            </w:pPr>
            <w:r>
              <w:rPr>
                <w:rFonts w:eastAsia="Times New Roman" w:cstheme="majorHAnsi"/>
                <w:color w:val="000000" w:themeColor="text1"/>
                <w:szCs w:val="22"/>
              </w:rPr>
              <w:t>23</w:t>
            </w:r>
            <w:r w:rsidR="00CF44A5" w:rsidRPr="00B6593D">
              <w:rPr>
                <w:rFonts w:eastAsia="Times New Roman" w:cstheme="majorHAnsi"/>
                <w:color w:val="000000" w:themeColor="text1"/>
                <w:szCs w:val="22"/>
              </w:rPr>
              <w:t>.000</w:t>
            </w:r>
          </w:p>
        </w:tc>
      </w:tr>
      <w:tr w:rsidR="00CF44A5" w:rsidRPr="00B6593D" w:rsidTr="00221DE3">
        <w:tc>
          <w:tcPr>
            <w:tcW w:w="7655"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r w:rsidRPr="00B6593D">
              <w:rPr>
                <w:rFonts w:eastAsia="Times New Roman" w:cstheme="majorHAnsi"/>
                <w:color w:val="000000" w:themeColor="text1"/>
                <w:szCs w:val="22"/>
              </w:rPr>
              <w:t>Objektivi specifik 2.3 Rregullimi i dhënies së pronës shtetërore për përdorim nga OSHC-të</w:t>
            </w:r>
          </w:p>
        </w:tc>
        <w:tc>
          <w:tcPr>
            <w:tcW w:w="1985" w:type="dxa"/>
            <w:shd w:val="clear" w:color="auto" w:fill="auto"/>
          </w:tcPr>
          <w:p w:rsidR="00CF44A5" w:rsidRPr="00B6593D" w:rsidRDefault="00221BF0"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9</w:t>
            </w:r>
            <w:r w:rsidR="00CF44A5" w:rsidRPr="00B6593D">
              <w:rPr>
                <w:rFonts w:eastAsia="Times New Roman" w:cstheme="majorHAnsi"/>
                <w:color w:val="000000" w:themeColor="text1"/>
                <w:szCs w:val="22"/>
              </w:rPr>
              <w:t>.500</w:t>
            </w:r>
          </w:p>
        </w:tc>
      </w:tr>
      <w:tr w:rsidR="00CF44A5" w:rsidRPr="00B6593D" w:rsidTr="00221DE3">
        <w:tc>
          <w:tcPr>
            <w:tcW w:w="7655" w:type="dxa"/>
            <w:shd w:val="clear" w:color="auto" w:fill="auto"/>
          </w:tcPr>
          <w:p w:rsidR="00CF44A5" w:rsidRPr="00B6593D" w:rsidRDefault="00CF44A5" w:rsidP="003F5EEC">
            <w:pPr>
              <w:contextualSpacing w:val="0"/>
              <w:jc w:val="left"/>
              <w:rPr>
                <w:rFonts w:eastAsia="Times New Roman" w:cstheme="majorHAnsi"/>
                <w:color w:val="000000" w:themeColor="text1"/>
                <w:szCs w:val="22"/>
              </w:rPr>
            </w:pPr>
            <w:r w:rsidRPr="00B6593D">
              <w:rPr>
                <w:rFonts w:eastAsia="Times New Roman" w:cstheme="majorHAnsi"/>
                <w:color w:val="000000" w:themeColor="text1"/>
                <w:szCs w:val="22"/>
              </w:rPr>
              <w:t xml:space="preserve">Objektivi specifik 2.4 Vendosja e një mekanizmi </w:t>
            </w:r>
            <w:r w:rsidR="003F5EEC" w:rsidRPr="00B6593D">
              <w:rPr>
                <w:rFonts w:eastAsia="Times New Roman" w:cstheme="majorHAnsi"/>
                <w:color w:val="000000" w:themeColor="text1"/>
                <w:szCs w:val="22"/>
              </w:rPr>
              <w:t>bashkë financues</w:t>
            </w:r>
            <w:r w:rsidRPr="00B6593D">
              <w:rPr>
                <w:rFonts w:eastAsia="Times New Roman" w:cstheme="majorHAnsi"/>
                <w:color w:val="000000" w:themeColor="text1"/>
                <w:szCs w:val="22"/>
              </w:rPr>
              <w:t xml:space="preserve"> për projektet e OSHC-ve të mbështetura nga BE</w:t>
            </w:r>
            <w:r w:rsidRPr="00B6593D">
              <w:rPr>
                <w:rStyle w:val="FootnoteReference"/>
                <w:rFonts w:eastAsia="Times New Roman" w:cstheme="majorHAnsi"/>
                <w:color w:val="000000" w:themeColor="text1"/>
                <w:szCs w:val="22"/>
              </w:rPr>
              <w:t xml:space="preserve"> </w:t>
            </w:r>
          </w:p>
        </w:tc>
        <w:tc>
          <w:tcPr>
            <w:tcW w:w="1985"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6.500</w:t>
            </w:r>
          </w:p>
        </w:tc>
      </w:tr>
      <w:tr w:rsidR="00CF44A5" w:rsidRPr="00B6593D" w:rsidTr="00221DE3">
        <w:tc>
          <w:tcPr>
            <w:tcW w:w="7655" w:type="dxa"/>
            <w:shd w:val="clear" w:color="auto" w:fill="auto"/>
          </w:tcPr>
          <w:p w:rsidR="00CF44A5" w:rsidRPr="00B6593D" w:rsidRDefault="00CF44A5" w:rsidP="00221DE3">
            <w:pPr>
              <w:contextualSpacing w:val="0"/>
              <w:jc w:val="right"/>
              <w:rPr>
                <w:rFonts w:eastAsia="Times New Roman" w:cstheme="majorHAnsi"/>
                <w:color w:val="000000" w:themeColor="text1"/>
                <w:szCs w:val="22"/>
              </w:rPr>
            </w:pPr>
            <w:r w:rsidRPr="00B6593D">
              <w:rPr>
                <w:rFonts w:eastAsia="Times New Roman" w:cstheme="majorHAnsi"/>
                <w:b/>
                <w:i/>
                <w:color w:val="000000" w:themeColor="text1"/>
              </w:rPr>
              <w:t xml:space="preserve">Totali i Objektivit Strategjik 2 </w:t>
            </w:r>
          </w:p>
        </w:tc>
        <w:tc>
          <w:tcPr>
            <w:tcW w:w="1985" w:type="dxa"/>
            <w:shd w:val="clear" w:color="auto" w:fill="auto"/>
          </w:tcPr>
          <w:p w:rsidR="00CF44A5" w:rsidRPr="00B6593D" w:rsidRDefault="00B97937" w:rsidP="00221DE3">
            <w:pPr>
              <w:contextualSpacing w:val="0"/>
              <w:jc w:val="center"/>
              <w:rPr>
                <w:rFonts w:eastAsia="Times New Roman" w:cstheme="majorHAnsi"/>
                <w:b/>
                <w:color w:val="000000" w:themeColor="text1"/>
                <w:szCs w:val="22"/>
              </w:rPr>
            </w:pPr>
            <w:r>
              <w:rPr>
                <w:rFonts w:eastAsia="Times New Roman" w:cstheme="majorHAnsi"/>
                <w:b/>
                <w:color w:val="000000" w:themeColor="text1"/>
                <w:szCs w:val="22"/>
              </w:rPr>
              <w:t>69</w:t>
            </w:r>
            <w:r w:rsidR="00CF44A5" w:rsidRPr="00B6593D">
              <w:rPr>
                <w:rFonts w:eastAsia="Times New Roman" w:cstheme="majorHAnsi"/>
                <w:b/>
                <w:color w:val="000000" w:themeColor="text1"/>
                <w:szCs w:val="22"/>
              </w:rPr>
              <w:t>.000</w:t>
            </w:r>
          </w:p>
        </w:tc>
      </w:tr>
      <w:tr w:rsidR="00CF44A5" w:rsidRPr="00B6593D" w:rsidTr="00221DE3">
        <w:tc>
          <w:tcPr>
            <w:tcW w:w="9640" w:type="dxa"/>
            <w:gridSpan w:val="2"/>
            <w:shd w:val="clear" w:color="auto" w:fill="D9D9D9"/>
          </w:tcPr>
          <w:p w:rsidR="00CF44A5" w:rsidRPr="00B6593D" w:rsidRDefault="00CF44A5" w:rsidP="00221DE3">
            <w:pPr>
              <w:jc w:val="left"/>
              <w:rPr>
                <w:rFonts w:cstheme="majorHAnsi"/>
                <w:b/>
                <w:color w:val="000000" w:themeColor="text1"/>
              </w:rPr>
            </w:pPr>
            <w:r w:rsidRPr="00B6593D">
              <w:rPr>
                <w:rFonts w:cstheme="majorHAnsi"/>
                <w:b/>
                <w:color w:val="000000" w:themeColor="text1"/>
              </w:rPr>
              <w:t>Objektivi strategjik 3: Zhvillimi i praktikave dhe procedurave të kontraktimit të OSHC-ve për ofrimin e shërbimeve publike</w:t>
            </w:r>
          </w:p>
        </w:tc>
      </w:tr>
      <w:tr w:rsidR="00CF44A5" w:rsidRPr="00B6593D" w:rsidTr="00221DE3">
        <w:tc>
          <w:tcPr>
            <w:tcW w:w="7655"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r w:rsidRPr="00B6593D">
              <w:rPr>
                <w:rFonts w:eastAsia="Times New Roman" w:cstheme="majorHAnsi"/>
                <w:color w:val="000000" w:themeColor="text1"/>
                <w:szCs w:val="22"/>
              </w:rPr>
              <w:t>Objektivi specifik 3.1 Përmirësimi i kornizës së përgjithshme ligjore dhe institucionale për aktivitetet ekonomike të OSHC-ve</w:t>
            </w:r>
          </w:p>
        </w:tc>
        <w:tc>
          <w:tcPr>
            <w:tcW w:w="1985"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5.000</w:t>
            </w:r>
          </w:p>
        </w:tc>
      </w:tr>
      <w:tr w:rsidR="00CF44A5" w:rsidRPr="00B6593D" w:rsidTr="00221DE3">
        <w:tc>
          <w:tcPr>
            <w:tcW w:w="7655"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r w:rsidRPr="00B6593D">
              <w:rPr>
                <w:rFonts w:eastAsia="Times New Roman" w:cstheme="majorHAnsi"/>
                <w:color w:val="000000" w:themeColor="text1"/>
                <w:szCs w:val="22"/>
              </w:rPr>
              <w:t xml:space="preserve">Objektivi specifik 3.2 </w:t>
            </w:r>
            <w:r w:rsidRPr="00B6593D">
              <w:rPr>
                <w:rFonts w:eastAsia="Times New Roman" w:cstheme="majorHAnsi"/>
                <w:color w:val="000000" w:themeColor="text1"/>
              </w:rPr>
              <w:t>Përmirësimi i njohurive të institucioneve rreth mundësive (modeleve) ekzistuese për kontraktimin e OSHC-ve</w:t>
            </w:r>
            <w:r w:rsidRPr="00B6593D">
              <w:rPr>
                <w:rFonts w:eastAsia="Times New Roman" w:cstheme="majorHAnsi"/>
                <w:color w:val="000000" w:themeColor="text1"/>
              </w:rPr>
              <w:tab/>
            </w:r>
          </w:p>
        </w:tc>
        <w:tc>
          <w:tcPr>
            <w:tcW w:w="1985"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1</w:t>
            </w:r>
            <w:r w:rsidR="00221BF0" w:rsidRPr="00B6593D">
              <w:rPr>
                <w:rFonts w:eastAsia="Times New Roman" w:cstheme="majorHAnsi"/>
                <w:color w:val="000000" w:themeColor="text1"/>
                <w:szCs w:val="22"/>
              </w:rPr>
              <w:t>8</w:t>
            </w:r>
            <w:r w:rsidRPr="00B6593D">
              <w:rPr>
                <w:rFonts w:eastAsia="Times New Roman" w:cstheme="majorHAnsi"/>
                <w:color w:val="000000" w:themeColor="text1"/>
                <w:szCs w:val="22"/>
              </w:rPr>
              <w:t>000</w:t>
            </w:r>
          </w:p>
        </w:tc>
      </w:tr>
      <w:tr w:rsidR="00CF44A5" w:rsidRPr="00B6593D" w:rsidTr="00221DE3">
        <w:tc>
          <w:tcPr>
            <w:tcW w:w="7655" w:type="dxa"/>
            <w:shd w:val="clear" w:color="auto" w:fill="auto"/>
          </w:tcPr>
          <w:p w:rsidR="00CF44A5" w:rsidRPr="00B6593D" w:rsidRDefault="00CF44A5" w:rsidP="003F5EEC">
            <w:pPr>
              <w:rPr>
                <w:rFonts w:cstheme="majorHAnsi"/>
                <w:color w:val="000000" w:themeColor="text1"/>
              </w:rPr>
            </w:pPr>
            <w:r w:rsidRPr="00B6593D">
              <w:rPr>
                <w:rFonts w:eastAsia="Times New Roman" w:cstheme="majorHAnsi"/>
                <w:color w:val="000000" w:themeColor="text1"/>
                <w:szCs w:val="22"/>
              </w:rPr>
              <w:t>Objektivi specifik 3.3 Të sigurohet mbledhja sistematike dhe disponueshmëria e të dhënave për OSHC-të si ofrues të shërbimeve</w:t>
            </w:r>
            <w:r w:rsidRPr="00B6593D">
              <w:rPr>
                <w:rStyle w:val="FootnoteReference"/>
                <w:rFonts w:eastAsia="Times New Roman" w:cstheme="majorHAnsi"/>
                <w:color w:val="000000" w:themeColor="text1"/>
                <w:szCs w:val="22"/>
              </w:rPr>
              <w:t xml:space="preserve"> </w:t>
            </w:r>
          </w:p>
        </w:tc>
        <w:tc>
          <w:tcPr>
            <w:tcW w:w="1985" w:type="dxa"/>
            <w:shd w:val="clear" w:color="auto" w:fill="auto"/>
          </w:tcPr>
          <w:p w:rsidR="00CF44A5" w:rsidRPr="00B6593D" w:rsidRDefault="001C0A11"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21</w:t>
            </w:r>
            <w:r w:rsidR="00CF44A5" w:rsidRPr="00B6593D">
              <w:rPr>
                <w:rFonts w:eastAsia="Times New Roman" w:cstheme="majorHAnsi"/>
                <w:color w:val="000000" w:themeColor="text1"/>
                <w:szCs w:val="22"/>
              </w:rPr>
              <w:t>.000</w:t>
            </w:r>
          </w:p>
        </w:tc>
      </w:tr>
      <w:tr w:rsidR="00CF44A5" w:rsidRPr="00B6593D" w:rsidTr="00221DE3">
        <w:tc>
          <w:tcPr>
            <w:tcW w:w="7655" w:type="dxa"/>
            <w:shd w:val="clear" w:color="auto" w:fill="auto"/>
          </w:tcPr>
          <w:p w:rsidR="00CF44A5" w:rsidRPr="00B6593D" w:rsidRDefault="00CF44A5" w:rsidP="00221DE3">
            <w:pPr>
              <w:rPr>
                <w:rFonts w:cstheme="majorHAnsi"/>
                <w:color w:val="000000" w:themeColor="text1"/>
              </w:rPr>
            </w:pPr>
            <w:r w:rsidRPr="00B6593D">
              <w:rPr>
                <w:rFonts w:eastAsia="Times New Roman" w:cstheme="majorHAnsi"/>
                <w:color w:val="000000" w:themeColor="text1"/>
                <w:szCs w:val="22"/>
              </w:rPr>
              <w:t>Objektivi specifik 3.4 Përmirësimi i legjislacionit që rregullon standardet dhe procedurat për ofrimin e shërbimeve publike nga OSHC-të</w:t>
            </w:r>
          </w:p>
        </w:tc>
        <w:tc>
          <w:tcPr>
            <w:tcW w:w="1985"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10.000</w:t>
            </w:r>
          </w:p>
        </w:tc>
      </w:tr>
      <w:tr w:rsidR="00CF44A5" w:rsidRPr="00B6593D" w:rsidTr="00221DE3">
        <w:tc>
          <w:tcPr>
            <w:tcW w:w="7655" w:type="dxa"/>
            <w:shd w:val="clear" w:color="auto" w:fill="auto"/>
          </w:tcPr>
          <w:p w:rsidR="00CF44A5" w:rsidRPr="00B6593D" w:rsidRDefault="00CF44A5" w:rsidP="00221DE3">
            <w:pPr>
              <w:jc w:val="right"/>
              <w:rPr>
                <w:rFonts w:eastAsia="Times New Roman" w:cstheme="majorHAnsi"/>
                <w:color w:val="000000" w:themeColor="text1"/>
                <w:szCs w:val="22"/>
              </w:rPr>
            </w:pPr>
            <w:r w:rsidRPr="00B6593D">
              <w:rPr>
                <w:rFonts w:eastAsia="Times New Roman" w:cstheme="majorHAnsi"/>
                <w:b/>
                <w:i/>
                <w:color w:val="000000" w:themeColor="text1"/>
              </w:rPr>
              <w:t>Totali i Objektivit Strategjik 3</w:t>
            </w:r>
          </w:p>
        </w:tc>
        <w:tc>
          <w:tcPr>
            <w:tcW w:w="1985" w:type="dxa"/>
            <w:shd w:val="clear" w:color="auto" w:fill="auto"/>
          </w:tcPr>
          <w:p w:rsidR="00CF44A5" w:rsidRPr="00B6593D" w:rsidRDefault="00330785" w:rsidP="00221DE3">
            <w:pPr>
              <w:contextualSpacing w:val="0"/>
              <w:jc w:val="center"/>
              <w:rPr>
                <w:rFonts w:eastAsia="Times New Roman" w:cstheme="majorHAnsi"/>
                <w:b/>
                <w:color w:val="000000" w:themeColor="text1"/>
                <w:szCs w:val="22"/>
              </w:rPr>
            </w:pPr>
            <w:r w:rsidRPr="00B6593D">
              <w:rPr>
                <w:rFonts w:eastAsia="Times New Roman" w:cstheme="majorHAnsi"/>
                <w:b/>
                <w:color w:val="000000" w:themeColor="text1"/>
                <w:szCs w:val="22"/>
              </w:rPr>
              <w:t>54</w:t>
            </w:r>
            <w:r w:rsidR="00CF44A5" w:rsidRPr="00B6593D">
              <w:rPr>
                <w:rFonts w:eastAsia="Times New Roman" w:cstheme="majorHAnsi"/>
                <w:b/>
                <w:color w:val="000000" w:themeColor="text1"/>
                <w:szCs w:val="22"/>
              </w:rPr>
              <w:t>.000</w:t>
            </w:r>
          </w:p>
        </w:tc>
      </w:tr>
      <w:tr w:rsidR="00CF44A5" w:rsidRPr="00B6593D" w:rsidTr="00221DE3">
        <w:tc>
          <w:tcPr>
            <w:tcW w:w="9640" w:type="dxa"/>
            <w:gridSpan w:val="2"/>
            <w:shd w:val="clear" w:color="auto" w:fill="D9D9D9"/>
          </w:tcPr>
          <w:p w:rsidR="00CF44A5" w:rsidRPr="00B6593D" w:rsidRDefault="00CF44A5" w:rsidP="00221DE3">
            <w:pPr>
              <w:jc w:val="left"/>
              <w:rPr>
                <w:rFonts w:cstheme="majorHAnsi"/>
                <w:b/>
                <w:color w:val="000000" w:themeColor="text1"/>
              </w:rPr>
            </w:pPr>
            <w:r w:rsidRPr="00B6593D">
              <w:rPr>
                <w:rFonts w:cstheme="majorHAnsi"/>
                <w:b/>
                <w:color w:val="000000" w:themeColor="text1"/>
              </w:rPr>
              <w:t>Objektivi specifik 4</w:t>
            </w:r>
            <w:r w:rsidR="00A47E73" w:rsidRPr="00B6593D">
              <w:rPr>
                <w:rFonts w:cstheme="majorHAnsi"/>
                <w:b/>
                <w:color w:val="000000" w:themeColor="text1"/>
              </w:rPr>
              <w:t xml:space="preserve">: </w:t>
            </w:r>
            <w:r w:rsidRPr="00B6593D">
              <w:rPr>
                <w:rFonts w:cstheme="majorHAnsi"/>
                <w:b/>
                <w:color w:val="000000" w:themeColor="text1"/>
              </w:rPr>
              <w:t>Krijimi i një kornize gjithëpërfshirëse ligjore dhe institucionale për mbështetjen e zhvillimit të vullnetarizmit</w:t>
            </w:r>
          </w:p>
        </w:tc>
      </w:tr>
      <w:tr w:rsidR="00CF44A5" w:rsidRPr="00B6593D" w:rsidTr="00221DE3">
        <w:tc>
          <w:tcPr>
            <w:tcW w:w="7655" w:type="dxa"/>
            <w:shd w:val="clear" w:color="auto" w:fill="auto"/>
          </w:tcPr>
          <w:p w:rsidR="00CF44A5" w:rsidRPr="00B6593D" w:rsidRDefault="00CF44A5" w:rsidP="00221DE3">
            <w:pPr>
              <w:contextualSpacing w:val="0"/>
              <w:jc w:val="left"/>
              <w:rPr>
                <w:rFonts w:eastAsia="Times New Roman" w:cstheme="majorHAnsi"/>
                <w:color w:val="000000" w:themeColor="text1"/>
                <w:szCs w:val="22"/>
              </w:rPr>
            </w:pPr>
            <w:r w:rsidRPr="00B6593D">
              <w:rPr>
                <w:rFonts w:cstheme="majorHAnsi"/>
                <w:color w:val="000000" w:themeColor="text1"/>
              </w:rPr>
              <w:t>Objektivi specifik 4.1 Krijimi i një kornize gjithëpërfshirëse ligjore dhe institucionale për mbështetjen e zhvillimit të vullnetarizmit</w:t>
            </w:r>
          </w:p>
        </w:tc>
        <w:tc>
          <w:tcPr>
            <w:tcW w:w="1985"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8.000</w:t>
            </w:r>
          </w:p>
        </w:tc>
      </w:tr>
      <w:tr w:rsidR="00CF44A5" w:rsidRPr="00B6593D" w:rsidTr="00221DE3">
        <w:tc>
          <w:tcPr>
            <w:tcW w:w="7655" w:type="dxa"/>
            <w:shd w:val="clear" w:color="auto" w:fill="auto"/>
          </w:tcPr>
          <w:p w:rsidR="00CF44A5" w:rsidRPr="00B6593D" w:rsidRDefault="00CF44A5" w:rsidP="00221DE3">
            <w:pPr>
              <w:rPr>
                <w:rFonts w:cstheme="majorHAnsi"/>
                <w:color w:val="000000" w:themeColor="text1"/>
              </w:rPr>
            </w:pPr>
            <w:r w:rsidRPr="00B6593D">
              <w:rPr>
                <w:rFonts w:eastAsia="Times New Roman" w:cstheme="majorHAnsi"/>
                <w:color w:val="000000" w:themeColor="text1"/>
                <w:szCs w:val="22"/>
              </w:rPr>
              <w:t>Objektivi specifik 4.2 Zhvillimi i kapaciteteve të OSHC-ve për të rekrutuar, angazhuar dhe menaxhuar vullnetarët</w:t>
            </w:r>
          </w:p>
        </w:tc>
        <w:tc>
          <w:tcPr>
            <w:tcW w:w="1985"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2</w:t>
            </w:r>
            <w:r w:rsidR="00FB04EA" w:rsidRPr="00B6593D">
              <w:rPr>
                <w:rFonts w:eastAsia="Times New Roman" w:cstheme="majorHAnsi"/>
                <w:color w:val="000000" w:themeColor="text1"/>
                <w:szCs w:val="22"/>
              </w:rPr>
              <w:t>5</w:t>
            </w:r>
            <w:r w:rsidRPr="00B6593D">
              <w:rPr>
                <w:rFonts w:eastAsia="Times New Roman" w:cstheme="majorHAnsi"/>
                <w:color w:val="000000" w:themeColor="text1"/>
                <w:szCs w:val="22"/>
              </w:rPr>
              <w:t>.000</w:t>
            </w:r>
          </w:p>
        </w:tc>
      </w:tr>
      <w:tr w:rsidR="00CF44A5" w:rsidRPr="00B6593D" w:rsidTr="00221DE3">
        <w:tc>
          <w:tcPr>
            <w:tcW w:w="7655" w:type="dxa"/>
            <w:shd w:val="clear" w:color="auto" w:fill="auto"/>
          </w:tcPr>
          <w:p w:rsidR="00CF44A5" w:rsidRPr="00B6593D" w:rsidRDefault="00CF44A5" w:rsidP="00221DE3">
            <w:pPr>
              <w:rPr>
                <w:rFonts w:cstheme="majorHAnsi"/>
                <w:color w:val="000000" w:themeColor="text1"/>
              </w:rPr>
            </w:pPr>
            <w:r w:rsidRPr="00B6593D">
              <w:rPr>
                <w:rFonts w:eastAsia="Times New Roman" w:cstheme="majorHAnsi"/>
                <w:color w:val="000000" w:themeColor="text1"/>
                <w:szCs w:val="22"/>
              </w:rPr>
              <w:t>Objektivi specifik 4.3 Rritja e ndërgjegjësimit qytetar në mundësitë dhe vlerat e vullnetarizmit</w:t>
            </w:r>
          </w:p>
        </w:tc>
        <w:tc>
          <w:tcPr>
            <w:tcW w:w="1985" w:type="dxa"/>
            <w:shd w:val="clear" w:color="auto" w:fill="auto"/>
          </w:tcPr>
          <w:p w:rsidR="00CF44A5" w:rsidRPr="00B6593D" w:rsidRDefault="00CF44A5" w:rsidP="00221DE3">
            <w:pPr>
              <w:contextualSpacing w:val="0"/>
              <w:jc w:val="center"/>
              <w:rPr>
                <w:rFonts w:eastAsia="Times New Roman" w:cstheme="majorHAnsi"/>
                <w:color w:val="000000" w:themeColor="text1"/>
                <w:szCs w:val="22"/>
              </w:rPr>
            </w:pPr>
            <w:r w:rsidRPr="00B6593D">
              <w:rPr>
                <w:rFonts w:eastAsia="Times New Roman" w:cstheme="majorHAnsi"/>
                <w:color w:val="000000" w:themeColor="text1"/>
                <w:szCs w:val="22"/>
              </w:rPr>
              <w:t>12.000</w:t>
            </w:r>
          </w:p>
        </w:tc>
      </w:tr>
      <w:tr w:rsidR="00CF44A5" w:rsidRPr="00B6593D" w:rsidTr="00221DE3">
        <w:tc>
          <w:tcPr>
            <w:tcW w:w="7655" w:type="dxa"/>
            <w:shd w:val="clear" w:color="auto" w:fill="auto"/>
          </w:tcPr>
          <w:p w:rsidR="00CF44A5" w:rsidRPr="00B6593D" w:rsidRDefault="00CF44A5" w:rsidP="00221DE3">
            <w:pPr>
              <w:contextualSpacing w:val="0"/>
              <w:jc w:val="right"/>
              <w:rPr>
                <w:rFonts w:eastAsia="Times New Roman" w:cstheme="majorHAnsi"/>
                <w:color w:val="000000" w:themeColor="text1"/>
                <w:szCs w:val="22"/>
              </w:rPr>
            </w:pPr>
            <w:r w:rsidRPr="00B6593D">
              <w:rPr>
                <w:rFonts w:eastAsia="Times New Roman" w:cstheme="majorHAnsi"/>
                <w:b/>
                <w:i/>
                <w:color w:val="000000" w:themeColor="text1"/>
              </w:rPr>
              <w:t>Totali i Objektivit Strategjik 4</w:t>
            </w:r>
          </w:p>
        </w:tc>
        <w:tc>
          <w:tcPr>
            <w:tcW w:w="1985" w:type="dxa"/>
            <w:shd w:val="clear" w:color="auto" w:fill="auto"/>
          </w:tcPr>
          <w:p w:rsidR="00CF44A5" w:rsidRPr="00B6593D" w:rsidRDefault="00FB04EA" w:rsidP="00221DE3">
            <w:pPr>
              <w:contextualSpacing w:val="0"/>
              <w:jc w:val="center"/>
              <w:rPr>
                <w:rFonts w:eastAsia="Times New Roman" w:cstheme="majorHAnsi"/>
                <w:b/>
                <w:color w:val="000000" w:themeColor="text1"/>
                <w:szCs w:val="22"/>
              </w:rPr>
            </w:pPr>
            <w:r w:rsidRPr="00B6593D">
              <w:rPr>
                <w:rFonts w:eastAsia="Times New Roman" w:cstheme="majorHAnsi"/>
                <w:b/>
                <w:color w:val="000000" w:themeColor="text1"/>
                <w:szCs w:val="22"/>
              </w:rPr>
              <w:t>4</w:t>
            </w:r>
            <w:r w:rsidR="00CF44A5" w:rsidRPr="00B6593D">
              <w:rPr>
                <w:rFonts w:eastAsia="Times New Roman" w:cstheme="majorHAnsi"/>
                <w:b/>
                <w:color w:val="000000" w:themeColor="text1"/>
                <w:szCs w:val="22"/>
              </w:rPr>
              <w:t>5.000</w:t>
            </w:r>
          </w:p>
        </w:tc>
      </w:tr>
      <w:tr w:rsidR="00CF44A5" w:rsidRPr="00B6593D" w:rsidTr="00221DE3">
        <w:tc>
          <w:tcPr>
            <w:tcW w:w="7655" w:type="dxa"/>
            <w:shd w:val="clear" w:color="auto" w:fill="D9D9D9"/>
          </w:tcPr>
          <w:p w:rsidR="00CF44A5" w:rsidRPr="00B6593D" w:rsidRDefault="00CF44A5" w:rsidP="00221DE3">
            <w:pPr>
              <w:contextualSpacing w:val="0"/>
              <w:jc w:val="right"/>
              <w:rPr>
                <w:rFonts w:eastAsia="Times New Roman" w:cstheme="majorHAnsi"/>
                <w:b/>
                <w:i/>
                <w:color w:val="000000" w:themeColor="text1"/>
                <w:sz w:val="24"/>
              </w:rPr>
            </w:pPr>
            <w:r w:rsidRPr="00B6593D">
              <w:rPr>
                <w:rFonts w:eastAsia="Times New Roman" w:cstheme="majorHAnsi"/>
                <w:b/>
                <w:i/>
                <w:color w:val="000000" w:themeColor="text1"/>
                <w:sz w:val="24"/>
              </w:rPr>
              <w:t>Total</w:t>
            </w:r>
          </w:p>
        </w:tc>
        <w:tc>
          <w:tcPr>
            <w:tcW w:w="1985" w:type="dxa"/>
            <w:shd w:val="clear" w:color="auto" w:fill="D9D9D9"/>
          </w:tcPr>
          <w:p w:rsidR="00CF44A5" w:rsidRPr="00B6593D" w:rsidRDefault="0021663F" w:rsidP="00221DE3">
            <w:pPr>
              <w:contextualSpacing w:val="0"/>
              <w:jc w:val="center"/>
              <w:rPr>
                <w:rFonts w:eastAsia="Times New Roman" w:cstheme="majorHAnsi"/>
                <w:b/>
                <w:color w:val="000000" w:themeColor="text1"/>
                <w:sz w:val="24"/>
              </w:rPr>
            </w:pPr>
            <w:r>
              <w:rPr>
                <w:rFonts w:eastAsia="Times New Roman" w:cstheme="majorHAnsi"/>
                <w:b/>
                <w:color w:val="000000" w:themeColor="text1"/>
                <w:sz w:val="24"/>
              </w:rPr>
              <w:t>2</w:t>
            </w:r>
            <w:r w:rsidR="009317EB">
              <w:rPr>
                <w:rFonts w:eastAsia="Times New Roman" w:cstheme="majorHAnsi"/>
                <w:b/>
                <w:color w:val="000000" w:themeColor="text1"/>
                <w:sz w:val="24"/>
              </w:rPr>
              <w:t>53</w:t>
            </w:r>
            <w:r w:rsidR="00CF44A5" w:rsidRPr="00B6593D">
              <w:rPr>
                <w:rFonts w:eastAsia="Times New Roman" w:cstheme="majorHAnsi"/>
                <w:b/>
                <w:color w:val="000000" w:themeColor="text1"/>
                <w:sz w:val="24"/>
              </w:rPr>
              <w:t>.</w:t>
            </w:r>
            <w:r w:rsidR="00E66E67" w:rsidRPr="00B6593D">
              <w:rPr>
                <w:rFonts w:eastAsia="Times New Roman" w:cstheme="majorHAnsi"/>
                <w:b/>
                <w:color w:val="000000" w:themeColor="text1"/>
                <w:sz w:val="24"/>
              </w:rPr>
              <w:t>5</w:t>
            </w:r>
            <w:r w:rsidR="00CF44A5" w:rsidRPr="00B6593D">
              <w:rPr>
                <w:rFonts w:eastAsia="Times New Roman" w:cstheme="majorHAnsi"/>
                <w:b/>
                <w:color w:val="000000" w:themeColor="text1"/>
                <w:sz w:val="24"/>
              </w:rPr>
              <w:t>00</w:t>
            </w:r>
          </w:p>
        </w:tc>
      </w:tr>
    </w:tbl>
    <w:p w:rsidR="00CF44A5" w:rsidRPr="00B6593D" w:rsidRDefault="00CF44A5" w:rsidP="00CF44A5">
      <w:pPr>
        <w:spacing w:line="276" w:lineRule="auto"/>
        <w:rPr>
          <w:rFonts w:cstheme="majorHAnsi"/>
          <w:color w:val="000000" w:themeColor="text1"/>
          <w:szCs w:val="22"/>
        </w:rPr>
      </w:pPr>
    </w:p>
    <w:p w:rsidR="00CF44A5" w:rsidRPr="00B6593D" w:rsidRDefault="00CF44A5" w:rsidP="00CF44A5">
      <w:pPr>
        <w:rPr>
          <w:rFonts w:cstheme="majorHAnsi"/>
          <w:color w:val="000000" w:themeColor="text1"/>
          <w:szCs w:val="22"/>
        </w:rPr>
        <w:sectPr w:rsidR="00CF44A5" w:rsidRPr="00B6593D" w:rsidSect="00221DE3">
          <w:headerReference w:type="default" r:id="rId18"/>
          <w:footerReference w:type="default" r:id="rId19"/>
          <w:pgSz w:w="12240" w:h="15840"/>
          <w:pgMar w:top="1440" w:right="1440" w:bottom="1440" w:left="1440" w:header="720" w:footer="720" w:gutter="0"/>
          <w:cols w:space="720"/>
          <w:titlePg/>
          <w:docGrid w:linePitch="360"/>
        </w:sectPr>
      </w:pPr>
    </w:p>
    <w:p w:rsidR="00CF44A5" w:rsidRPr="00B6593D" w:rsidRDefault="00CF44A5" w:rsidP="00CF44A5">
      <w:pPr>
        <w:pStyle w:val="Heading1"/>
        <w:rPr>
          <w:rFonts w:eastAsia="Times New Roman" w:cstheme="majorHAnsi"/>
          <w:color w:val="000000" w:themeColor="text1"/>
          <w:u w:val="single"/>
        </w:rPr>
      </w:pPr>
      <w:bookmarkStart w:id="37" w:name="_Toc536000970"/>
      <w:r w:rsidRPr="00B6593D">
        <w:rPr>
          <w:rFonts w:eastAsia="Times New Roman" w:cstheme="majorHAnsi"/>
          <w:color w:val="000000" w:themeColor="text1"/>
          <w:u w:val="single"/>
        </w:rPr>
        <w:lastRenderedPageBreak/>
        <w:t>Shtojca 1. Plani i Veprimit</w:t>
      </w:r>
      <w:bookmarkEnd w:id="37"/>
      <w:r w:rsidRPr="00B6593D">
        <w:rPr>
          <w:rFonts w:eastAsia="Times New Roman" w:cstheme="majorHAnsi"/>
          <w:color w:val="000000" w:themeColor="text1"/>
          <w:u w:val="single"/>
        </w:rPr>
        <w:t xml:space="preserve">  </w:t>
      </w:r>
    </w:p>
    <w:tbl>
      <w:tblPr>
        <w:tblW w:w="143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161"/>
        <w:gridCol w:w="966"/>
        <w:gridCol w:w="850"/>
        <w:gridCol w:w="1134"/>
        <w:gridCol w:w="1134"/>
        <w:gridCol w:w="709"/>
        <w:gridCol w:w="567"/>
        <w:gridCol w:w="1930"/>
        <w:gridCol w:w="1330"/>
      </w:tblGrid>
      <w:tr w:rsidR="003956FE" w:rsidRPr="001640C4" w:rsidTr="00B901E3">
        <w:tc>
          <w:tcPr>
            <w:tcW w:w="709" w:type="dxa"/>
            <w:shd w:val="clear" w:color="auto" w:fill="BDD6EE"/>
            <w:vAlign w:val="center"/>
          </w:tcPr>
          <w:p w:rsidR="003956FE" w:rsidRPr="001640C4" w:rsidRDefault="003956FE" w:rsidP="00EC4E8C">
            <w:pPr>
              <w:jc w:val="center"/>
              <w:rPr>
                <w:rFonts w:eastAsia="Times New Roman" w:cstheme="majorHAnsi"/>
                <w:b/>
                <w:sz w:val="20"/>
                <w:szCs w:val="20"/>
                <w:lang w:eastAsia="sq-AL"/>
              </w:rPr>
            </w:pPr>
            <w:bookmarkStart w:id="38" w:name="_Toc470005595"/>
            <w:r w:rsidRPr="001640C4">
              <w:rPr>
                <w:rFonts w:eastAsia="Times New Roman" w:cstheme="majorHAnsi"/>
                <w:b/>
                <w:sz w:val="20"/>
                <w:szCs w:val="20"/>
                <w:lang w:eastAsia="sq-AL"/>
              </w:rPr>
              <w:t>Nr.</w:t>
            </w:r>
          </w:p>
        </w:tc>
        <w:tc>
          <w:tcPr>
            <w:tcW w:w="3827" w:type="dxa"/>
            <w:shd w:val="clear" w:color="auto" w:fill="BDD6EE"/>
            <w:vAlign w:val="center"/>
          </w:tcPr>
          <w:p w:rsidR="003956FE" w:rsidRPr="001640C4" w:rsidRDefault="003956FE" w:rsidP="00692B38">
            <w:pPr>
              <w:jc w:val="center"/>
              <w:rPr>
                <w:rFonts w:eastAsia="Times New Roman" w:cstheme="majorHAnsi"/>
                <w:b/>
                <w:sz w:val="20"/>
                <w:szCs w:val="20"/>
                <w:lang w:eastAsia="sq-AL"/>
              </w:rPr>
            </w:pPr>
            <w:r w:rsidRPr="001640C4">
              <w:rPr>
                <w:rFonts w:eastAsia="Times New Roman" w:cstheme="majorHAnsi"/>
                <w:b/>
                <w:sz w:val="20"/>
                <w:szCs w:val="20"/>
                <w:lang w:eastAsia="sq-AL"/>
              </w:rPr>
              <w:t>Objektivat strategjike dhe specifike, treguesit dhe veprimet</w:t>
            </w:r>
          </w:p>
        </w:tc>
        <w:tc>
          <w:tcPr>
            <w:tcW w:w="2127" w:type="dxa"/>
            <w:gridSpan w:val="2"/>
            <w:shd w:val="clear" w:color="auto" w:fill="BDD6EE"/>
            <w:vAlign w:val="center"/>
          </w:tcPr>
          <w:p w:rsidR="003956FE" w:rsidRPr="001640C4" w:rsidRDefault="003956FE" w:rsidP="00692B38">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Vlera bazë </w:t>
            </w:r>
          </w:p>
        </w:tc>
        <w:tc>
          <w:tcPr>
            <w:tcW w:w="1984" w:type="dxa"/>
            <w:gridSpan w:val="2"/>
            <w:shd w:val="clear" w:color="auto" w:fill="BDD6EE"/>
            <w:vAlign w:val="center"/>
          </w:tcPr>
          <w:p w:rsidR="003956FE" w:rsidRPr="001640C4" w:rsidRDefault="003956FE" w:rsidP="00692B38">
            <w:pPr>
              <w:jc w:val="center"/>
              <w:rPr>
                <w:rFonts w:eastAsia="Times New Roman" w:cstheme="majorHAnsi"/>
                <w:b/>
                <w:sz w:val="20"/>
                <w:szCs w:val="20"/>
                <w:lang w:eastAsia="sq-AL"/>
              </w:rPr>
            </w:pPr>
            <w:r w:rsidRPr="001640C4">
              <w:rPr>
                <w:rFonts w:eastAsia="Times New Roman" w:cstheme="majorHAnsi"/>
                <w:b/>
                <w:sz w:val="20"/>
                <w:szCs w:val="20"/>
                <w:lang w:eastAsia="sq-AL"/>
              </w:rPr>
              <w:t>Objektivi i përkohshëm [2019]</w:t>
            </w:r>
          </w:p>
        </w:tc>
        <w:tc>
          <w:tcPr>
            <w:tcW w:w="1134" w:type="dxa"/>
            <w:shd w:val="clear" w:color="auto" w:fill="BDD6EE"/>
            <w:vAlign w:val="center"/>
          </w:tcPr>
          <w:p w:rsidR="003956FE" w:rsidRPr="001640C4" w:rsidRDefault="003956FE" w:rsidP="00692B38">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Synimi i vitit të fundit [2021] </w:t>
            </w:r>
          </w:p>
        </w:tc>
        <w:tc>
          <w:tcPr>
            <w:tcW w:w="4536" w:type="dxa"/>
            <w:gridSpan w:val="4"/>
            <w:shd w:val="clear" w:color="auto" w:fill="BDD6EE"/>
            <w:vAlign w:val="center"/>
          </w:tcPr>
          <w:p w:rsidR="003956FE" w:rsidRPr="001640C4" w:rsidRDefault="003956FE" w:rsidP="00692B38">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Rezultati </w:t>
            </w:r>
          </w:p>
        </w:tc>
      </w:tr>
      <w:tr w:rsidR="003956FE" w:rsidRPr="001640C4" w:rsidTr="00B901E3">
        <w:trPr>
          <w:trHeight w:val="920"/>
        </w:trPr>
        <w:tc>
          <w:tcPr>
            <w:tcW w:w="709" w:type="dxa"/>
            <w:shd w:val="clear" w:color="auto" w:fill="BFBFBF"/>
            <w:vAlign w:val="center"/>
          </w:tcPr>
          <w:p w:rsidR="003956FE" w:rsidRPr="001640C4" w:rsidRDefault="00F9129C" w:rsidP="008261B6">
            <w:pPr>
              <w:pStyle w:val="Heading2"/>
              <w:rPr>
                <w:rFonts w:eastAsia="Times New Roman" w:cstheme="majorHAnsi"/>
                <w:sz w:val="20"/>
                <w:szCs w:val="20"/>
                <w:lang w:eastAsia="sq-AL"/>
              </w:rPr>
            </w:pPr>
            <w:r w:rsidRPr="001640C4">
              <w:rPr>
                <w:rFonts w:eastAsia="Times New Roman" w:cstheme="majorHAnsi"/>
                <w:color w:val="000000" w:themeColor="text1"/>
                <w:sz w:val="40"/>
                <w:szCs w:val="28"/>
              </w:rPr>
              <w:t xml:space="preserve">   </w:t>
            </w:r>
            <w:bookmarkStart w:id="39" w:name="_Toc535484364"/>
            <w:bookmarkStart w:id="40" w:name="_Toc536000971"/>
            <w:r w:rsidR="00510578" w:rsidRPr="001640C4">
              <w:rPr>
                <w:rFonts w:eastAsia="Times New Roman" w:cstheme="majorHAnsi"/>
                <w:color w:val="000000" w:themeColor="text1"/>
                <w:sz w:val="32"/>
                <w:szCs w:val="28"/>
              </w:rPr>
              <w:t>1</w:t>
            </w:r>
            <w:bookmarkEnd w:id="39"/>
            <w:bookmarkEnd w:id="40"/>
          </w:p>
        </w:tc>
        <w:tc>
          <w:tcPr>
            <w:tcW w:w="13608" w:type="dxa"/>
            <w:gridSpan w:val="10"/>
            <w:tcBorders>
              <w:right w:val="single" w:sz="4" w:space="0" w:color="auto"/>
            </w:tcBorders>
            <w:shd w:val="clear" w:color="auto" w:fill="BFBFBF"/>
            <w:vAlign w:val="bottom"/>
          </w:tcPr>
          <w:p w:rsidR="003956FE" w:rsidRPr="001640C4" w:rsidRDefault="00691D3B" w:rsidP="00510578">
            <w:pPr>
              <w:pStyle w:val="Heading2"/>
              <w:jc w:val="left"/>
              <w:rPr>
                <w:rFonts w:eastAsia="Times New Roman" w:cstheme="majorHAnsi"/>
                <w:color w:val="000000" w:themeColor="text1"/>
                <w:sz w:val="32"/>
                <w:szCs w:val="28"/>
              </w:rPr>
            </w:pPr>
            <w:bookmarkStart w:id="41" w:name="_Toc533365732"/>
            <w:bookmarkStart w:id="42" w:name="_Toc535484365"/>
            <w:r w:rsidRPr="001640C4">
              <w:rPr>
                <w:rFonts w:eastAsia="Times New Roman" w:cstheme="majorHAnsi"/>
                <w:color w:val="000000" w:themeColor="text1"/>
                <w:sz w:val="32"/>
                <w:szCs w:val="28"/>
              </w:rPr>
              <w:br/>
            </w:r>
            <w:bookmarkStart w:id="43" w:name="_Toc536000972"/>
            <w:r w:rsidR="003956FE" w:rsidRPr="001640C4">
              <w:rPr>
                <w:rFonts w:eastAsia="Times New Roman" w:cstheme="majorHAnsi"/>
                <w:color w:val="000000" w:themeColor="text1"/>
                <w:sz w:val="32"/>
                <w:szCs w:val="28"/>
              </w:rPr>
              <w:t xml:space="preserve">Objektivi strategjik - Rritja e pjesëmarrjes së shoqërisë civile në </w:t>
            </w:r>
            <w:bookmarkEnd w:id="41"/>
            <w:r w:rsidR="003956FE" w:rsidRPr="001640C4">
              <w:rPr>
                <w:rFonts w:eastAsia="Times New Roman" w:cstheme="majorHAnsi"/>
                <w:color w:val="000000" w:themeColor="text1"/>
                <w:sz w:val="32"/>
                <w:szCs w:val="28"/>
              </w:rPr>
              <w:t>politikë-bërje</w:t>
            </w:r>
            <w:bookmarkEnd w:id="42"/>
            <w:bookmarkEnd w:id="43"/>
          </w:p>
          <w:p w:rsidR="003956FE" w:rsidRPr="001640C4" w:rsidRDefault="003956FE" w:rsidP="00692B38">
            <w:pPr>
              <w:rPr>
                <w:rFonts w:eastAsia="Times New Roman" w:cstheme="majorHAnsi"/>
                <w:b/>
                <w:sz w:val="20"/>
                <w:szCs w:val="20"/>
                <w:lang w:eastAsia="sq-AL"/>
              </w:rPr>
            </w:pPr>
          </w:p>
        </w:tc>
      </w:tr>
      <w:tr w:rsidR="00377FD3" w:rsidRPr="001640C4" w:rsidTr="00B901E3">
        <w:trPr>
          <w:trHeight w:val="675"/>
        </w:trPr>
        <w:tc>
          <w:tcPr>
            <w:tcW w:w="709" w:type="dxa"/>
            <w:shd w:val="clear" w:color="auto" w:fill="auto"/>
            <w:vAlign w:val="center"/>
          </w:tcPr>
          <w:p w:rsidR="00377FD3" w:rsidRPr="001640C4" w:rsidRDefault="00377FD3" w:rsidP="00377FD3">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b/>
                <w:sz w:val="20"/>
                <w:szCs w:val="20"/>
                <w:lang w:eastAsia="sq-AL"/>
              </w:rPr>
              <w:t>Treguesi:</w:t>
            </w:r>
            <w:r w:rsidRPr="001640C4">
              <w:rPr>
                <w:rFonts w:eastAsia="Times New Roman" w:cstheme="majorHAnsi"/>
                <w:sz w:val="20"/>
                <w:szCs w:val="20"/>
                <w:lang w:eastAsia="sq-AL"/>
              </w:rPr>
              <w:t xml:space="preserve"> Numri i OSHC-ve të përfshira në ekipet e punës për hartimin e politikave të reja dhe fazat e hershme të zhvillimit të legjislacionit</w:t>
            </w:r>
          </w:p>
        </w:tc>
        <w:tc>
          <w:tcPr>
            <w:tcW w:w="2127" w:type="dxa"/>
            <w:gridSpan w:val="2"/>
            <w:shd w:val="clear" w:color="auto" w:fill="auto"/>
            <w:vAlign w:val="center"/>
          </w:tcPr>
          <w:p w:rsidR="00377FD3" w:rsidRPr="001640C4" w:rsidRDefault="00377FD3" w:rsidP="00377FD3">
            <w:pPr>
              <w:rPr>
                <w:rFonts w:cs="Calibri Light"/>
                <w:color w:val="000000"/>
              </w:rPr>
            </w:pPr>
            <w:r w:rsidRPr="001640C4">
              <w:rPr>
                <w:rFonts w:cs="Calibri Light"/>
                <w:color w:val="000000"/>
              </w:rPr>
              <w:t>50 OSHC</w:t>
            </w:r>
          </w:p>
          <w:p w:rsidR="00377FD3" w:rsidRPr="001640C4" w:rsidRDefault="00377FD3" w:rsidP="00377FD3">
            <w:pPr>
              <w:rPr>
                <w:rFonts w:cs="Calibri Light"/>
                <w:color w:val="000000"/>
              </w:rPr>
            </w:pPr>
          </w:p>
        </w:tc>
        <w:tc>
          <w:tcPr>
            <w:tcW w:w="1984" w:type="dxa"/>
            <w:gridSpan w:val="2"/>
            <w:shd w:val="clear" w:color="auto" w:fill="auto"/>
            <w:vAlign w:val="center"/>
          </w:tcPr>
          <w:p w:rsidR="00377FD3" w:rsidRPr="001640C4" w:rsidRDefault="00377FD3" w:rsidP="00377FD3">
            <w:pPr>
              <w:rPr>
                <w:rFonts w:cs="Calibri Light"/>
                <w:color w:val="000000"/>
              </w:rPr>
            </w:pPr>
            <w:r w:rsidRPr="001640C4">
              <w:rPr>
                <w:rFonts w:cs="Calibri Light"/>
                <w:color w:val="000000"/>
              </w:rPr>
              <w:t>100 OSHC</w:t>
            </w:r>
          </w:p>
          <w:p w:rsidR="00377FD3" w:rsidRPr="001640C4" w:rsidRDefault="00377FD3" w:rsidP="00377FD3">
            <w:pPr>
              <w:rPr>
                <w:rFonts w:cs="Calibri Light"/>
                <w:color w:val="000000"/>
              </w:rPr>
            </w:pPr>
          </w:p>
        </w:tc>
        <w:tc>
          <w:tcPr>
            <w:tcW w:w="1134" w:type="dxa"/>
            <w:shd w:val="clear" w:color="auto" w:fill="auto"/>
            <w:vAlign w:val="center"/>
          </w:tcPr>
          <w:p w:rsidR="00377FD3" w:rsidRPr="001640C4" w:rsidRDefault="00377FD3" w:rsidP="00377FD3">
            <w:pPr>
              <w:rPr>
                <w:rFonts w:cs="Calibri Light"/>
                <w:color w:val="000000"/>
              </w:rPr>
            </w:pPr>
            <w:r w:rsidRPr="001640C4">
              <w:rPr>
                <w:rFonts w:cs="Calibri Light"/>
                <w:color w:val="000000"/>
              </w:rPr>
              <w:t>150 OSHC</w:t>
            </w:r>
          </w:p>
          <w:p w:rsidR="00377FD3" w:rsidRPr="001640C4" w:rsidRDefault="00377FD3" w:rsidP="00377FD3">
            <w:pPr>
              <w:rPr>
                <w:rFonts w:cs="Calibri Light"/>
                <w:color w:val="000000"/>
              </w:rPr>
            </w:pPr>
          </w:p>
        </w:tc>
        <w:tc>
          <w:tcPr>
            <w:tcW w:w="4536" w:type="dxa"/>
            <w:gridSpan w:val="4"/>
            <w:shd w:val="clear" w:color="auto" w:fill="auto"/>
            <w:vAlign w:val="center"/>
          </w:tcPr>
          <w:p w:rsidR="00377FD3" w:rsidRPr="001640C4" w:rsidRDefault="00377FD3" w:rsidP="00377FD3">
            <w:pPr>
              <w:jc w:val="left"/>
              <w:rPr>
                <w:rFonts w:eastAsia="Times New Roman" w:cstheme="majorHAnsi"/>
                <w:sz w:val="20"/>
                <w:szCs w:val="20"/>
                <w:lang w:eastAsia="sq-AL"/>
              </w:rPr>
            </w:pPr>
            <w:r w:rsidRPr="001640C4">
              <w:rPr>
                <w:rFonts w:eastAsia="Times New Roman" w:cstheme="majorHAnsi"/>
                <w:sz w:val="20"/>
                <w:szCs w:val="20"/>
                <w:lang w:eastAsia="sq-AL"/>
              </w:rPr>
              <w:t>Përfshirja e OSSC-ve në fazat e hershme të hartimit të legjislacionit dhe politikave është përmirësuar.</w:t>
            </w:r>
          </w:p>
        </w:tc>
      </w:tr>
      <w:tr w:rsidR="00377FD3" w:rsidRPr="001640C4" w:rsidTr="00B901E3">
        <w:trPr>
          <w:trHeight w:val="705"/>
        </w:trPr>
        <w:tc>
          <w:tcPr>
            <w:tcW w:w="709" w:type="dxa"/>
            <w:shd w:val="clear" w:color="auto" w:fill="auto"/>
            <w:vAlign w:val="center"/>
          </w:tcPr>
          <w:p w:rsidR="00377FD3" w:rsidRPr="001640C4" w:rsidRDefault="00377FD3" w:rsidP="00377FD3">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2</w:t>
            </w:r>
          </w:p>
        </w:tc>
        <w:tc>
          <w:tcPr>
            <w:tcW w:w="3827"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b/>
                <w:sz w:val="20"/>
                <w:szCs w:val="20"/>
                <w:lang w:eastAsia="sq-AL"/>
              </w:rPr>
              <w:t>Treguesi:</w:t>
            </w:r>
            <w:r w:rsidRPr="001640C4">
              <w:rPr>
                <w:rFonts w:eastAsia="Times New Roman" w:cstheme="majorHAnsi"/>
                <w:sz w:val="20"/>
                <w:szCs w:val="20"/>
                <w:lang w:eastAsia="sq-AL"/>
              </w:rPr>
              <w:t xml:space="preserve"> Numri i OSHC-ve që kontribuojnë në konsultime publike të hapura për draft-politika</w:t>
            </w:r>
          </w:p>
        </w:tc>
        <w:tc>
          <w:tcPr>
            <w:tcW w:w="2127" w:type="dxa"/>
            <w:gridSpan w:val="2"/>
            <w:shd w:val="clear" w:color="auto" w:fill="auto"/>
            <w:vAlign w:val="center"/>
          </w:tcPr>
          <w:p w:rsidR="00377FD3" w:rsidRPr="001640C4" w:rsidRDefault="00377FD3" w:rsidP="00377FD3">
            <w:pPr>
              <w:rPr>
                <w:rFonts w:cs="Calibri Light"/>
                <w:color w:val="000000"/>
              </w:rPr>
            </w:pPr>
            <w:r w:rsidRPr="001640C4">
              <w:rPr>
                <w:rFonts w:cs="Calibri Light"/>
                <w:color w:val="000000"/>
              </w:rPr>
              <w:t>1</w:t>
            </w:r>
            <w:r w:rsidR="00B901E3" w:rsidRPr="001640C4">
              <w:rPr>
                <w:rFonts w:cs="Calibri Light"/>
                <w:color w:val="000000"/>
              </w:rPr>
              <w:t>0</w:t>
            </w:r>
            <w:r w:rsidRPr="001640C4">
              <w:rPr>
                <w:rFonts w:cs="Calibri Light"/>
                <w:color w:val="000000"/>
              </w:rPr>
              <w:t>0 OSHC</w:t>
            </w:r>
          </w:p>
          <w:p w:rsidR="00377FD3" w:rsidRPr="001640C4" w:rsidRDefault="00377FD3" w:rsidP="00377FD3">
            <w:pPr>
              <w:rPr>
                <w:rFonts w:cs="Calibri Light"/>
                <w:color w:val="000000"/>
              </w:rPr>
            </w:pPr>
          </w:p>
        </w:tc>
        <w:tc>
          <w:tcPr>
            <w:tcW w:w="1984" w:type="dxa"/>
            <w:gridSpan w:val="2"/>
            <w:shd w:val="clear" w:color="auto" w:fill="auto"/>
            <w:vAlign w:val="center"/>
          </w:tcPr>
          <w:p w:rsidR="00377FD3" w:rsidRPr="001640C4" w:rsidRDefault="00377FD3" w:rsidP="00377FD3">
            <w:pPr>
              <w:rPr>
                <w:rFonts w:cs="Calibri Light"/>
                <w:color w:val="000000"/>
              </w:rPr>
            </w:pPr>
            <w:r w:rsidRPr="001640C4">
              <w:rPr>
                <w:rFonts w:cs="Calibri Light"/>
                <w:color w:val="000000"/>
              </w:rPr>
              <w:t>2</w:t>
            </w:r>
            <w:r w:rsidR="00B901E3" w:rsidRPr="001640C4">
              <w:rPr>
                <w:rFonts w:cs="Calibri Light"/>
                <w:color w:val="000000"/>
              </w:rPr>
              <w:t>0</w:t>
            </w:r>
            <w:r w:rsidRPr="001640C4">
              <w:rPr>
                <w:rFonts w:cs="Calibri Light"/>
                <w:color w:val="000000"/>
              </w:rPr>
              <w:t>0 OSHC</w:t>
            </w:r>
          </w:p>
          <w:p w:rsidR="00377FD3" w:rsidRPr="001640C4" w:rsidRDefault="00377FD3" w:rsidP="00377FD3">
            <w:pPr>
              <w:rPr>
                <w:rFonts w:cs="Calibri Light"/>
                <w:color w:val="000000"/>
              </w:rPr>
            </w:pPr>
          </w:p>
        </w:tc>
        <w:tc>
          <w:tcPr>
            <w:tcW w:w="1134" w:type="dxa"/>
            <w:shd w:val="clear" w:color="auto" w:fill="auto"/>
            <w:vAlign w:val="center"/>
          </w:tcPr>
          <w:p w:rsidR="00377FD3" w:rsidRPr="001640C4" w:rsidRDefault="00B901E3" w:rsidP="00377FD3">
            <w:pPr>
              <w:rPr>
                <w:rFonts w:cs="Calibri Light"/>
                <w:color w:val="000000"/>
              </w:rPr>
            </w:pPr>
            <w:r w:rsidRPr="001640C4">
              <w:rPr>
                <w:rFonts w:cs="Calibri Light"/>
                <w:color w:val="000000"/>
              </w:rPr>
              <w:t>350</w:t>
            </w:r>
            <w:r w:rsidR="00377FD3" w:rsidRPr="001640C4">
              <w:rPr>
                <w:rFonts w:cs="Calibri Light"/>
                <w:color w:val="000000"/>
              </w:rPr>
              <w:t xml:space="preserve"> OSHC</w:t>
            </w:r>
          </w:p>
          <w:p w:rsidR="00377FD3" w:rsidRPr="001640C4" w:rsidRDefault="00377FD3" w:rsidP="00377FD3">
            <w:pPr>
              <w:rPr>
                <w:rFonts w:cs="Calibri Light"/>
                <w:color w:val="000000"/>
              </w:rPr>
            </w:pPr>
          </w:p>
        </w:tc>
        <w:tc>
          <w:tcPr>
            <w:tcW w:w="4536" w:type="dxa"/>
            <w:gridSpan w:val="4"/>
            <w:shd w:val="clear" w:color="auto" w:fill="auto"/>
            <w:vAlign w:val="center"/>
          </w:tcPr>
          <w:p w:rsidR="00377FD3" w:rsidRPr="001640C4" w:rsidRDefault="00377FD3" w:rsidP="00377FD3">
            <w:pPr>
              <w:jc w:val="left"/>
              <w:rPr>
                <w:rFonts w:eastAsia="Times New Roman" w:cstheme="majorHAnsi"/>
                <w:sz w:val="20"/>
                <w:szCs w:val="20"/>
                <w:lang w:eastAsia="sq-AL"/>
              </w:rPr>
            </w:pPr>
            <w:r w:rsidRPr="001640C4">
              <w:rPr>
                <w:rFonts w:eastAsia="Times New Roman" w:cstheme="majorHAnsi"/>
                <w:sz w:val="20"/>
                <w:szCs w:val="20"/>
                <w:lang w:eastAsia="sq-AL"/>
              </w:rPr>
              <w:t>Kontributet e OSHC-ve në bërjen e politikave janë rritur.</w:t>
            </w:r>
          </w:p>
        </w:tc>
      </w:tr>
      <w:tr w:rsidR="00377FD3" w:rsidRPr="001640C4" w:rsidTr="00B901E3">
        <w:tc>
          <w:tcPr>
            <w:tcW w:w="709" w:type="dxa"/>
            <w:shd w:val="clear" w:color="auto" w:fill="D9D9D9"/>
            <w:vAlign w:val="center"/>
          </w:tcPr>
          <w:p w:rsidR="00377FD3" w:rsidRPr="001640C4" w:rsidRDefault="00377FD3" w:rsidP="00377FD3">
            <w:pPr>
              <w:spacing w:before="100" w:beforeAutospacing="1" w:after="100" w:afterAutospacing="1"/>
              <w:jc w:val="center"/>
              <w:rPr>
                <w:rFonts w:eastAsia="Times New Roman" w:cstheme="majorHAnsi"/>
                <w:b/>
                <w:sz w:val="24"/>
                <w:szCs w:val="20"/>
                <w:lang w:eastAsia="sq-AL"/>
              </w:rPr>
            </w:pPr>
          </w:p>
          <w:p w:rsidR="00377FD3" w:rsidRPr="001640C4" w:rsidRDefault="00377FD3" w:rsidP="00377FD3">
            <w:pPr>
              <w:spacing w:before="100" w:beforeAutospacing="1" w:after="100" w:afterAutospacing="1"/>
              <w:jc w:val="center"/>
              <w:rPr>
                <w:rFonts w:eastAsia="Times New Roman" w:cstheme="majorHAnsi"/>
                <w:b/>
                <w:sz w:val="24"/>
                <w:szCs w:val="20"/>
                <w:lang w:eastAsia="sq-AL"/>
              </w:rPr>
            </w:pPr>
            <w:r w:rsidRPr="001640C4">
              <w:rPr>
                <w:rFonts w:eastAsia="Times New Roman" w:cstheme="majorHAnsi"/>
                <w:b/>
                <w:sz w:val="24"/>
                <w:szCs w:val="20"/>
                <w:lang w:eastAsia="sq-AL"/>
              </w:rPr>
              <w:t>1.1</w:t>
            </w:r>
          </w:p>
          <w:p w:rsidR="00377FD3" w:rsidRPr="001640C4" w:rsidRDefault="00377FD3" w:rsidP="00377FD3">
            <w:pPr>
              <w:spacing w:before="100" w:beforeAutospacing="1" w:after="100" w:afterAutospacing="1"/>
              <w:jc w:val="center"/>
              <w:rPr>
                <w:rFonts w:eastAsia="Times New Roman" w:cstheme="majorHAnsi"/>
                <w:b/>
                <w:sz w:val="20"/>
                <w:szCs w:val="20"/>
                <w:lang w:eastAsia="sq-AL"/>
              </w:rPr>
            </w:pPr>
          </w:p>
        </w:tc>
        <w:tc>
          <w:tcPr>
            <w:tcW w:w="13608" w:type="dxa"/>
            <w:gridSpan w:val="10"/>
            <w:shd w:val="clear" w:color="auto" w:fill="D9D9D9"/>
            <w:vAlign w:val="center"/>
          </w:tcPr>
          <w:p w:rsidR="00377FD3" w:rsidRPr="001640C4" w:rsidRDefault="00377FD3" w:rsidP="00377FD3">
            <w:pPr>
              <w:spacing w:before="100" w:beforeAutospacing="1" w:after="100" w:afterAutospacing="1"/>
              <w:rPr>
                <w:rFonts w:eastAsia="Times New Roman" w:cstheme="majorHAnsi"/>
                <w:b/>
                <w:sz w:val="24"/>
                <w:szCs w:val="20"/>
                <w:lang w:eastAsia="sq-AL"/>
              </w:rPr>
            </w:pPr>
          </w:p>
          <w:p w:rsidR="00377FD3" w:rsidRPr="001640C4" w:rsidRDefault="00377FD3" w:rsidP="00377FD3">
            <w:pPr>
              <w:spacing w:before="100" w:beforeAutospacing="1" w:after="100" w:afterAutospacing="1"/>
              <w:rPr>
                <w:rFonts w:eastAsia="Times New Roman" w:cstheme="majorHAnsi"/>
                <w:b/>
                <w:bCs/>
                <w:color w:val="000000" w:themeColor="text1"/>
                <w:sz w:val="24"/>
              </w:rPr>
            </w:pPr>
            <w:r w:rsidRPr="001640C4">
              <w:rPr>
                <w:rFonts w:eastAsia="Times New Roman" w:cstheme="majorHAnsi"/>
                <w:b/>
                <w:sz w:val="24"/>
                <w:szCs w:val="20"/>
                <w:lang w:eastAsia="sq-AL"/>
              </w:rPr>
              <w:t xml:space="preserve">Objektivi specifik: </w:t>
            </w:r>
            <w:r w:rsidRPr="001640C4">
              <w:rPr>
                <w:rFonts w:eastAsia="Times New Roman" w:cstheme="majorHAnsi"/>
                <w:b/>
                <w:bCs/>
                <w:color w:val="000000" w:themeColor="text1"/>
                <w:sz w:val="24"/>
              </w:rPr>
              <w:t>Përmirësimi i kapaciteteve të institucioneve për zbatimin e standardeve minimale për konsultimet me publikun</w:t>
            </w:r>
          </w:p>
          <w:p w:rsidR="00377FD3" w:rsidRPr="001640C4" w:rsidRDefault="00377FD3" w:rsidP="00377FD3">
            <w:pPr>
              <w:spacing w:before="100" w:beforeAutospacing="1" w:after="100" w:afterAutospacing="1"/>
              <w:rPr>
                <w:rFonts w:eastAsia="Times New Roman" w:cstheme="majorHAnsi"/>
                <w:b/>
                <w:sz w:val="24"/>
                <w:szCs w:val="20"/>
                <w:lang w:eastAsia="sq-AL"/>
              </w:rPr>
            </w:pPr>
          </w:p>
        </w:tc>
      </w:tr>
      <w:tr w:rsidR="00377FD3" w:rsidRPr="001640C4" w:rsidTr="00B901E3">
        <w:tc>
          <w:tcPr>
            <w:tcW w:w="709" w:type="dxa"/>
            <w:shd w:val="clear" w:color="auto" w:fill="auto"/>
            <w:vAlign w:val="center"/>
          </w:tcPr>
          <w:p w:rsidR="00377FD3" w:rsidRPr="001640C4" w:rsidRDefault="00377FD3" w:rsidP="00377FD3">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377FD3" w:rsidRPr="001640C4" w:rsidRDefault="00377FD3" w:rsidP="00377FD3">
            <w:pPr>
              <w:rPr>
                <w:rFonts w:eastAsia="Times New Roman" w:cstheme="majorHAnsi"/>
                <w:b/>
                <w:sz w:val="20"/>
                <w:szCs w:val="20"/>
                <w:lang w:eastAsia="sq-AL"/>
              </w:rPr>
            </w:pPr>
          </w:p>
          <w:p w:rsidR="00377FD3" w:rsidRPr="001640C4" w:rsidRDefault="00377FD3" w:rsidP="00377FD3">
            <w:pPr>
              <w:rPr>
                <w:rFonts w:cstheme="majorHAnsi"/>
                <w:color w:val="000000" w:themeColor="text1"/>
              </w:rPr>
            </w:pPr>
            <w:r w:rsidRPr="001640C4">
              <w:rPr>
                <w:rFonts w:eastAsia="Times New Roman" w:cstheme="majorHAnsi"/>
                <w:b/>
                <w:sz w:val="20"/>
                <w:szCs w:val="20"/>
                <w:lang w:eastAsia="sq-AL"/>
              </w:rPr>
              <w:t xml:space="preserve">Treguesi: </w:t>
            </w:r>
            <w:r w:rsidRPr="001640C4">
              <w:rPr>
                <w:rFonts w:cstheme="majorHAnsi"/>
                <w:color w:val="000000" w:themeColor="text1"/>
              </w:rPr>
              <w:t>Numri i përsonelit relevant në ZKM, në ministritë e linjës dhe Komuna të trajnuar në zbatim të standardeve minimale për procesin e konsultimit publik</w:t>
            </w:r>
          </w:p>
        </w:tc>
        <w:tc>
          <w:tcPr>
            <w:tcW w:w="2127" w:type="dxa"/>
            <w:gridSpan w:val="2"/>
            <w:shd w:val="clear" w:color="auto" w:fill="auto"/>
            <w:vAlign w:val="center"/>
          </w:tcPr>
          <w:p w:rsidR="00377FD3" w:rsidRPr="001640C4" w:rsidRDefault="00377FD3" w:rsidP="00377FD3">
            <w:pPr>
              <w:jc w:val="center"/>
              <w:rPr>
                <w:rFonts w:eastAsia="Times New Roman" w:cstheme="majorHAnsi"/>
                <w:sz w:val="20"/>
                <w:szCs w:val="20"/>
                <w:lang w:eastAsia="sq-AL"/>
              </w:rPr>
            </w:pPr>
            <w:r w:rsidRPr="001640C4">
              <w:rPr>
                <w:rFonts w:eastAsia="Times New Roman" w:cstheme="majorHAnsi"/>
                <w:sz w:val="20"/>
                <w:szCs w:val="20"/>
                <w:lang w:eastAsia="sq-AL"/>
              </w:rPr>
              <w:t xml:space="preserve">50 </w:t>
            </w:r>
          </w:p>
        </w:tc>
        <w:tc>
          <w:tcPr>
            <w:tcW w:w="1984" w:type="dxa"/>
            <w:gridSpan w:val="2"/>
            <w:shd w:val="clear" w:color="auto" w:fill="auto"/>
            <w:vAlign w:val="center"/>
          </w:tcPr>
          <w:p w:rsidR="00377FD3" w:rsidRPr="001640C4" w:rsidRDefault="00377FD3" w:rsidP="00377FD3">
            <w:pPr>
              <w:jc w:val="center"/>
              <w:rPr>
                <w:rFonts w:eastAsia="Times New Roman" w:cstheme="majorHAnsi"/>
                <w:sz w:val="20"/>
                <w:szCs w:val="20"/>
                <w:lang w:eastAsia="sq-AL"/>
              </w:rPr>
            </w:pPr>
            <w:r w:rsidRPr="001640C4">
              <w:rPr>
                <w:rFonts w:eastAsia="Times New Roman" w:cstheme="majorHAnsi"/>
                <w:sz w:val="20"/>
                <w:szCs w:val="20"/>
                <w:lang w:eastAsia="sq-AL"/>
              </w:rPr>
              <w:t xml:space="preserve">100 </w:t>
            </w:r>
          </w:p>
        </w:tc>
        <w:tc>
          <w:tcPr>
            <w:tcW w:w="1134" w:type="dxa"/>
            <w:shd w:val="clear" w:color="auto" w:fill="auto"/>
            <w:vAlign w:val="center"/>
          </w:tcPr>
          <w:p w:rsidR="00377FD3" w:rsidRPr="001640C4" w:rsidRDefault="00377FD3" w:rsidP="00377FD3">
            <w:pPr>
              <w:jc w:val="center"/>
              <w:rPr>
                <w:rFonts w:eastAsia="Times New Roman" w:cstheme="majorHAnsi"/>
                <w:sz w:val="20"/>
                <w:szCs w:val="20"/>
                <w:lang w:eastAsia="sq-AL"/>
              </w:rPr>
            </w:pPr>
            <w:r w:rsidRPr="001640C4">
              <w:rPr>
                <w:rFonts w:eastAsia="Times New Roman" w:cstheme="majorHAnsi"/>
                <w:sz w:val="20"/>
                <w:szCs w:val="20"/>
                <w:lang w:eastAsia="sq-AL"/>
              </w:rPr>
              <w:t>150</w:t>
            </w:r>
          </w:p>
        </w:tc>
        <w:tc>
          <w:tcPr>
            <w:tcW w:w="4536" w:type="dxa"/>
            <w:gridSpan w:val="4"/>
            <w:shd w:val="clear" w:color="auto" w:fill="auto"/>
            <w:vAlign w:val="center"/>
          </w:tcPr>
          <w:p w:rsidR="00377FD3" w:rsidRPr="001640C4" w:rsidRDefault="00377FD3" w:rsidP="00377FD3">
            <w:pPr>
              <w:jc w:val="left"/>
              <w:rPr>
                <w:rFonts w:eastAsia="Times New Roman" w:cstheme="majorHAnsi"/>
                <w:sz w:val="20"/>
                <w:szCs w:val="20"/>
                <w:lang w:eastAsia="sq-AL"/>
              </w:rPr>
            </w:pPr>
            <w:r w:rsidRPr="001640C4">
              <w:rPr>
                <w:rFonts w:eastAsia="Times New Roman" w:cstheme="majorHAnsi"/>
                <w:bCs/>
                <w:color w:val="000000" w:themeColor="text1"/>
                <w:sz w:val="24"/>
              </w:rPr>
              <w:t>Kapacitetet e zyrtarëve në institucione publike për zbatimin e standardeve minimale për konsultimet me publikun të zhvilluara dhe përmiresuara.</w:t>
            </w:r>
          </w:p>
        </w:tc>
      </w:tr>
      <w:tr w:rsidR="00377FD3" w:rsidRPr="001640C4" w:rsidTr="00B901E3">
        <w:tc>
          <w:tcPr>
            <w:tcW w:w="709" w:type="dxa"/>
            <w:shd w:val="clear" w:color="auto" w:fill="auto"/>
            <w:vAlign w:val="center"/>
          </w:tcPr>
          <w:p w:rsidR="00377FD3" w:rsidRPr="001640C4" w:rsidRDefault="00377FD3" w:rsidP="00377FD3">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2</w:t>
            </w:r>
          </w:p>
        </w:tc>
        <w:tc>
          <w:tcPr>
            <w:tcW w:w="3827" w:type="dxa"/>
            <w:shd w:val="clear" w:color="auto" w:fill="auto"/>
            <w:vAlign w:val="center"/>
          </w:tcPr>
          <w:p w:rsidR="00377FD3" w:rsidRPr="001640C4" w:rsidRDefault="00377FD3" w:rsidP="00377FD3">
            <w:pPr>
              <w:rPr>
                <w:rFonts w:eastAsia="Times New Roman" w:cstheme="majorHAnsi"/>
                <w:b/>
                <w:sz w:val="20"/>
                <w:szCs w:val="20"/>
                <w:lang w:eastAsia="sq-AL"/>
              </w:rPr>
            </w:pPr>
          </w:p>
          <w:p w:rsidR="00377FD3" w:rsidRPr="001640C4" w:rsidRDefault="00377FD3" w:rsidP="00B901E3">
            <w:pPr>
              <w:jc w:val="left"/>
              <w:rPr>
                <w:rFonts w:cstheme="majorHAnsi"/>
                <w:color w:val="000000" w:themeColor="text1"/>
              </w:rPr>
            </w:pPr>
            <w:r w:rsidRPr="001640C4">
              <w:rPr>
                <w:rFonts w:eastAsia="Times New Roman" w:cstheme="majorHAnsi"/>
                <w:b/>
                <w:sz w:val="20"/>
                <w:szCs w:val="20"/>
                <w:lang w:eastAsia="sq-AL"/>
              </w:rPr>
              <w:t>Treguesi:</w:t>
            </w:r>
            <w:r w:rsidRPr="001640C4">
              <w:rPr>
                <w:rFonts w:cstheme="majorHAnsi"/>
                <w:sz w:val="20"/>
                <w:szCs w:val="20"/>
              </w:rPr>
              <w:t xml:space="preserve"> </w:t>
            </w:r>
            <w:r w:rsidRPr="001640C4">
              <w:rPr>
                <w:rFonts w:cstheme="majorHAnsi"/>
                <w:color w:val="000000" w:themeColor="text1"/>
              </w:rPr>
              <w:t>Niveli i përputhshmërisë të hartimit të politikave dhe legjislacionit të jetë linjë të plotë me Standardet Minimale për konsultime publike deri në vitin 2021 (bazuar në raportimin e qeverisë për mbështetjen e drejtpërdrejtë të buxhetit të RAP)</w:t>
            </w:r>
          </w:p>
          <w:p w:rsidR="00377FD3" w:rsidRPr="001640C4" w:rsidRDefault="00377FD3" w:rsidP="00377FD3">
            <w:pPr>
              <w:rPr>
                <w:rFonts w:eastAsia="Times New Roman" w:cstheme="majorHAnsi"/>
                <w:b/>
                <w:sz w:val="20"/>
                <w:szCs w:val="20"/>
                <w:lang w:eastAsia="sq-AL"/>
              </w:rPr>
            </w:pPr>
          </w:p>
          <w:p w:rsidR="00377FD3" w:rsidRPr="001640C4" w:rsidRDefault="00377FD3" w:rsidP="00377FD3">
            <w:pPr>
              <w:rPr>
                <w:rFonts w:eastAsia="Times New Roman" w:cstheme="majorHAnsi"/>
                <w:b/>
                <w:sz w:val="20"/>
                <w:szCs w:val="20"/>
                <w:lang w:eastAsia="sq-AL"/>
              </w:rPr>
            </w:pPr>
          </w:p>
          <w:p w:rsidR="00377FD3" w:rsidRPr="001640C4" w:rsidRDefault="00377FD3" w:rsidP="00377FD3">
            <w:pPr>
              <w:rPr>
                <w:rFonts w:eastAsia="Times New Roman" w:cstheme="majorHAnsi"/>
                <w:b/>
                <w:sz w:val="20"/>
                <w:szCs w:val="20"/>
                <w:lang w:eastAsia="sq-AL"/>
              </w:rPr>
            </w:pPr>
          </w:p>
        </w:tc>
        <w:tc>
          <w:tcPr>
            <w:tcW w:w="2127" w:type="dxa"/>
            <w:gridSpan w:val="2"/>
            <w:shd w:val="clear" w:color="auto" w:fill="auto"/>
          </w:tcPr>
          <w:p w:rsidR="00377FD3" w:rsidRPr="001640C4" w:rsidRDefault="00377FD3" w:rsidP="00377FD3">
            <w:pPr>
              <w:jc w:val="center"/>
              <w:rPr>
                <w:rFonts w:cstheme="majorHAnsi"/>
                <w:color w:val="000000"/>
              </w:rPr>
            </w:pPr>
          </w:p>
          <w:p w:rsidR="00377FD3" w:rsidRPr="001640C4" w:rsidRDefault="00377FD3" w:rsidP="00377FD3">
            <w:pPr>
              <w:jc w:val="center"/>
              <w:rPr>
                <w:rFonts w:cstheme="majorHAnsi"/>
                <w:color w:val="000000"/>
              </w:rPr>
            </w:pPr>
          </w:p>
          <w:p w:rsidR="00377FD3" w:rsidRPr="001640C4" w:rsidRDefault="00377FD3" w:rsidP="00377FD3">
            <w:pPr>
              <w:jc w:val="center"/>
              <w:rPr>
                <w:rFonts w:cstheme="majorHAnsi"/>
                <w:color w:val="000000"/>
              </w:rPr>
            </w:pPr>
          </w:p>
          <w:p w:rsidR="00377FD3" w:rsidRPr="001640C4" w:rsidRDefault="00377FD3" w:rsidP="00377FD3">
            <w:pPr>
              <w:jc w:val="center"/>
              <w:rPr>
                <w:rFonts w:cstheme="majorHAnsi"/>
                <w:color w:val="000000"/>
              </w:rPr>
            </w:pPr>
            <w:r w:rsidRPr="001640C4">
              <w:rPr>
                <w:rFonts w:cstheme="majorHAnsi"/>
                <w:color w:val="000000"/>
              </w:rPr>
              <w:t>30%</w:t>
            </w:r>
          </w:p>
        </w:tc>
        <w:tc>
          <w:tcPr>
            <w:tcW w:w="1984" w:type="dxa"/>
            <w:gridSpan w:val="2"/>
            <w:shd w:val="clear" w:color="auto" w:fill="auto"/>
          </w:tcPr>
          <w:p w:rsidR="00377FD3" w:rsidRPr="001640C4" w:rsidRDefault="00377FD3" w:rsidP="00377FD3">
            <w:pPr>
              <w:jc w:val="center"/>
              <w:rPr>
                <w:rFonts w:cstheme="majorHAnsi"/>
                <w:color w:val="000000"/>
              </w:rPr>
            </w:pPr>
          </w:p>
          <w:p w:rsidR="00377FD3" w:rsidRPr="001640C4" w:rsidRDefault="00377FD3" w:rsidP="00377FD3">
            <w:pPr>
              <w:jc w:val="center"/>
              <w:rPr>
                <w:rFonts w:cstheme="majorHAnsi"/>
                <w:color w:val="000000"/>
              </w:rPr>
            </w:pPr>
          </w:p>
          <w:p w:rsidR="00377FD3" w:rsidRPr="001640C4" w:rsidRDefault="00377FD3" w:rsidP="00377FD3">
            <w:pPr>
              <w:jc w:val="center"/>
              <w:rPr>
                <w:rFonts w:cstheme="majorHAnsi"/>
                <w:color w:val="000000"/>
              </w:rPr>
            </w:pPr>
          </w:p>
          <w:p w:rsidR="00377FD3" w:rsidRPr="001640C4" w:rsidRDefault="00377FD3" w:rsidP="00377FD3">
            <w:pPr>
              <w:jc w:val="center"/>
              <w:rPr>
                <w:rFonts w:cstheme="majorHAnsi"/>
                <w:color w:val="000000"/>
              </w:rPr>
            </w:pPr>
            <w:r w:rsidRPr="001640C4">
              <w:rPr>
                <w:rFonts w:cstheme="majorHAnsi"/>
                <w:color w:val="000000"/>
              </w:rPr>
              <w:t>70%</w:t>
            </w:r>
          </w:p>
        </w:tc>
        <w:tc>
          <w:tcPr>
            <w:tcW w:w="1134" w:type="dxa"/>
            <w:shd w:val="clear" w:color="auto" w:fill="auto"/>
          </w:tcPr>
          <w:p w:rsidR="00377FD3" w:rsidRPr="001640C4" w:rsidRDefault="00377FD3" w:rsidP="00377FD3">
            <w:pPr>
              <w:jc w:val="center"/>
              <w:rPr>
                <w:rFonts w:cstheme="majorHAnsi"/>
                <w:color w:val="000000"/>
              </w:rPr>
            </w:pPr>
          </w:p>
          <w:p w:rsidR="00377FD3" w:rsidRPr="001640C4" w:rsidRDefault="00377FD3" w:rsidP="00377FD3">
            <w:pPr>
              <w:jc w:val="center"/>
              <w:rPr>
                <w:rFonts w:cstheme="majorHAnsi"/>
                <w:color w:val="000000"/>
              </w:rPr>
            </w:pPr>
          </w:p>
          <w:p w:rsidR="00377FD3" w:rsidRPr="001640C4" w:rsidRDefault="00377FD3" w:rsidP="00377FD3">
            <w:pPr>
              <w:jc w:val="center"/>
              <w:rPr>
                <w:rFonts w:cstheme="majorHAnsi"/>
                <w:color w:val="000000"/>
              </w:rPr>
            </w:pPr>
          </w:p>
          <w:p w:rsidR="00377FD3" w:rsidRPr="001640C4" w:rsidRDefault="00377FD3" w:rsidP="00377FD3">
            <w:pPr>
              <w:jc w:val="center"/>
              <w:rPr>
                <w:rFonts w:cstheme="majorHAnsi"/>
                <w:color w:val="000000"/>
              </w:rPr>
            </w:pPr>
            <w:r w:rsidRPr="001640C4">
              <w:rPr>
                <w:rFonts w:cstheme="majorHAnsi"/>
                <w:color w:val="000000"/>
              </w:rPr>
              <w:t>100%</w:t>
            </w:r>
          </w:p>
        </w:tc>
        <w:tc>
          <w:tcPr>
            <w:tcW w:w="4536" w:type="dxa"/>
            <w:gridSpan w:val="4"/>
            <w:shd w:val="clear" w:color="auto" w:fill="auto"/>
            <w:vAlign w:val="center"/>
          </w:tcPr>
          <w:p w:rsidR="00377FD3" w:rsidRPr="001640C4" w:rsidRDefault="00377FD3" w:rsidP="00377FD3">
            <w:pPr>
              <w:jc w:val="left"/>
              <w:rPr>
                <w:rFonts w:eastAsia="Times New Roman" w:cstheme="majorHAnsi"/>
                <w:sz w:val="20"/>
                <w:szCs w:val="20"/>
                <w:lang w:eastAsia="sq-AL"/>
              </w:rPr>
            </w:pPr>
            <w:r w:rsidRPr="001640C4">
              <w:rPr>
                <w:rFonts w:eastAsia="Times New Roman" w:cstheme="majorHAnsi"/>
                <w:bCs/>
                <w:color w:val="000000" w:themeColor="text1"/>
                <w:sz w:val="24"/>
              </w:rPr>
              <w:t>Zbatimi efikas i standardeve minimale për konsultime me publikun në masën 100%.</w:t>
            </w:r>
          </w:p>
        </w:tc>
      </w:tr>
      <w:tr w:rsidR="00377FD3" w:rsidRPr="001640C4" w:rsidTr="00B901E3">
        <w:tc>
          <w:tcPr>
            <w:tcW w:w="709" w:type="dxa"/>
            <w:vMerge w:val="restart"/>
            <w:shd w:val="clear" w:color="auto" w:fill="D9D9D9"/>
            <w:vAlign w:val="center"/>
          </w:tcPr>
          <w:p w:rsidR="00377FD3" w:rsidRPr="001640C4" w:rsidRDefault="00377FD3" w:rsidP="00377FD3">
            <w:pPr>
              <w:jc w:val="center"/>
              <w:rPr>
                <w:rFonts w:eastAsia="Times New Roman" w:cstheme="majorHAnsi"/>
                <w:b/>
                <w:sz w:val="20"/>
                <w:szCs w:val="20"/>
                <w:lang w:eastAsia="sq-AL"/>
              </w:rPr>
            </w:pPr>
            <w:r w:rsidRPr="001640C4">
              <w:rPr>
                <w:rFonts w:eastAsia="Times New Roman" w:cstheme="majorHAnsi"/>
                <w:b/>
                <w:sz w:val="20"/>
                <w:szCs w:val="20"/>
                <w:lang w:eastAsia="sq-AL"/>
              </w:rPr>
              <w:t>Nr.</w:t>
            </w:r>
          </w:p>
        </w:tc>
        <w:tc>
          <w:tcPr>
            <w:tcW w:w="3827" w:type="dxa"/>
            <w:vMerge w:val="restart"/>
            <w:shd w:val="clear" w:color="auto" w:fill="D9D9D9"/>
            <w:vAlign w:val="center"/>
          </w:tcPr>
          <w:p w:rsidR="00377FD3" w:rsidRPr="001640C4" w:rsidRDefault="00377FD3" w:rsidP="00377FD3">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Veprimi </w:t>
            </w:r>
          </w:p>
        </w:tc>
        <w:tc>
          <w:tcPr>
            <w:tcW w:w="1161" w:type="dxa"/>
            <w:vMerge w:val="restart"/>
            <w:shd w:val="clear" w:color="auto" w:fill="D9D9D9"/>
            <w:vAlign w:val="center"/>
          </w:tcPr>
          <w:p w:rsidR="00377FD3" w:rsidRPr="001640C4" w:rsidRDefault="00377FD3" w:rsidP="00377FD3">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377FD3" w:rsidRPr="001640C4" w:rsidRDefault="00377FD3" w:rsidP="00377FD3">
            <w:pPr>
              <w:jc w:val="center"/>
              <w:rPr>
                <w:rFonts w:eastAsia="Times New Roman" w:cstheme="majorHAnsi"/>
                <w:sz w:val="20"/>
                <w:szCs w:val="20"/>
                <w:lang w:eastAsia="sq-AL"/>
              </w:rPr>
            </w:pPr>
            <w:r w:rsidRPr="001640C4">
              <w:rPr>
                <w:rFonts w:eastAsia="Times New Roman" w:cstheme="majorHAnsi"/>
                <w:b/>
                <w:sz w:val="20"/>
                <w:szCs w:val="20"/>
                <w:lang w:eastAsia="sq-AL"/>
              </w:rPr>
              <w:t>Buxheti</w:t>
            </w:r>
          </w:p>
        </w:tc>
        <w:tc>
          <w:tcPr>
            <w:tcW w:w="1134" w:type="dxa"/>
            <w:vMerge w:val="restart"/>
            <w:shd w:val="clear" w:color="auto" w:fill="D9D9D9"/>
            <w:vAlign w:val="center"/>
          </w:tcPr>
          <w:p w:rsidR="00377FD3" w:rsidRPr="001640C4" w:rsidRDefault="00377FD3" w:rsidP="00377FD3">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vMerge w:val="restart"/>
            <w:shd w:val="clear" w:color="auto" w:fill="D9D9D9"/>
            <w:vAlign w:val="center"/>
          </w:tcPr>
          <w:p w:rsidR="00377FD3" w:rsidRPr="001640C4" w:rsidRDefault="00377FD3" w:rsidP="00377FD3">
            <w:pPr>
              <w:jc w:val="center"/>
              <w:rPr>
                <w:rFonts w:eastAsia="Times New Roman" w:cstheme="majorHAnsi"/>
                <w:sz w:val="20"/>
                <w:szCs w:val="20"/>
                <w:lang w:eastAsia="sq-AL"/>
              </w:rPr>
            </w:pPr>
            <w:r w:rsidRPr="001640C4">
              <w:rPr>
                <w:rFonts w:eastAsia="Times New Roman" w:cstheme="majorHAnsi"/>
                <w:b/>
                <w:sz w:val="20"/>
                <w:szCs w:val="20"/>
                <w:lang w:eastAsia="sq-AL"/>
              </w:rPr>
              <w:t>Institucioni udhëheqës dhe mbështetës</w:t>
            </w:r>
          </w:p>
        </w:tc>
        <w:tc>
          <w:tcPr>
            <w:tcW w:w="1930" w:type="dxa"/>
            <w:vMerge w:val="restart"/>
            <w:shd w:val="clear" w:color="auto" w:fill="D9D9D9"/>
            <w:vAlign w:val="center"/>
          </w:tcPr>
          <w:p w:rsidR="00377FD3" w:rsidRPr="001640C4" w:rsidRDefault="00377FD3" w:rsidP="00377FD3">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vMerge w:val="restart"/>
            <w:shd w:val="clear" w:color="auto" w:fill="D9D9D9"/>
            <w:vAlign w:val="center"/>
          </w:tcPr>
          <w:p w:rsidR="00377FD3" w:rsidRPr="001640C4" w:rsidRDefault="00377FD3" w:rsidP="00377FD3">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377FD3" w:rsidRPr="001640C4" w:rsidTr="00B901E3">
        <w:tc>
          <w:tcPr>
            <w:tcW w:w="709" w:type="dxa"/>
            <w:vMerge/>
            <w:shd w:val="clear" w:color="auto" w:fill="auto"/>
            <w:vAlign w:val="center"/>
          </w:tcPr>
          <w:p w:rsidR="00377FD3" w:rsidRPr="001640C4" w:rsidRDefault="00377FD3" w:rsidP="00377FD3">
            <w:pPr>
              <w:jc w:val="center"/>
              <w:rPr>
                <w:rFonts w:eastAsia="Times New Roman" w:cstheme="majorHAnsi"/>
                <w:sz w:val="20"/>
                <w:szCs w:val="20"/>
                <w:lang w:eastAsia="sq-AL"/>
              </w:rPr>
            </w:pPr>
          </w:p>
        </w:tc>
        <w:tc>
          <w:tcPr>
            <w:tcW w:w="3827" w:type="dxa"/>
            <w:vMerge/>
            <w:shd w:val="clear" w:color="auto" w:fill="auto"/>
            <w:vAlign w:val="center"/>
          </w:tcPr>
          <w:p w:rsidR="00377FD3" w:rsidRPr="001640C4" w:rsidRDefault="00377FD3" w:rsidP="00377FD3">
            <w:pPr>
              <w:jc w:val="center"/>
              <w:rPr>
                <w:rFonts w:eastAsia="Times New Roman" w:cstheme="majorHAnsi"/>
                <w:sz w:val="20"/>
                <w:szCs w:val="20"/>
                <w:lang w:eastAsia="sq-AL"/>
              </w:rPr>
            </w:pPr>
          </w:p>
        </w:tc>
        <w:tc>
          <w:tcPr>
            <w:tcW w:w="1161" w:type="dxa"/>
            <w:vMerge/>
            <w:shd w:val="clear" w:color="auto" w:fill="auto"/>
            <w:vAlign w:val="center"/>
          </w:tcPr>
          <w:p w:rsidR="00377FD3" w:rsidRPr="001640C4" w:rsidRDefault="00377FD3" w:rsidP="00377FD3">
            <w:pPr>
              <w:rPr>
                <w:rFonts w:eastAsia="Times New Roman" w:cstheme="majorHAnsi"/>
                <w:sz w:val="20"/>
                <w:szCs w:val="20"/>
                <w:lang w:eastAsia="sq-AL"/>
              </w:rPr>
            </w:pPr>
          </w:p>
        </w:tc>
        <w:tc>
          <w:tcPr>
            <w:tcW w:w="966" w:type="dxa"/>
            <w:shd w:val="clear" w:color="auto" w:fill="D9D9D9"/>
            <w:vAlign w:val="center"/>
          </w:tcPr>
          <w:p w:rsidR="00377FD3" w:rsidRPr="001640C4" w:rsidRDefault="00377FD3" w:rsidP="00377FD3">
            <w:pPr>
              <w:jc w:val="center"/>
              <w:rPr>
                <w:rFonts w:eastAsia="Times New Roman" w:cstheme="majorHAnsi"/>
                <w:b/>
                <w:sz w:val="20"/>
                <w:szCs w:val="20"/>
                <w:lang w:eastAsia="sq-AL"/>
              </w:rPr>
            </w:pPr>
            <w:r w:rsidRPr="001640C4">
              <w:rPr>
                <w:rFonts w:eastAsia="Times New Roman" w:cstheme="majorHAnsi"/>
                <w:b/>
                <w:sz w:val="20"/>
                <w:szCs w:val="20"/>
                <w:lang w:eastAsia="sq-AL"/>
              </w:rPr>
              <w:t>2019</w:t>
            </w:r>
          </w:p>
        </w:tc>
        <w:tc>
          <w:tcPr>
            <w:tcW w:w="850" w:type="dxa"/>
            <w:shd w:val="clear" w:color="auto" w:fill="D9D9D9"/>
            <w:vAlign w:val="center"/>
          </w:tcPr>
          <w:p w:rsidR="00377FD3" w:rsidRPr="001640C4" w:rsidRDefault="00377FD3" w:rsidP="00377FD3">
            <w:pPr>
              <w:jc w:val="center"/>
              <w:rPr>
                <w:rFonts w:eastAsia="Times New Roman" w:cstheme="majorHAnsi"/>
                <w:b/>
                <w:sz w:val="20"/>
                <w:szCs w:val="20"/>
                <w:lang w:eastAsia="sq-AL"/>
              </w:rPr>
            </w:pPr>
            <w:r w:rsidRPr="001640C4">
              <w:rPr>
                <w:rFonts w:eastAsia="Times New Roman" w:cstheme="majorHAnsi"/>
                <w:b/>
                <w:sz w:val="20"/>
                <w:szCs w:val="20"/>
                <w:lang w:eastAsia="sq-AL"/>
              </w:rPr>
              <w:t>2020</w:t>
            </w:r>
          </w:p>
        </w:tc>
        <w:tc>
          <w:tcPr>
            <w:tcW w:w="1134" w:type="dxa"/>
            <w:shd w:val="clear" w:color="auto" w:fill="D9D9D9"/>
            <w:vAlign w:val="center"/>
          </w:tcPr>
          <w:p w:rsidR="00377FD3" w:rsidRPr="001640C4" w:rsidRDefault="00377FD3" w:rsidP="00377FD3">
            <w:pPr>
              <w:jc w:val="center"/>
              <w:rPr>
                <w:rFonts w:eastAsia="Times New Roman" w:cstheme="majorHAnsi"/>
                <w:b/>
                <w:sz w:val="20"/>
                <w:szCs w:val="20"/>
                <w:lang w:eastAsia="sq-AL"/>
              </w:rPr>
            </w:pPr>
            <w:r w:rsidRPr="001640C4">
              <w:rPr>
                <w:rFonts w:eastAsia="Times New Roman" w:cstheme="majorHAnsi"/>
                <w:b/>
                <w:sz w:val="20"/>
                <w:szCs w:val="20"/>
                <w:lang w:eastAsia="sq-AL"/>
              </w:rPr>
              <w:t>2021</w:t>
            </w:r>
          </w:p>
        </w:tc>
        <w:tc>
          <w:tcPr>
            <w:tcW w:w="1134" w:type="dxa"/>
            <w:vMerge/>
            <w:shd w:val="clear" w:color="auto" w:fill="auto"/>
            <w:vAlign w:val="center"/>
          </w:tcPr>
          <w:p w:rsidR="00377FD3" w:rsidRPr="001640C4" w:rsidRDefault="00377FD3" w:rsidP="00377FD3">
            <w:pPr>
              <w:rPr>
                <w:rFonts w:eastAsia="Times New Roman" w:cstheme="majorHAnsi"/>
                <w:sz w:val="20"/>
                <w:szCs w:val="20"/>
                <w:lang w:eastAsia="sq-AL"/>
              </w:rPr>
            </w:pPr>
          </w:p>
        </w:tc>
        <w:tc>
          <w:tcPr>
            <w:tcW w:w="1276" w:type="dxa"/>
            <w:gridSpan w:val="2"/>
            <w:vMerge/>
            <w:shd w:val="clear" w:color="auto" w:fill="auto"/>
            <w:vAlign w:val="center"/>
          </w:tcPr>
          <w:p w:rsidR="00377FD3" w:rsidRPr="001640C4" w:rsidRDefault="00377FD3" w:rsidP="00377FD3">
            <w:pPr>
              <w:rPr>
                <w:rFonts w:eastAsia="Times New Roman" w:cstheme="majorHAnsi"/>
                <w:sz w:val="20"/>
                <w:szCs w:val="20"/>
                <w:lang w:eastAsia="sq-AL"/>
              </w:rPr>
            </w:pPr>
          </w:p>
        </w:tc>
        <w:tc>
          <w:tcPr>
            <w:tcW w:w="1930" w:type="dxa"/>
            <w:vMerge/>
            <w:shd w:val="clear" w:color="auto" w:fill="auto"/>
            <w:vAlign w:val="center"/>
          </w:tcPr>
          <w:p w:rsidR="00377FD3" w:rsidRPr="001640C4" w:rsidRDefault="00377FD3" w:rsidP="00377FD3">
            <w:pPr>
              <w:rPr>
                <w:rFonts w:eastAsia="Times New Roman" w:cstheme="majorHAnsi"/>
                <w:sz w:val="20"/>
                <w:szCs w:val="20"/>
                <w:lang w:eastAsia="sq-AL"/>
              </w:rPr>
            </w:pPr>
          </w:p>
        </w:tc>
        <w:tc>
          <w:tcPr>
            <w:tcW w:w="1330" w:type="dxa"/>
            <w:vMerge/>
            <w:shd w:val="clear" w:color="auto" w:fill="auto"/>
            <w:vAlign w:val="center"/>
          </w:tcPr>
          <w:p w:rsidR="00377FD3" w:rsidRPr="001640C4" w:rsidRDefault="00377FD3" w:rsidP="00377FD3">
            <w:pPr>
              <w:rPr>
                <w:rFonts w:eastAsia="Times New Roman" w:cstheme="majorHAnsi"/>
                <w:sz w:val="20"/>
                <w:szCs w:val="20"/>
                <w:lang w:eastAsia="sq-AL"/>
              </w:rPr>
            </w:pPr>
          </w:p>
        </w:tc>
      </w:tr>
      <w:tr w:rsidR="00377FD3" w:rsidRPr="001640C4" w:rsidTr="00B901E3">
        <w:tc>
          <w:tcPr>
            <w:tcW w:w="709" w:type="dxa"/>
            <w:shd w:val="clear" w:color="auto" w:fill="auto"/>
            <w:vAlign w:val="center"/>
          </w:tcPr>
          <w:p w:rsidR="00377FD3" w:rsidRPr="001640C4" w:rsidRDefault="00377FD3" w:rsidP="00377FD3">
            <w:pPr>
              <w:jc w:val="center"/>
              <w:rPr>
                <w:rFonts w:eastAsia="Times New Roman" w:cstheme="majorHAnsi"/>
                <w:sz w:val="20"/>
                <w:szCs w:val="20"/>
                <w:lang w:eastAsia="sq-AL"/>
              </w:rPr>
            </w:pPr>
            <w:r w:rsidRPr="001640C4">
              <w:rPr>
                <w:rFonts w:eastAsia="Times New Roman" w:cstheme="majorHAnsi"/>
                <w:sz w:val="20"/>
                <w:szCs w:val="20"/>
                <w:lang w:eastAsia="sq-AL"/>
              </w:rPr>
              <w:t>1.1.1</w:t>
            </w:r>
          </w:p>
        </w:tc>
        <w:tc>
          <w:tcPr>
            <w:tcW w:w="3827"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Ofrimi i njohurive mbi Rregulloren për standardet minimale për konsultime me publikun</w:t>
            </w:r>
          </w:p>
        </w:tc>
        <w:tc>
          <w:tcPr>
            <w:tcW w:w="1161"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1000</w:t>
            </w:r>
          </w:p>
        </w:tc>
        <w:tc>
          <w:tcPr>
            <w:tcW w:w="85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Buxheti i Kosovës, BE, SIDA</w:t>
            </w:r>
          </w:p>
        </w:tc>
        <w:tc>
          <w:tcPr>
            <w:tcW w:w="1276" w:type="dxa"/>
            <w:gridSpan w:val="2"/>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ZQM/ZKM</w:t>
            </w:r>
          </w:p>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MAPL/</w:t>
            </w:r>
          </w:p>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IKAP</w:t>
            </w:r>
          </w:p>
        </w:tc>
        <w:tc>
          <w:tcPr>
            <w:tcW w:w="1930" w:type="dxa"/>
            <w:shd w:val="clear" w:color="auto" w:fill="auto"/>
            <w:vAlign w:val="center"/>
          </w:tcPr>
          <w:p w:rsidR="00377FD3" w:rsidRPr="001640C4" w:rsidRDefault="00377FD3" w:rsidP="00377FD3">
            <w:pPr>
              <w:jc w:val="left"/>
              <w:rPr>
                <w:rFonts w:eastAsia="Times New Roman" w:cstheme="majorHAnsi"/>
                <w:sz w:val="20"/>
                <w:szCs w:val="20"/>
                <w:lang w:eastAsia="sq-AL"/>
              </w:rPr>
            </w:pPr>
            <w:r w:rsidRPr="001640C4">
              <w:rPr>
                <w:rFonts w:eastAsia="Times New Roman" w:cstheme="majorHAnsi"/>
                <w:sz w:val="20"/>
                <w:szCs w:val="20"/>
                <w:lang w:eastAsia="sq-AL"/>
              </w:rPr>
              <w:t>Tri sesione infromuese për ministritë dhe komunat e përzgjedhura të realizuara</w:t>
            </w:r>
          </w:p>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Raporti për trajnimet i publikuar</w:t>
            </w:r>
          </w:p>
        </w:tc>
        <w:tc>
          <w:tcPr>
            <w:tcW w:w="133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Rregullorja 05/2016 për standardet minimale për konsultime publike.</w:t>
            </w:r>
          </w:p>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Rrregullorja e punës së qeverisë Nr.09/2011.</w:t>
            </w:r>
          </w:p>
        </w:tc>
      </w:tr>
      <w:tr w:rsidR="00377FD3" w:rsidRPr="001640C4" w:rsidTr="00B901E3">
        <w:tc>
          <w:tcPr>
            <w:tcW w:w="709" w:type="dxa"/>
            <w:shd w:val="clear" w:color="auto" w:fill="auto"/>
            <w:vAlign w:val="center"/>
          </w:tcPr>
          <w:p w:rsidR="00377FD3" w:rsidRPr="001640C4" w:rsidRDefault="00377FD3" w:rsidP="00377FD3">
            <w:pPr>
              <w:jc w:val="center"/>
              <w:rPr>
                <w:rFonts w:eastAsia="Times New Roman" w:cstheme="majorHAnsi"/>
                <w:sz w:val="20"/>
                <w:szCs w:val="20"/>
                <w:lang w:eastAsia="sq-AL"/>
              </w:rPr>
            </w:pPr>
            <w:r w:rsidRPr="001640C4">
              <w:rPr>
                <w:rFonts w:eastAsia="Times New Roman" w:cstheme="majorHAnsi"/>
                <w:sz w:val="20"/>
                <w:szCs w:val="20"/>
                <w:lang w:eastAsia="sq-AL"/>
              </w:rPr>
              <w:t>1.1.2</w:t>
            </w:r>
          </w:p>
        </w:tc>
        <w:tc>
          <w:tcPr>
            <w:tcW w:w="3827"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 xml:space="preserve">Vendosja e rregullave dhe standardeve për konsultimet me publikun në nivel lokal </w:t>
            </w:r>
          </w:p>
        </w:tc>
        <w:tc>
          <w:tcPr>
            <w:tcW w:w="1161"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2019</w:t>
            </w:r>
          </w:p>
        </w:tc>
        <w:tc>
          <w:tcPr>
            <w:tcW w:w="966" w:type="dxa"/>
            <w:shd w:val="clear" w:color="auto" w:fill="auto"/>
            <w:vAlign w:val="center"/>
          </w:tcPr>
          <w:p w:rsidR="00377FD3" w:rsidRPr="001640C4" w:rsidRDefault="00377FD3" w:rsidP="00377FD3">
            <w:pPr>
              <w:rPr>
                <w:rFonts w:eastAsia="Times New Roman" w:cstheme="majorHAnsi"/>
                <w:sz w:val="20"/>
                <w:szCs w:val="20"/>
                <w:lang w:eastAsia="sq-AL"/>
              </w:rPr>
            </w:pPr>
          </w:p>
          <w:p w:rsidR="00377FD3" w:rsidRPr="001640C4" w:rsidRDefault="00377FD3" w:rsidP="00377FD3">
            <w:pPr>
              <w:rPr>
                <w:rFonts w:eastAsia="Times New Roman" w:cstheme="majorHAnsi"/>
                <w:sz w:val="20"/>
                <w:szCs w:val="20"/>
                <w:lang w:eastAsia="sq-AL"/>
              </w:rPr>
            </w:pPr>
          </w:p>
          <w:p w:rsidR="00377FD3" w:rsidRPr="001640C4" w:rsidRDefault="00377FD3" w:rsidP="00377FD3">
            <w:pPr>
              <w:rPr>
                <w:rFonts w:eastAsia="Times New Roman" w:cstheme="majorHAnsi"/>
                <w:sz w:val="20"/>
                <w:szCs w:val="20"/>
                <w:lang w:eastAsia="sq-AL"/>
              </w:rPr>
            </w:pPr>
          </w:p>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2000</w:t>
            </w:r>
          </w:p>
          <w:p w:rsidR="00377FD3" w:rsidRPr="001640C4" w:rsidRDefault="00377FD3" w:rsidP="00377FD3">
            <w:pPr>
              <w:rPr>
                <w:rFonts w:eastAsia="Times New Roman" w:cstheme="majorHAnsi"/>
                <w:sz w:val="20"/>
                <w:szCs w:val="20"/>
                <w:lang w:eastAsia="sq-AL"/>
              </w:rPr>
            </w:pPr>
          </w:p>
          <w:p w:rsidR="00377FD3" w:rsidRPr="001640C4" w:rsidRDefault="00377FD3" w:rsidP="00377FD3">
            <w:pPr>
              <w:rPr>
                <w:rFonts w:eastAsia="Times New Roman" w:cstheme="majorHAnsi"/>
                <w:sz w:val="20"/>
                <w:szCs w:val="20"/>
                <w:lang w:eastAsia="sq-AL"/>
              </w:rPr>
            </w:pPr>
          </w:p>
          <w:p w:rsidR="00377FD3" w:rsidRPr="001640C4" w:rsidRDefault="00377FD3" w:rsidP="00377FD3">
            <w:pPr>
              <w:rPr>
                <w:rFonts w:eastAsia="Times New Roman" w:cstheme="majorHAnsi"/>
                <w:sz w:val="20"/>
                <w:szCs w:val="20"/>
                <w:lang w:eastAsia="sq-AL"/>
              </w:rPr>
            </w:pPr>
          </w:p>
        </w:tc>
        <w:tc>
          <w:tcPr>
            <w:tcW w:w="85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5000</w:t>
            </w:r>
          </w:p>
        </w:tc>
        <w:tc>
          <w:tcPr>
            <w:tcW w:w="1134"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6000</w:t>
            </w:r>
          </w:p>
        </w:tc>
        <w:tc>
          <w:tcPr>
            <w:tcW w:w="1134"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Buxheti i Kosovës, BE</w:t>
            </w:r>
          </w:p>
        </w:tc>
        <w:tc>
          <w:tcPr>
            <w:tcW w:w="1276" w:type="dxa"/>
            <w:gridSpan w:val="2"/>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MAPL ZQM/ZKM</w:t>
            </w:r>
          </w:p>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IKAP</w:t>
            </w:r>
          </w:p>
        </w:tc>
        <w:tc>
          <w:tcPr>
            <w:tcW w:w="1930" w:type="dxa"/>
            <w:shd w:val="clear" w:color="auto" w:fill="auto"/>
            <w:vAlign w:val="center"/>
          </w:tcPr>
          <w:p w:rsidR="00377FD3" w:rsidRPr="001640C4" w:rsidRDefault="00377FD3" w:rsidP="00377FD3">
            <w:pPr>
              <w:jc w:val="left"/>
              <w:rPr>
                <w:rFonts w:eastAsia="Times New Roman" w:cstheme="majorHAnsi"/>
                <w:sz w:val="20"/>
                <w:szCs w:val="20"/>
                <w:lang w:eastAsia="sq-AL"/>
              </w:rPr>
            </w:pPr>
            <w:r w:rsidRPr="001640C4">
              <w:rPr>
                <w:rFonts w:eastAsia="Times New Roman" w:cstheme="majorHAnsi"/>
                <w:sz w:val="20"/>
                <w:szCs w:val="20"/>
                <w:lang w:eastAsia="sq-AL"/>
              </w:rPr>
              <w:t>Standardet dhe rregullat për konsiltime me publikun te miratuara dhe në funksion</w:t>
            </w:r>
          </w:p>
        </w:tc>
        <w:tc>
          <w:tcPr>
            <w:tcW w:w="1330" w:type="dxa"/>
            <w:shd w:val="clear" w:color="auto" w:fill="auto"/>
            <w:vAlign w:val="center"/>
          </w:tcPr>
          <w:p w:rsidR="00377FD3" w:rsidRPr="001640C4" w:rsidRDefault="00377FD3" w:rsidP="00377FD3">
            <w:pPr>
              <w:jc w:val="left"/>
              <w:rPr>
                <w:rFonts w:eastAsia="Times New Roman" w:cstheme="majorHAnsi"/>
                <w:sz w:val="20"/>
                <w:szCs w:val="20"/>
                <w:lang w:eastAsia="sq-AL"/>
              </w:rPr>
            </w:pPr>
            <w:r w:rsidRPr="001640C4">
              <w:rPr>
                <w:rFonts w:eastAsia="Times New Roman" w:cstheme="majorHAnsi"/>
                <w:sz w:val="20"/>
                <w:szCs w:val="20"/>
                <w:lang w:eastAsia="sq-AL"/>
              </w:rPr>
              <w:t>Udhëzim Administrativ (</w:t>
            </w:r>
            <w:r w:rsidR="00B901E3" w:rsidRPr="001640C4">
              <w:rPr>
                <w:rFonts w:eastAsia="Times New Roman" w:cstheme="majorHAnsi"/>
                <w:sz w:val="20"/>
                <w:szCs w:val="20"/>
                <w:lang w:eastAsia="sq-AL"/>
              </w:rPr>
              <w:t>MAPL</w:t>
            </w:r>
            <w:r w:rsidRPr="001640C4">
              <w:rPr>
                <w:rFonts w:eastAsia="Times New Roman" w:cstheme="majorHAnsi"/>
                <w:sz w:val="20"/>
                <w:szCs w:val="20"/>
                <w:lang w:eastAsia="sq-AL"/>
              </w:rPr>
              <w:t>) nr. 04/2018 për standardet minimale të konsultimit publik në komuna</w:t>
            </w:r>
          </w:p>
        </w:tc>
      </w:tr>
      <w:tr w:rsidR="00377FD3" w:rsidRPr="001640C4" w:rsidTr="00B901E3">
        <w:tc>
          <w:tcPr>
            <w:tcW w:w="709" w:type="dxa"/>
            <w:shd w:val="clear" w:color="auto" w:fill="auto"/>
            <w:vAlign w:val="center"/>
          </w:tcPr>
          <w:p w:rsidR="00377FD3" w:rsidRPr="001640C4" w:rsidRDefault="00377FD3" w:rsidP="00377FD3">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1.1.3</w:t>
            </w:r>
          </w:p>
        </w:tc>
        <w:tc>
          <w:tcPr>
            <w:tcW w:w="3827"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Ofrimi i një Programi trajnues për institucionet qeveritare qendrore dhe lokale për metodat e përfshirjes së OShC-ve në hartimin e politikave</w:t>
            </w:r>
          </w:p>
        </w:tc>
        <w:tc>
          <w:tcPr>
            <w:tcW w:w="1161"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2019/</w:t>
            </w:r>
          </w:p>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6000</w:t>
            </w:r>
          </w:p>
        </w:tc>
        <w:tc>
          <w:tcPr>
            <w:tcW w:w="85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4000</w:t>
            </w:r>
          </w:p>
        </w:tc>
        <w:tc>
          <w:tcPr>
            <w:tcW w:w="1134"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Buxheti i Kosovës, BE, SIDA</w:t>
            </w:r>
          </w:p>
        </w:tc>
        <w:tc>
          <w:tcPr>
            <w:tcW w:w="1276" w:type="dxa"/>
            <w:gridSpan w:val="2"/>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ZQM/ZKM</w:t>
            </w:r>
          </w:p>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MAPL/</w:t>
            </w:r>
          </w:p>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IKAP</w:t>
            </w:r>
          </w:p>
        </w:tc>
        <w:tc>
          <w:tcPr>
            <w:tcW w:w="1930" w:type="dxa"/>
            <w:shd w:val="clear" w:color="auto" w:fill="auto"/>
            <w:vAlign w:val="center"/>
          </w:tcPr>
          <w:p w:rsidR="00377FD3" w:rsidRPr="001640C4" w:rsidRDefault="00377FD3" w:rsidP="00377FD3">
            <w:pPr>
              <w:jc w:val="left"/>
              <w:rPr>
                <w:rFonts w:eastAsia="Times New Roman" w:cstheme="majorHAnsi"/>
                <w:sz w:val="20"/>
                <w:szCs w:val="20"/>
                <w:lang w:eastAsia="sq-AL"/>
              </w:rPr>
            </w:pPr>
            <w:r w:rsidRPr="001640C4">
              <w:rPr>
                <w:rFonts w:eastAsia="Times New Roman" w:cstheme="majorHAnsi"/>
                <w:sz w:val="20"/>
                <w:szCs w:val="20"/>
                <w:lang w:eastAsia="sq-AL"/>
              </w:rPr>
              <w:t xml:space="preserve">Programi trajnues për institucionet qeveritare për metodat e përfshirjes së OShC-ve në hartimin e politikave i finalizuar dhe i shpërndarë </w:t>
            </w:r>
          </w:p>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 xml:space="preserve">Realizimi i 9 sesioneve trajnuese për ministri dhe </w:t>
            </w:r>
            <w:r w:rsidRPr="001640C4">
              <w:rPr>
                <w:rFonts w:eastAsia="Times New Roman" w:cstheme="majorHAnsi"/>
                <w:sz w:val="20"/>
                <w:szCs w:val="20"/>
                <w:lang w:eastAsia="sq-AL"/>
              </w:rPr>
              <w:lastRenderedPageBreak/>
              <w:t>komuna të përzgjedhura.</w:t>
            </w:r>
          </w:p>
        </w:tc>
        <w:tc>
          <w:tcPr>
            <w:tcW w:w="133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lastRenderedPageBreak/>
              <w:t>Rregullorja 05/2016 për standardet minimale për konsultime publike.</w:t>
            </w:r>
          </w:p>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Rrregullorja e punës së qeverisë Nr.09/2011.</w:t>
            </w:r>
          </w:p>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lastRenderedPageBreak/>
              <w:t>Strategjia për rregullim me të mirë 2.0</w:t>
            </w:r>
          </w:p>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Udhëzim Administrativ (mapl) nr. 04/2018 për standardet minimale të konsultimit publik në komuna</w:t>
            </w:r>
          </w:p>
        </w:tc>
      </w:tr>
      <w:tr w:rsidR="00377FD3" w:rsidRPr="001640C4" w:rsidTr="00B901E3">
        <w:tc>
          <w:tcPr>
            <w:tcW w:w="709" w:type="dxa"/>
            <w:shd w:val="clear" w:color="auto" w:fill="auto"/>
            <w:vAlign w:val="center"/>
          </w:tcPr>
          <w:p w:rsidR="00377FD3" w:rsidRPr="001640C4" w:rsidRDefault="00377FD3" w:rsidP="00377FD3">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lastRenderedPageBreak/>
              <w:t>1.1.4</w:t>
            </w:r>
          </w:p>
        </w:tc>
        <w:tc>
          <w:tcPr>
            <w:tcW w:w="3827"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Avancimi dhe rritja e përdorimit të Platformës Online për konsultime me publikun</w:t>
            </w:r>
          </w:p>
        </w:tc>
        <w:tc>
          <w:tcPr>
            <w:tcW w:w="1161"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2019</w:t>
            </w:r>
          </w:p>
        </w:tc>
        <w:tc>
          <w:tcPr>
            <w:tcW w:w="966"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5000</w:t>
            </w:r>
          </w:p>
        </w:tc>
        <w:tc>
          <w:tcPr>
            <w:tcW w:w="85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1500</w:t>
            </w:r>
          </w:p>
        </w:tc>
        <w:tc>
          <w:tcPr>
            <w:tcW w:w="1134"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5000</w:t>
            </w:r>
          </w:p>
        </w:tc>
        <w:tc>
          <w:tcPr>
            <w:tcW w:w="1134" w:type="dxa"/>
            <w:shd w:val="clear" w:color="auto" w:fill="auto"/>
            <w:vAlign w:val="center"/>
          </w:tcPr>
          <w:p w:rsidR="00377FD3" w:rsidRPr="001640C4" w:rsidRDefault="00377FD3" w:rsidP="00377FD3">
            <w:pPr>
              <w:rPr>
                <w:rFonts w:cstheme="majorHAnsi"/>
                <w:sz w:val="20"/>
                <w:szCs w:val="20"/>
              </w:rPr>
            </w:pPr>
            <w:r w:rsidRPr="001640C4">
              <w:rPr>
                <w:rFonts w:eastAsia="Times New Roman" w:cstheme="majorHAnsi"/>
                <w:sz w:val="20"/>
                <w:szCs w:val="20"/>
                <w:lang w:eastAsia="sq-AL"/>
              </w:rPr>
              <w:t>Buxheti i Kosovës, BE</w:t>
            </w:r>
          </w:p>
        </w:tc>
        <w:tc>
          <w:tcPr>
            <w:tcW w:w="1276" w:type="dxa"/>
            <w:gridSpan w:val="2"/>
            <w:shd w:val="clear" w:color="auto" w:fill="auto"/>
            <w:vAlign w:val="center"/>
          </w:tcPr>
          <w:p w:rsidR="00377FD3" w:rsidRPr="001640C4" w:rsidRDefault="00377FD3" w:rsidP="00377FD3">
            <w:pPr>
              <w:rPr>
                <w:rFonts w:cstheme="majorHAnsi"/>
                <w:color w:val="000000" w:themeColor="text1"/>
              </w:rPr>
            </w:pPr>
            <w:r w:rsidRPr="001640C4">
              <w:rPr>
                <w:rFonts w:cstheme="majorHAnsi"/>
                <w:color w:val="000000" w:themeColor="text1"/>
              </w:rPr>
              <w:t>ZQM/ZKM</w:t>
            </w:r>
          </w:p>
          <w:p w:rsidR="00377FD3" w:rsidRPr="001640C4" w:rsidRDefault="00377FD3" w:rsidP="00377FD3">
            <w:pPr>
              <w:rPr>
                <w:rFonts w:cstheme="majorHAnsi"/>
                <w:sz w:val="20"/>
                <w:szCs w:val="20"/>
              </w:rPr>
            </w:pPr>
            <w:r w:rsidRPr="001640C4">
              <w:rPr>
                <w:rFonts w:cstheme="majorHAnsi"/>
                <w:sz w:val="20"/>
                <w:szCs w:val="20"/>
              </w:rPr>
              <w:t>IKAP</w:t>
            </w:r>
          </w:p>
          <w:p w:rsidR="00377FD3" w:rsidRPr="001640C4" w:rsidRDefault="00377FD3" w:rsidP="00377FD3">
            <w:pPr>
              <w:rPr>
                <w:rFonts w:cstheme="majorHAnsi"/>
                <w:sz w:val="20"/>
                <w:szCs w:val="20"/>
              </w:rPr>
            </w:pPr>
            <w:r w:rsidRPr="001640C4">
              <w:rPr>
                <w:rFonts w:cstheme="majorHAnsi"/>
                <w:sz w:val="20"/>
                <w:szCs w:val="20"/>
              </w:rPr>
              <w:t>MAPL</w:t>
            </w:r>
          </w:p>
        </w:tc>
        <w:tc>
          <w:tcPr>
            <w:tcW w:w="1930" w:type="dxa"/>
            <w:shd w:val="clear" w:color="auto" w:fill="auto"/>
            <w:vAlign w:val="center"/>
          </w:tcPr>
          <w:p w:rsidR="00377FD3" w:rsidRPr="001640C4" w:rsidRDefault="00377FD3" w:rsidP="00377FD3">
            <w:pPr>
              <w:jc w:val="left"/>
              <w:rPr>
                <w:rFonts w:eastAsia="Times New Roman" w:cstheme="majorHAnsi"/>
                <w:sz w:val="20"/>
                <w:szCs w:val="20"/>
                <w:lang w:eastAsia="sq-AL"/>
              </w:rPr>
            </w:pPr>
            <w:r w:rsidRPr="001640C4">
              <w:rPr>
                <w:rFonts w:eastAsia="Times New Roman" w:cstheme="majorHAnsi"/>
                <w:sz w:val="20"/>
                <w:szCs w:val="20"/>
                <w:lang w:eastAsia="sq-AL"/>
              </w:rPr>
              <w:t>Platforma online e përmirësuar. Udhezuesi i uebit i zhvilluar dhe përdorur nga insitucionet shtetërore</w:t>
            </w:r>
          </w:p>
          <w:p w:rsidR="00377FD3" w:rsidRPr="001640C4" w:rsidRDefault="00377FD3" w:rsidP="00377FD3">
            <w:pPr>
              <w:jc w:val="left"/>
              <w:rPr>
                <w:rFonts w:eastAsia="Times New Roman" w:cstheme="majorHAnsi"/>
                <w:sz w:val="20"/>
                <w:szCs w:val="20"/>
                <w:lang w:eastAsia="sq-AL"/>
              </w:rPr>
            </w:pPr>
          </w:p>
        </w:tc>
        <w:tc>
          <w:tcPr>
            <w:tcW w:w="133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Rregullorja 05/2016 për standardet minimale për konsultime publike.</w:t>
            </w:r>
          </w:p>
          <w:p w:rsidR="00377FD3" w:rsidRPr="001640C4" w:rsidRDefault="00377FD3" w:rsidP="00377FD3">
            <w:pPr>
              <w:rPr>
                <w:rFonts w:eastAsia="Times New Roman" w:cstheme="majorHAnsi"/>
                <w:sz w:val="20"/>
                <w:szCs w:val="20"/>
                <w:lang w:eastAsia="sq-AL"/>
              </w:rPr>
            </w:pPr>
          </w:p>
        </w:tc>
      </w:tr>
      <w:tr w:rsidR="00377FD3" w:rsidRPr="001640C4" w:rsidTr="00B901E3">
        <w:tc>
          <w:tcPr>
            <w:tcW w:w="709" w:type="dxa"/>
            <w:shd w:val="clear" w:color="auto" w:fill="auto"/>
            <w:vAlign w:val="center"/>
          </w:tcPr>
          <w:p w:rsidR="00377FD3" w:rsidRPr="001640C4" w:rsidRDefault="00377FD3" w:rsidP="00377FD3">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1.1.5</w:t>
            </w:r>
          </w:p>
        </w:tc>
        <w:tc>
          <w:tcPr>
            <w:tcW w:w="3827"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Ofrimi i trajnimeve në vendin e punës për ministritë e përzgjedhura në përgatitjen e raporteve mbi rezultatet e konsultimeve publike</w:t>
            </w:r>
          </w:p>
        </w:tc>
        <w:tc>
          <w:tcPr>
            <w:tcW w:w="1161"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2019</w:t>
            </w:r>
          </w:p>
        </w:tc>
        <w:tc>
          <w:tcPr>
            <w:tcW w:w="966"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2500</w:t>
            </w:r>
          </w:p>
        </w:tc>
        <w:tc>
          <w:tcPr>
            <w:tcW w:w="85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500</w:t>
            </w:r>
          </w:p>
        </w:tc>
        <w:tc>
          <w:tcPr>
            <w:tcW w:w="1134"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377FD3" w:rsidRPr="001640C4" w:rsidRDefault="00377FD3" w:rsidP="00377FD3">
            <w:pPr>
              <w:rPr>
                <w:rFonts w:cstheme="majorHAnsi"/>
                <w:sz w:val="20"/>
                <w:szCs w:val="20"/>
              </w:rPr>
            </w:pPr>
            <w:r w:rsidRPr="001640C4">
              <w:rPr>
                <w:rFonts w:eastAsia="Times New Roman" w:cstheme="majorHAnsi"/>
                <w:sz w:val="20"/>
                <w:szCs w:val="20"/>
                <w:lang w:eastAsia="sq-AL"/>
              </w:rPr>
              <w:t>Buxheti i Kosovës, BE</w:t>
            </w:r>
          </w:p>
        </w:tc>
        <w:tc>
          <w:tcPr>
            <w:tcW w:w="1276" w:type="dxa"/>
            <w:gridSpan w:val="2"/>
            <w:shd w:val="clear" w:color="auto" w:fill="auto"/>
            <w:vAlign w:val="center"/>
          </w:tcPr>
          <w:p w:rsidR="00377FD3" w:rsidRPr="001640C4" w:rsidRDefault="00377FD3" w:rsidP="00377FD3">
            <w:pPr>
              <w:rPr>
                <w:rFonts w:cstheme="majorHAnsi"/>
                <w:sz w:val="20"/>
                <w:szCs w:val="20"/>
              </w:rPr>
            </w:pPr>
            <w:r w:rsidRPr="001640C4">
              <w:rPr>
                <w:rFonts w:cstheme="majorHAnsi"/>
                <w:sz w:val="20"/>
                <w:szCs w:val="20"/>
              </w:rPr>
              <w:t>ZQM/ZKM</w:t>
            </w:r>
            <w:r w:rsidRPr="001640C4">
              <w:rPr>
                <w:rFonts w:cstheme="majorHAnsi"/>
                <w:sz w:val="20"/>
                <w:szCs w:val="20"/>
              </w:rPr>
              <w:tab/>
            </w:r>
          </w:p>
          <w:p w:rsidR="00377FD3" w:rsidRPr="001640C4" w:rsidRDefault="00B901E3" w:rsidP="00377FD3">
            <w:pPr>
              <w:rPr>
                <w:rFonts w:cstheme="majorHAnsi"/>
                <w:sz w:val="20"/>
                <w:szCs w:val="20"/>
              </w:rPr>
            </w:pPr>
            <w:r w:rsidRPr="001640C4">
              <w:rPr>
                <w:rFonts w:cstheme="majorHAnsi"/>
                <w:sz w:val="20"/>
                <w:szCs w:val="20"/>
              </w:rPr>
              <w:t>MAPL</w:t>
            </w:r>
            <w:r w:rsidR="00377FD3" w:rsidRPr="001640C4">
              <w:rPr>
                <w:rFonts w:cstheme="majorHAnsi"/>
                <w:sz w:val="20"/>
                <w:szCs w:val="20"/>
              </w:rPr>
              <w:t>, IKAP</w:t>
            </w:r>
          </w:p>
        </w:tc>
        <w:tc>
          <w:tcPr>
            <w:tcW w:w="1930" w:type="dxa"/>
            <w:shd w:val="clear" w:color="auto" w:fill="auto"/>
            <w:vAlign w:val="center"/>
          </w:tcPr>
          <w:p w:rsidR="00377FD3" w:rsidRPr="001640C4" w:rsidRDefault="00377FD3" w:rsidP="00B901E3">
            <w:pPr>
              <w:jc w:val="left"/>
              <w:rPr>
                <w:rFonts w:eastAsia="Times New Roman" w:cstheme="majorHAnsi"/>
                <w:sz w:val="20"/>
                <w:szCs w:val="20"/>
                <w:lang w:eastAsia="sq-AL"/>
              </w:rPr>
            </w:pPr>
            <w:r w:rsidRPr="001640C4">
              <w:rPr>
                <w:rFonts w:eastAsia="Times New Roman" w:cstheme="majorHAnsi"/>
                <w:sz w:val="20"/>
                <w:szCs w:val="20"/>
                <w:lang w:eastAsia="sq-AL"/>
              </w:rPr>
              <w:t>Trajnimet në vendin e punës për 7 ministri e përzgjedhura në përgatitjen e raporteve mbi rezultatet e konsultimeve publike te realizuara</w:t>
            </w:r>
          </w:p>
        </w:tc>
        <w:tc>
          <w:tcPr>
            <w:tcW w:w="133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Rregullorja 05/2016 për standardet minimale për konsultime publike.</w:t>
            </w:r>
          </w:p>
          <w:p w:rsidR="00377FD3" w:rsidRPr="001640C4" w:rsidRDefault="00377FD3" w:rsidP="00377FD3">
            <w:pPr>
              <w:rPr>
                <w:rFonts w:eastAsia="Times New Roman" w:cstheme="majorHAnsi"/>
                <w:sz w:val="20"/>
                <w:szCs w:val="20"/>
                <w:lang w:eastAsia="sq-AL"/>
              </w:rPr>
            </w:pPr>
          </w:p>
        </w:tc>
      </w:tr>
      <w:tr w:rsidR="00377FD3" w:rsidRPr="001640C4" w:rsidTr="00B901E3">
        <w:tc>
          <w:tcPr>
            <w:tcW w:w="709" w:type="dxa"/>
            <w:shd w:val="clear" w:color="auto" w:fill="auto"/>
            <w:vAlign w:val="center"/>
          </w:tcPr>
          <w:p w:rsidR="00377FD3" w:rsidRPr="001640C4" w:rsidRDefault="00377FD3" w:rsidP="00377FD3">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1.1.6</w:t>
            </w:r>
          </w:p>
        </w:tc>
        <w:tc>
          <w:tcPr>
            <w:tcW w:w="3827"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Organizimi i sesioneve trajnuese praktike për shfrytëzimin efektiv të Platformës Online</w:t>
            </w:r>
          </w:p>
        </w:tc>
        <w:tc>
          <w:tcPr>
            <w:tcW w:w="1161"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2019/2020</w:t>
            </w:r>
          </w:p>
        </w:tc>
        <w:tc>
          <w:tcPr>
            <w:tcW w:w="966"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3000</w:t>
            </w:r>
          </w:p>
        </w:tc>
        <w:tc>
          <w:tcPr>
            <w:tcW w:w="85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377FD3" w:rsidRPr="001640C4" w:rsidRDefault="00377FD3" w:rsidP="00377FD3">
            <w:pPr>
              <w:rPr>
                <w:rFonts w:cstheme="majorHAnsi"/>
                <w:sz w:val="20"/>
                <w:szCs w:val="20"/>
              </w:rPr>
            </w:pPr>
            <w:r w:rsidRPr="001640C4">
              <w:rPr>
                <w:rFonts w:cstheme="majorHAnsi"/>
                <w:color w:val="000000" w:themeColor="text1"/>
              </w:rPr>
              <w:t>Buxheti i Kosovës, BE</w:t>
            </w:r>
          </w:p>
        </w:tc>
        <w:tc>
          <w:tcPr>
            <w:tcW w:w="1276" w:type="dxa"/>
            <w:gridSpan w:val="2"/>
            <w:shd w:val="clear" w:color="auto" w:fill="auto"/>
            <w:vAlign w:val="center"/>
          </w:tcPr>
          <w:p w:rsidR="00377FD3" w:rsidRPr="001640C4" w:rsidRDefault="00377FD3" w:rsidP="00377FD3">
            <w:pPr>
              <w:rPr>
                <w:rFonts w:cstheme="majorHAnsi"/>
                <w:color w:val="000000" w:themeColor="text1"/>
              </w:rPr>
            </w:pPr>
            <w:r w:rsidRPr="001640C4">
              <w:rPr>
                <w:rFonts w:cstheme="majorHAnsi"/>
                <w:color w:val="000000" w:themeColor="text1"/>
              </w:rPr>
              <w:t>ZQM/ZKM</w:t>
            </w:r>
          </w:p>
          <w:p w:rsidR="00377FD3" w:rsidRPr="001640C4" w:rsidRDefault="00377FD3" w:rsidP="00377FD3">
            <w:pPr>
              <w:rPr>
                <w:rFonts w:cstheme="majorHAnsi"/>
                <w:sz w:val="20"/>
                <w:szCs w:val="20"/>
              </w:rPr>
            </w:pPr>
            <w:r w:rsidRPr="001640C4">
              <w:rPr>
                <w:rFonts w:cstheme="majorHAnsi"/>
                <w:color w:val="000000" w:themeColor="text1"/>
              </w:rPr>
              <w:t>Projekti i AT</w:t>
            </w:r>
          </w:p>
        </w:tc>
        <w:tc>
          <w:tcPr>
            <w:tcW w:w="193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5 Sesione trajnuese me Ministrite dhe komunat</w:t>
            </w:r>
          </w:p>
        </w:tc>
        <w:tc>
          <w:tcPr>
            <w:tcW w:w="133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Rregullorja 05/2016 për standardet minimale për konsultime publike.</w:t>
            </w:r>
          </w:p>
          <w:p w:rsidR="00377FD3" w:rsidRPr="001640C4" w:rsidRDefault="00377FD3" w:rsidP="00377FD3">
            <w:pPr>
              <w:rPr>
                <w:rFonts w:eastAsia="Times New Roman" w:cstheme="majorHAnsi"/>
                <w:sz w:val="20"/>
                <w:szCs w:val="20"/>
                <w:lang w:eastAsia="sq-AL"/>
              </w:rPr>
            </w:pPr>
          </w:p>
        </w:tc>
      </w:tr>
      <w:tr w:rsidR="00377FD3" w:rsidRPr="001640C4" w:rsidTr="00B901E3">
        <w:trPr>
          <w:cantSplit/>
          <w:trHeight w:val="1134"/>
        </w:trPr>
        <w:tc>
          <w:tcPr>
            <w:tcW w:w="709" w:type="dxa"/>
            <w:shd w:val="clear" w:color="auto" w:fill="auto"/>
            <w:vAlign w:val="center"/>
          </w:tcPr>
          <w:p w:rsidR="00377FD3" w:rsidRPr="001640C4" w:rsidRDefault="00377FD3" w:rsidP="00377FD3">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lastRenderedPageBreak/>
              <w:t>1.1.7</w:t>
            </w:r>
          </w:p>
        </w:tc>
        <w:tc>
          <w:tcPr>
            <w:tcW w:w="3827"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Organizimi i takimeve koordinuese për ministritë dhe zyrat e kryeministrit</w:t>
            </w:r>
          </w:p>
        </w:tc>
        <w:tc>
          <w:tcPr>
            <w:tcW w:w="1161"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2019</w:t>
            </w:r>
          </w:p>
        </w:tc>
        <w:tc>
          <w:tcPr>
            <w:tcW w:w="966" w:type="dxa"/>
            <w:shd w:val="clear" w:color="auto" w:fill="auto"/>
            <w:textDirection w:val="btLr"/>
            <w:vAlign w:val="center"/>
          </w:tcPr>
          <w:p w:rsidR="00377FD3" w:rsidRPr="001640C4" w:rsidRDefault="00377FD3" w:rsidP="00377FD3">
            <w:pPr>
              <w:ind w:left="113" w:right="113"/>
              <w:rPr>
                <w:rFonts w:eastAsia="Times New Roman" w:cstheme="majorHAnsi"/>
                <w:sz w:val="20"/>
                <w:szCs w:val="20"/>
                <w:lang w:eastAsia="sq-AL"/>
              </w:rPr>
            </w:pPr>
            <w:r w:rsidRPr="001640C4">
              <w:rPr>
                <w:rFonts w:eastAsia="Times New Roman" w:cstheme="majorHAnsi"/>
                <w:sz w:val="20"/>
                <w:szCs w:val="20"/>
                <w:lang w:eastAsia="sq-AL"/>
              </w:rPr>
              <w:t>Kosto administrative</w:t>
            </w:r>
          </w:p>
        </w:tc>
        <w:tc>
          <w:tcPr>
            <w:tcW w:w="850" w:type="dxa"/>
            <w:shd w:val="clear" w:color="auto" w:fill="auto"/>
            <w:textDirection w:val="btLr"/>
            <w:vAlign w:val="center"/>
          </w:tcPr>
          <w:p w:rsidR="00377FD3" w:rsidRPr="001640C4" w:rsidRDefault="00377FD3" w:rsidP="00377FD3">
            <w:pPr>
              <w:ind w:left="113" w:right="113"/>
              <w:rPr>
                <w:rFonts w:eastAsia="Times New Roman" w:cstheme="majorHAnsi"/>
                <w:sz w:val="20"/>
                <w:szCs w:val="20"/>
                <w:lang w:eastAsia="sq-AL"/>
              </w:rPr>
            </w:pPr>
            <w:r w:rsidRPr="001640C4">
              <w:rPr>
                <w:rFonts w:eastAsia="Times New Roman" w:cstheme="majorHAnsi"/>
                <w:sz w:val="20"/>
                <w:szCs w:val="20"/>
                <w:lang w:eastAsia="sq-AL"/>
              </w:rPr>
              <w:t>Kosto administrative</w:t>
            </w:r>
          </w:p>
        </w:tc>
        <w:tc>
          <w:tcPr>
            <w:tcW w:w="1134" w:type="dxa"/>
            <w:shd w:val="clear" w:color="auto" w:fill="auto"/>
            <w:textDirection w:val="btLr"/>
            <w:vAlign w:val="center"/>
          </w:tcPr>
          <w:p w:rsidR="00377FD3" w:rsidRPr="001640C4" w:rsidRDefault="00377FD3" w:rsidP="00377FD3">
            <w:pPr>
              <w:ind w:left="113" w:right="113"/>
              <w:rPr>
                <w:rFonts w:eastAsia="Times New Roman" w:cstheme="majorHAnsi"/>
                <w:sz w:val="20"/>
                <w:szCs w:val="20"/>
                <w:lang w:eastAsia="sq-AL"/>
              </w:rPr>
            </w:pPr>
            <w:r w:rsidRPr="001640C4">
              <w:rPr>
                <w:rFonts w:eastAsia="Times New Roman" w:cstheme="majorHAnsi"/>
                <w:sz w:val="20"/>
                <w:szCs w:val="20"/>
                <w:lang w:eastAsia="sq-AL"/>
              </w:rPr>
              <w:t>Kosto administrative</w:t>
            </w:r>
          </w:p>
        </w:tc>
        <w:tc>
          <w:tcPr>
            <w:tcW w:w="1134" w:type="dxa"/>
            <w:shd w:val="clear" w:color="auto" w:fill="auto"/>
            <w:vAlign w:val="center"/>
          </w:tcPr>
          <w:p w:rsidR="00377FD3" w:rsidRPr="001640C4" w:rsidRDefault="00377FD3" w:rsidP="00377FD3">
            <w:pPr>
              <w:rPr>
                <w:rFonts w:cstheme="majorHAnsi"/>
                <w:sz w:val="20"/>
                <w:szCs w:val="20"/>
              </w:rPr>
            </w:pPr>
          </w:p>
        </w:tc>
        <w:tc>
          <w:tcPr>
            <w:tcW w:w="1276" w:type="dxa"/>
            <w:gridSpan w:val="2"/>
            <w:shd w:val="clear" w:color="auto" w:fill="auto"/>
            <w:vAlign w:val="center"/>
          </w:tcPr>
          <w:p w:rsidR="00377FD3" w:rsidRPr="001640C4" w:rsidRDefault="00377FD3" w:rsidP="00377FD3">
            <w:pPr>
              <w:rPr>
                <w:rFonts w:cstheme="majorHAnsi"/>
                <w:color w:val="000000" w:themeColor="text1"/>
              </w:rPr>
            </w:pPr>
            <w:r w:rsidRPr="001640C4">
              <w:rPr>
                <w:rFonts w:cstheme="majorHAnsi"/>
                <w:color w:val="000000" w:themeColor="text1"/>
              </w:rPr>
              <w:t>ZQM/ZKM</w:t>
            </w:r>
          </w:p>
          <w:p w:rsidR="00377FD3" w:rsidRPr="001640C4" w:rsidRDefault="00377FD3" w:rsidP="00377FD3">
            <w:pPr>
              <w:rPr>
                <w:rFonts w:cstheme="majorHAnsi"/>
                <w:sz w:val="20"/>
                <w:szCs w:val="20"/>
              </w:rPr>
            </w:pPr>
            <w:r w:rsidRPr="001640C4">
              <w:rPr>
                <w:rFonts w:cstheme="majorHAnsi"/>
                <w:color w:val="000000" w:themeColor="text1"/>
              </w:rPr>
              <w:t>MAPL</w:t>
            </w:r>
          </w:p>
        </w:tc>
        <w:tc>
          <w:tcPr>
            <w:tcW w:w="193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6 takime te realizuara</w:t>
            </w:r>
          </w:p>
        </w:tc>
        <w:tc>
          <w:tcPr>
            <w:tcW w:w="1330" w:type="dxa"/>
            <w:shd w:val="clear" w:color="auto" w:fill="auto"/>
            <w:vAlign w:val="center"/>
          </w:tcPr>
          <w:p w:rsidR="00377FD3" w:rsidRPr="001640C4" w:rsidRDefault="00377FD3" w:rsidP="00377FD3">
            <w:pPr>
              <w:rPr>
                <w:rFonts w:cstheme="majorHAnsi"/>
                <w:color w:val="000000" w:themeColor="text1"/>
              </w:rPr>
            </w:pPr>
            <w:r w:rsidRPr="001640C4">
              <w:rPr>
                <w:rFonts w:cstheme="majorHAnsi"/>
                <w:color w:val="000000" w:themeColor="text1"/>
              </w:rPr>
              <w:t>Strategjia për rregullim me të mirë 2.0</w:t>
            </w:r>
          </w:p>
          <w:p w:rsidR="00377FD3" w:rsidRPr="001640C4" w:rsidRDefault="00377FD3" w:rsidP="00377FD3">
            <w:pPr>
              <w:rPr>
                <w:rFonts w:eastAsia="Times New Roman" w:cstheme="majorHAnsi"/>
                <w:sz w:val="20"/>
                <w:szCs w:val="20"/>
                <w:lang w:eastAsia="sq-AL"/>
              </w:rPr>
            </w:pPr>
          </w:p>
        </w:tc>
      </w:tr>
      <w:tr w:rsidR="00377FD3" w:rsidRPr="001640C4" w:rsidTr="00B901E3">
        <w:tc>
          <w:tcPr>
            <w:tcW w:w="709" w:type="dxa"/>
            <w:shd w:val="clear" w:color="auto" w:fill="auto"/>
            <w:vAlign w:val="center"/>
          </w:tcPr>
          <w:p w:rsidR="00377FD3" w:rsidRPr="001640C4" w:rsidRDefault="00377FD3" w:rsidP="00377FD3">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1.1.8</w:t>
            </w:r>
          </w:p>
        </w:tc>
        <w:tc>
          <w:tcPr>
            <w:tcW w:w="3827"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Publikimi i raporteve vjetore të monitorimit mbi zbatimin e  standardeve minimale për konsultime me publikun ne nivel qendror dhe lokal</w:t>
            </w:r>
          </w:p>
        </w:tc>
        <w:tc>
          <w:tcPr>
            <w:tcW w:w="1161"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1500</w:t>
            </w:r>
          </w:p>
        </w:tc>
        <w:tc>
          <w:tcPr>
            <w:tcW w:w="85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1500</w:t>
            </w:r>
          </w:p>
        </w:tc>
        <w:tc>
          <w:tcPr>
            <w:tcW w:w="1134"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1500</w:t>
            </w:r>
          </w:p>
        </w:tc>
        <w:tc>
          <w:tcPr>
            <w:tcW w:w="1134" w:type="dxa"/>
            <w:shd w:val="clear" w:color="auto" w:fill="auto"/>
            <w:vAlign w:val="center"/>
          </w:tcPr>
          <w:p w:rsidR="00377FD3" w:rsidRPr="001640C4" w:rsidRDefault="00377FD3" w:rsidP="00377FD3">
            <w:pPr>
              <w:rPr>
                <w:rFonts w:cstheme="majorHAnsi"/>
                <w:color w:val="000000" w:themeColor="text1"/>
              </w:rPr>
            </w:pPr>
            <w:r w:rsidRPr="001640C4">
              <w:rPr>
                <w:rFonts w:cstheme="majorHAnsi"/>
                <w:color w:val="000000" w:themeColor="text1"/>
              </w:rPr>
              <w:t>Buxheti i Kosovës, BE</w:t>
            </w:r>
          </w:p>
        </w:tc>
        <w:tc>
          <w:tcPr>
            <w:tcW w:w="1276" w:type="dxa"/>
            <w:gridSpan w:val="2"/>
            <w:shd w:val="clear" w:color="auto" w:fill="auto"/>
            <w:vAlign w:val="center"/>
          </w:tcPr>
          <w:p w:rsidR="00377FD3" w:rsidRPr="001640C4" w:rsidRDefault="00377FD3" w:rsidP="00377FD3">
            <w:pPr>
              <w:rPr>
                <w:rFonts w:cstheme="majorHAnsi"/>
                <w:color w:val="000000" w:themeColor="text1"/>
              </w:rPr>
            </w:pPr>
            <w:r w:rsidRPr="001640C4">
              <w:rPr>
                <w:rFonts w:cstheme="majorHAnsi"/>
                <w:color w:val="000000" w:themeColor="text1"/>
              </w:rPr>
              <w:t>ZQM/ZKM</w:t>
            </w:r>
          </w:p>
          <w:p w:rsidR="00377FD3" w:rsidRPr="001640C4" w:rsidRDefault="00377FD3" w:rsidP="00377FD3">
            <w:pPr>
              <w:rPr>
                <w:rFonts w:cstheme="majorHAnsi"/>
                <w:color w:val="000000" w:themeColor="text1"/>
              </w:rPr>
            </w:pPr>
            <w:r w:rsidRPr="001640C4">
              <w:rPr>
                <w:rFonts w:cstheme="majorHAnsi"/>
                <w:color w:val="000000" w:themeColor="text1"/>
              </w:rPr>
              <w:t>MAPL</w:t>
            </w:r>
          </w:p>
          <w:p w:rsidR="00377FD3" w:rsidRPr="001640C4" w:rsidRDefault="00377FD3" w:rsidP="00377FD3">
            <w:pPr>
              <w:rPr>
                <w:rFonts w:cstheme="majorHAnsi"/>
                <w:color w:val="000000" w:themeColor="text1"/>
              </w:rPr>
            </w:pPr>
            <w:r w:rsidRPr="001640C4">
              <w:rPr>
                <w:rFonts w:cstheme="majorHAnsi"/>
                <w:color w:val="000000" w:themeColor="text1"/>
              </w:rPr>
              <w:t>Ministritë e linjës, Komunat</w:t>
            </w:r>
          </w:p>
        </w:tc>
        <w:tc>
          <w:tcPr>
            <w:tcW w:w="193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cstheme="majorHAnsi"/>
                <w:color w:val="000000" w:themeColor="text1"/>
              </w:rPr>
              <w:t>Raportet vjetore të monitorimit të publikuara në kohë dhe në përputhje me kërkesat e Rregullores</w:t>
            </w:r>
          </w:p>
        </w:tc>
        <w:tc>
          <w:tcPr>
            <w:tcW w:w="133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Rregullorja 05/2016 për standardet minimale për konsultime publike.</w:t>
            </w:r>
          </w:p>
          <w:p w:rsidR="00377FD3" w:rsidRPr="001640C4" w:rsidRDefault="00377FD3" w:rsidP="00377FD3">
            <w:pPr>
              <w:rPr>
                <w:rFonts w:eastAsia="Times New Roman" w:cstheme="majorHAnsi"/>
                <w:sz w:val="20"/>
                <w:szCs w:val="20"/>
                <w:lang w:eastAsia="sq-AL"/>
              </w:rPr>
            </w:pPr>
          </w:p>
        </w:tc>
      </w:tr>
      <w:tr w:rsidR="00377FD3" w:rsidRPr="001640C4" w:rsidTr="00B901E3">
        <w:tc>
          <w:tcPr>
            <w:tcW w:w="709" w:type="dxa"/>
            <w:shd w:val="clear" w:color="auto" w:fill="auto"/>
            <w:vAlign w:val="center"/>
          </w:tcPr>
          <w:p w:rsidR="00377FD3" w:rsidRPr="001640C4" w:rsidRDefault="00377FD3" w:rsidP="00377FD3">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1.1.9</w:t>
            </w:r>
          </w:p>
        </w:tc>
        <w:tc>
          <w:tcPr>
            <w:tcW w:w="3827"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Publikimi i praktikave më të mira të konsultimit me institucionet shtetërore dhe komunat</w:t>
            </w:r>
          </w:p>
        </w:tc>
        <w:tc>
          <w:tcPr>
            <w:tcW w:w="1161"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2019</w:t>
            </w:r>
          </w:p>
        </w:tc>
        <w:tc>
          <w:tcPr>
            <w:tcW w:w="966"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1000</w:t>
            </w:r>
          </w:p>
        </w:tc>
        <w:tc>
          <w:tcPr>
            <w:tcW w:w="85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377FD3" w:rsidRPr="001640C4" w:rsidRDefault="00377FD3" w:rsidP="00377FD3">
            <w:pPr>
              <w:rPr>
                <w:rFonts w:cstheme="majorHAnsi"/>
                <w:sz w:val="20"/>
                <w:szCs w:val="20"/>
              </w:rPr>
            </w:pPr>
            <w:r w:rsidRPr="001640C4">
              <w:rPr>
                <w:rFonts w:cstheme="majorHAnsi"/>
                <w:color w:val="000000" w:themeColor="text1"/>
              </w:rPr>
              <w:t>Buxheti i Kosovës</w:t>
            </w:r>
          </w:p>
        </w:tc>
        <w:tc>
          <w:tcPr>
            <w:tcW w:w="1276" w:type="dxa"/>
            <w:gridSpan w:val="2"/>
            <w:shd w:val="clear" w:color="auto" w:fill="auto"/>
            <w:vAlign w:val="center"/>
          </w:tcPr>
          <w:p w:rsidR="00377FD3" w:rsidRPr="001640C4" w:rsidRDefault="00377FD3" w:rsidP="00377FD3">
            <w:pPr>
              <w:rPr>
                <w:rFonts w:cstheme="majorHAnsi"/>
                <w:color w:val="000000" w:themeColor="text1"/>
              </w:rPr>
            </w:pPr>
            <w:r w:rsidRPr="001640C4">
              <w:rPr>
                <w:rFonts w:cstheme="majorHAnsi"/>
                <w:color w:val="000000" w:themeColor="text1"/>
              </w:rPr>
              <w:t>ZQM/ZKM MAPL</w:t>
            </w:r>
          </w:p>
          <w:p w:rsidR="00377FD3" w:rsidRPr="001640C4" w:rsidRDefault="00377FD3" w:rsidP="00377FD3">
            <w:pPr>
              <w:rPr>
                <w:rFonts w:cstheme="majorHAnsi"/>
                <w:color w:val="000000" w:themeColor="text1"/>
              </w:rPr>
            </w:pPr>
            <w:r w:rsidRPr="001640C4">
              <w:rPr>
                <w:rFonts w:cstheme="majorHAnsi"/>
                <w:color w:val="000000" w:themeColor="text1"/>
              </w:rPr>
              <w:t>Ministritë, Komunat</w:t>
            </w:r>
          </w:p>
        </w:tc>
        <w:tc>
          <w:tcPr>
            <w:tcW w:w="193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cstheme="majorHAnsi"/>
                <w:color w:val="000000" w:themeColor="text1"/>
              </w:rPr>
              <w:t>Praktikat më të mira të mbledhura, publikuara dhe të promovuara nëpër institucionet qendrore dhe lokale.</w:t>
            </w:r>
          </w:p>
        </w:tc>
        <w:tc>
          <w:tcPr>
            <w:tcW w:w="1330" w:type="dxa"/>
            <w:shd w:val="clear" w:color="auto" w:fill="auto"/>
            <w:vAlign w:val="center"/>
          </w:tcPr>
          <w:p w:rsidR="00377FD3" w:rsidRPr="001640C4" w:rsidRDefault="00377FD3" w:rsidP="00377FD3">
            <w:pPr>
              <w:rPr>
                <w:rFonts w:eastAsia="Times New Roman" w:cstheme="majorHAnsi"/>
                <w:sz w:val="20"/>
                <w:szCs w:val="20"/>
                <w:lang w:eastAsia="sq-AL"/>
              </w:rPr>
            </w:pPr>
            <w:r w:rsidRPr="001640C4">
              <w:rPr>
                <w:rFonts w:eastAsia="Times New Roman" w:cstheme="majorHAnsi"/>
                <w:sz w:val="20"/>
                <w:szCs w:val="20"/>
                <w:lang w:eastAsia="sq-AL"/>
              </w:rPr>
              <w:t>Rregullorja 05/2016 për standardet minimale për konsultime publike.</w:t>
            </w:r>
          </w:p>
          <w:p w:rsidR="00377FD3" w:rsidRPr="001640C4" w:rsidRDefault="00377FD3" w:rsidP="00377FD3">
            <w:pPr>
              <w:rPr>
                <w:rFonts w:eastAsia="Times New Roman" w:cstheme="majorHAnsi"/>
                <w:sz w:val="20"/>
                <w:szCs w:val="20"/>
                <w:lang w:eastAsia="sq-AL"/>
              </w:rPr>
            </w:pPr>
          </w:p>
        </w:tc>
      </w:tr>
      <w:tr w:rsidR="00DC4E77" w:rsidRPr="001640C4" w:rsidTr="00DC4E77">
        <w:tc>
          <w:tcPr>
            <w:tcW w:w="709" w:type="dxa"/>
            <w:shd w:val="clear" w:color="auto" w:fill="FFFFFF" w:themeFill="background1"/>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18"/>
                <w:szCs w:val="20"/>
                <w:lang w:eastAsia="sq-AL"/>
              </w:rPr>
              <w:t>1.1.10</w:t>
            </w:r>
          </w:p>
        </w:tc>
        <w:tc>
          <w:tcPr>
            <w:tcW w:w="3827" w:type="dxa"/>
            <w:shd w:val="clear" w:color="auto" w:fill="FFFFFF" w:themeFill="background1"/>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Rekritimi i një zyrtari për koordinimin e procesit të konsuultimeve me publikun</w:t>
            </w:r>
          </w:p>
        </w:tc>
        <w:tc>
          <w:tcPr>
            <w:tcW w:w="1161" w:type="dxa"/>
            <w:shd w:val="clear" w:color="auto" w:fill="FFFFFF" w:themeFill="background1"/>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FFFFFF" w:themeFill="background1"/>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FFFFFF" w:themeFill="background1"/>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6000</w:t>
            </w:r>
          </w:p>
        </w:tc>
        <w:tc>
          <w:tcPr>
            <w:tcW w:w="1134" w:type="dxa"/>
            <w:shd w:val="clear" w:color="auto" w:fill="FFFFFF" w:themeFill="background1"/>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6000</w:t>
            </w:r>
          </w:p>
        </w:tc>
        <w:tc>
          <w:tcPr>
            <w:tcW w:w="1134" w:type="dxa"/>
            <w:shd w:val="clear" w:color="auto" w:fill="FFFFFF" w:themeFill="background1"/>
            <w:vAlign w:val="center"/>
          </w:tcPr>
          <w:p w:rsidR="00DC4E77" w:rsidRPr="001640C4" w:rsidRDefault="00DC4E77" w:rsidP="00DC4E77">
            <w:pPr>
              <w:rPr>
                <w:rFonts w:eastAsia="Times New Roman" w:cstheme="majorHAnsi"/>
                <w:b/>
                <w:sz w:val="20"/>
                <w:szCs w:val="20"/>
                <w:lang w:eastAsia="sq-AL"/>
              </w:rPr>
            </w:pPr>
            <w:r w:rsidRPr="001640C4">
              <w:rPr>
                <w:rFonts w:cstheme="majorHAnsi"/>
                <w:color w:val="000000" w:themeColor="text1"/>
              </w:rPr>
              <w:t>Buxheti i Kosovës</w:t>
            </w:r>
          </w:p>
        </w:tc>
        <w:tc>
          <w:tcPr>
            <w:tcW w:w="1276" w:type="dxa"/>
            <w:gridSpan w:val="2"/>
            <w:shd w:val="clear" w:color="auto" w:fill="FFFFFF" w:themeFill="background1"/>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MF</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MAPL</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OGG/OPM</w:t>
            </w:r>
          </w:p>
        </w:tc>
        <w:tc>
          <w:tcPr>
            <w:tcW w:w="1930" w:type="dxa"/>
            <w:shd w:val="clear" w:color="auto" w:fill="FFFFFF" w:themeFill="background1"/>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Zyrtari i ri është rekrutuar dhe në punë</w:t>
            </w:r>
          </w:p>
        </w:tc>
        <w:tc>
          <w:tcPr>
            <w:tcW w:w="1330" w:type="dxa"/>
            <w:shd w:val="clear" w:color="auto" w:fill="FFFFFF" w:themeFill="background1"/>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rPr>
                <w:rFonts w:eastAsia="Times New Roman" w:cstheme="majorHAnsi"/>
                <w:b/>
                <w:i/>
                <w:sz w:val="20"/>
                <w:szCs w:val="20"/>
                <w:lang w:eastAsia="sq-AL"/>
              </w:rPr>
            </w:pPr>
            <w:r w:rsidRPr="001640C4">
              <w:rPr>
                <w:rFonts w:eastAsia="Times New Roman" w:cstheme="majorHAnsi"/>
                <w:b/>
                <w:i/>
                <w:sz w:val="20"/>
                <w:szCs w:val="20"/>
                <w:lang w:eastAsia="sq-AL"/>
              </w:rPr>
              <w:t>Buxheti i përgjithshëm për Objektivin Specifik 1.1.</w:t>
            </w:r>
          </w:p>
          <w:p w:rsidR="00DC4E77" w:rsidRPr="001640C4" w:rsidRDefault="00DC4E77" w:rsidP="00DC4E77">
            <w:pPr>
              <w:spacing w:before="120" w:after="120"/>
              <w:rPr>
                <w:rFonts w:eastAsia="Times New Roman" w:cstheme="majorHAnsi"/>
                <w:b/>
                <w:sz w:val="20"/>
                <w:szCs w:val="20"/>
                <w:highlight w:val="yellow"/>
                <w:lang w:eastAsia="sq-AL"/>
              </w:rPr>
            </w:pPr>
          </w:p>
        </w:tc>
        <w:tc>
          <w:tcPr>
            <w:tcW w:w="1161" w:type="dxa"/>
            <w:shd w:val="clear" w:color="auto" w:fill="F2F2F2"/>
            <w:vAlign w:val="center"/>
          </w:tcPr>
          <w:p w:rsidR="00DC4E77" w:rsidRPr="001640C4" w:rsidRDefault="00DC4E77" w:rsidP="00DC4E77">
            <w:pPr>
              <w:rPr>
                <w:rFonts w:eastAsia="Times New Roman" w:cstheme="majorHAnsi"/>
                <w:b/>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 xml:space="preserve"> </w:t>
            </w:r>
          </w:p>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22,000</w:t>
            </w:r>
          </w:p>
        </w:tc>
        <w:tc>
          <w:tcPr>
            <w:tcW w:w="850"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br/>
              <w:t>21,500</w:t>
            </w:r>
          </w:p>
        </w:tc>
        <w:tc>
          <w:tcPr>
            <w:tcW w:w="1134"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br/>
              <w:t>25,500</w:t>
            </w:r>
          </w:p>
        </w:tc>
        <w:tc>
          <w:tcPr>
            <w:tcW w:w="1134" w:type="dxa"/>
            <w:shd w:val="clear" w:color="auto" w:fill="auto"/>
            <w:vAlign w:val="center"/>
          </w:tcPr>
          <w:p w:rsidR="00DC4E77" w:rsidRPr="001640C4" w:rsidRDefault="00DC4E77" w:rsidP="00DC4E77">
            <w:pPr>
              <w:rPr>
                <w:rFonts w:eastAsia="Times New Roman" w:cstheme="majorHAnsi"/>
                <w:b/>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jc w:val="left"/>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b/>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highlight w:val="yellow"/>
                <w:lang w:eastAsia="sq-AL"/>
              </w:rPr>
            </w:pPr>
            <w:r w:rsidRPr="001640C4">
              <w:rPr>
                <w:rFonts w:eastAsia="Times New Roman" w:cstheme="majorHAnsi"/>
                <w:i/>
                <w:sz w:val="20"/>
                <w:szCs w:val="20"/>
                <w:lang w:eastAsia="sq-AL"/>
              </w:rPr>
              <w:t>Nga të cilat kapitale: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21,500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 xml:space="preserve">25,500 </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D9D9D9"/>
            <w:vAlign w:val="center"/>
          </w:tcPr>
          <w:p w:rsidR="00DC4E77" w:rsidRPr="001640C4" w:rsidRDefault="00DC4E77" w:rsidP="00DC4E77">
            <w:pPr>
              <w:spacing w:before="120" w:after="120"/>
              <w:jc w:val="center"/>
              <w:rPr>
                <w:rFonts w:eastAsia="Times New Roman" w:cstheme="majorHAnsi"/>
                <w:b/>
                <w:sz w:val="24"/>
                <w:szCs w:val="20"/>
                <w:lang w:eastAsia="sq-AL"/>
              </w:rPr>
            </w:pPr>
            <w:r w:rsidRPr="001640C4">
              <w:rPr>
                <w:rFonts w:eastAsia="Times New Roman" w:cstheme="majorHAnsi"/>
                <w:b/>
                <w:sz w:val="24"/>
                <w:szCs w:val="20"/>
                <w:lang w:eastAsia="sq-AL"/>
              </w:rPr>
              <w:t>1.2</w:t>
            </w:r>
          </w:p>
        </w:tc>
        <w:tc>
          <w:tcPr>
            <w:tcW w:w="13608" w:type="dxa"/>
            <w:gridSpan w:val="10"/>
            <w:shd w:val="clear" w:color="auto" w:fill="D9D9D9"/>
            <w:vAlign w:val="center"/>
          </w:tcPr>
          <w:p w:rsidR="00DC4E77" w:rsidRPr="001640C4" w:rsidRDefault="00DC4E77" w:rsidP="00DC4E77">
            <w:pPr>
              <w:rPr>
                <w:rFonts w:eastAsia="Times New Roman" w:cstheme="majorHAnsi"/>
                <w:b/>
                <w:sz w:val="24"/>
                <w:szCs w:val="20"/>
                <w:lang w:eastAsia="sq-AL"/>
              </w:rPr>
            </w:pPr>
          </w:p>
          <w:p w:rsidR="00DC4E77" w:rsidRPr="001640C4" w:rsidRDefault="00DC4E77" w:rsidP="00DC4E77">
            <w:pPr>
              <w:rPr>
                <w:rFonts w:eastAsia="Times New Roman" w:cstheme="majorHAnsi"/>
                <w:b/>
                <w:sz w:val="24"/>
                <w:szCs w:val="20"/>
                <w:lang w:eastAsia="sq-AL"/>
              </w:rPr>
            </w:pPr>
            <w:r w:rsidRPr="001640C4">
              <w:rPr>
                <w:rFonts w:eastAsia="Times New Roman" w:cstheme="majorHAnsi"/>
                <w:b/>
                <w:sz w:val="24"/>
                <w:szCs w:val="20"/>
                <w:lang w:eastAsia="sq-AL"/>
              </w:rPr>
              <w:t>Objektivi specifik: Ngritja e njohurive të qytetarëve dhe shoqërisë civile për konsultimet publike</w:t>
            </w:r>
          </w:p>
          <w:p w:rsidR="00DC4E77" w:rsidRPr="001640C4" w:rsidRDefault="00DC4E77" w:rsidP="00DC4E77">
            <w:pPr>
              <w:rPr>
                <w:rFonts w:eastAsia="Times New Roman" w:cstheme="majorHAnsi"/>
                <w:sz w:val="24"/>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b/>
                <w:sz w:val="20"/>
                <w:szCs w:val="20"/>
                <w:lang w:eastAsia="sq-AL"/>
              </w:rPr>
              <w:t xml:space="preserve">Treguesi 1: </w:t>
            </w:r>
            <w:r w:rsidRPr="001640C4">
              <w:rPr>
                <w:rFonts w:cstheme="majorHAnsi"/>
                <w:color w:val="000000" w:themeColor="text1"/>
              </w:rPr>
              <w:t>Rritja e numrit të organizatave të shoqërisë civile të regjistruara në Platformën Online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cstheme="majorHAnsi"/>
                <w:color w:val="000000" w:themeColor="text1"/>
              </w:rPr>
              <w:t>151 OJQ</w:t>
            </w:r>
          </w:p>
        </w:tc>
        <w:tc>
          <w:tcPr>
            <w:tcW w:w="1984" w:type="dxa"/>
            <w:gridSpan w:val="2"/>
            <w:shd w:val="clear" w:color="auto" w:fill="auto"/>
            <w:vAlign w:val="center"/>
          </w:tcPr>
          <w:p w:rsidR="00DC4E77" w:rsidRPr="001640C4" w:rsidRDefault="00DC4E77" w:rsidP="00DC4E77">
            <w:pPr>
              <w:jc w:val="center"/>
              <w:rPr>
                <w:rFonts w:cstheme="majorHAnsi"/>
                <w:strike/>
                <w:color w:val="000000" w:themeColor="text1"/>
              </w:rPr>
            </w:pPr>
          </w:p>
          <w:p w:rsidR="00DC4E77" w:rsidRPr="001640C4" w:rsidRDefault="00DC4E77" w:rsidP="00DC4E77">
            <w:pPr>
              <w:jc w:val="center"/>
              <w:rPr>
                <w:rFonts w:cstheme="majorHAnsi"/>
                <w:color w:val="000000" w:themeColor="text1"/>
              </w:rPr>
            </w:pPr>
            <w:r w:rsidRPr="001640C4">
              <w:rPr>
                <w:rFonts w:cstheme="majorHAnsi"/>
                <w:color w:val="000000" w:themeColor="text1"/>
              </w:rPr>
              <w:t>50%</w:t>
            </w:r>
          </w:p>
          <w:p w:rsidR="00DC4E77" w:rsidRPr="001640C4" w:rsidRDefault="00DC4E77" w:rsidP="00DC4E77">
            <w:pPr>
              <w:jc w:val="cente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100%</w:t>
            </w:r>
          </w:p>
        </w:tc>
        <w:tc>
          <w:tcPr>
            <w:tcW w:w="4536" w:type="dxa"/>
            <w:gridSpan w:val="4"/>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500 OJQ te abonuara në platformën online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lastRenderedPageBreak/>
              <w:t>2</w:t>
            </w:r>
          </w:p>
        </w:tc>
        <w:tc>
          <w:tcPr>
            <w:tcW w:w="3827" w:type="dxa"/>
            <w:shd w:val="clear" w:color="auto" w:fill="auto"/>
            <w:vAlign w:val="center"/>
          </w:tcPr>
          <w:p w:rsidR="00DC4E77" w:rsidRPr="001640C4" w:rsidRDefault="00DC4E77" w:rsidP="00DC4E77">
            <w:pPr>
              <w:rPr>
                <w:rFonts w:cstheme="majorHAnsi"/>
                <w:color w:val="000000" w:themeColor="text1"/>
              </w:rPr>
            </w:pPr>
            <w:r w:rsidRPr="001640C4">
              <w:rPr>
                <w:rFonts w:eastAsia="Times New Roman" w:cstheme="majorHAnsi"/>
                <w:b/>
                <w:sz w:val="20"/>
                <w:szCs w:val="20"/>
                <w:lang w:eastAsia="sq-AL"/>
              </w:rPr>
              <w:t xml:space="preserve">Treguesi 2: </w:t>
            </w:r>
            <w:r w:rsidRPr="001640C4">
              <w:rPr>
                <w:rFonts w:cstheme="majorHAnsi"/>
                <w:color w:val="000000" w:themeColor="text1"/>
              </w:rPr>
              <w:t>Rritja e numrit të qytetarëve individual për të dhënë komente në Platformën Online</w:t>
            </w:r>
          </w:p>
          <w:p w:rsidR="00DC4E77" w:rsidRPr="001640C4" w:rsidRDefault="00DC4E77" w:rsidP="00DC4E77">
            <w:pPr>
              <w:rPr>
                <w:rFonts w:cstheme="majorHAnsi"/>
                <w:color w:val="000000" w:themeColor="text1"/>
              </w:rPr>
            </w:pPr>
            <w:r w:rsidRPr="001640C4">
              <w:rPr>
                <w:rFonts w:cstheme="majorHAnsi"/>
                <w:color w:val="000000" w:themeColor="text1"/>
              </w:rPr>
              <w:t>Rritja e numrit dhe qytetarëve në takime publike, komente të dërguara nga qytetarët, komente të adresuara, përceptim të OShC-ve mbi përfshirjen dhe ftesat për konsultim publik</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cstheme="majorHAnsi"/>
                <w:color w:val="000000" w:themeColor="text1"/>
              </w:rPr>
              <w:t>1119 Komente</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cstheme="majorHAnsi"/>
                <w:color w:val="000000" w:themeColor="text1"/>
              </w:rPr>
              <w:t>50%</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cstheme="majorHAnsi"/>
                <w:color w:val="000000" w:themeColor="text1"/>
              </w:rPr>
              <w:t>100%</w:t>
            </w:r>
          </w:p>
        </w:tc>
        <w:tc>
          <w:tcPr>
            <w:tcW w:w="4536" w:type="dxa"/>
            <w:gridSpan w:val="4"/>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5000 komente në platformën online</w:t>
            </w:r>
          </w:p>
        </w:tc>
      </w:tr>
      <w:tr w:rsidR="00DC4E77" w:rsidRPr="001640C4" w:rsidTr="00B901E3">
        <w:tc>
          <w:tcPr>
            <w:tcW w:w="709"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Nr.</w:t>
            </w:r>
          </w:p>
        </w:tc>
        <w:tc>
          <w:tcPr>
            <w:tcW w:w="3827"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Veprimi</w:t>
            </w:r>
          </w:p>
        </w:tc>
        <w:tc>
          <w:tcPr>
            <w:tcW w:w="1161"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 xml:space="preserve">Buxheti </w:t>
            </w:r>
          </w:p>
        </w:tc>
        <w:tc>
          <w:tcPr>
            <w:tcW w:w="1134"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18"/>
                <w:szCs w:val="20"/>
                <w:lang w:eastAsia="sq-AL"/>
              </w:rPr>
              <w:t>Institucioni udhëheqës dhe mbështetës</w:t>
            </w:r>
          </w:p>
        </w:tc>
        <w:tc>
          <w:tcPr>
            <w:tcW w:w="19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DC4E77" w:rsidRPr="001640C4" w:rsidTr="00B901E3">
        <w:tc>
          <w:tcPr>
            <w:tcW w:w="709"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61"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2019</w:t>
            </w:r>
          </w:p>
        </w:tc>
        <w:tc>
          <w:tcPr>
            <w:tcW w:w="85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2020</w:t>
            </w:r>
          </w:p>
        </w:tc>
        <w:tc>
          <w:tcPr>
            <w:tcW w:w="1134"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2021</w:t>
            </w:r>
          </w:p>
        </w:tc>
        <w:tc>
          <w:tcPr>
            <w:tcW w:w="1134"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vMerge/>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1.2.1</w:t>
            </w:r>
          </w:p>
        </w:tc>
        <w:tc>
          <w:tcPr>
            <w:tcW w:w="3827"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Zhvillimi dhe zbatimi i një strategjie të komunikimit me publikun për Platformën Online dhe standardet për konsultimet me publikun</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2019</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 BE</w:t>
            </w:r>
          </w:p>
        </w:tc>
        <w:tc>
          <w:tcPr>
            <w:tcW w:w="1276" w:type="dxa"/>
            <w:gridSpan w:val="2"/>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ZQM/ZKM</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Projekti i AT te BE-së</w:t>
            </w: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Strategjia e komunikimit me publikun e zhvilluar ,publikuar dhe plotësisht në funksion</w:t>
            </w:r>
          </w:p>
        </w:tc>
        <w:tc>
          <w:tcPr>
            <w:tcW w:w="133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Koncept dokumenti për shërbimin e komunikimit qeveritar me publikun</w:t>
            </w:r>
          </w:p>
          <w:p w:rsidR="00DC4E77" w:rsidRPr="001640C4" w:rsidRDefault="00DC4E77" w:rsidP="00DC4E77">
            <w:pPr>
              <w:rPr>
                <w:rFonts w:cstheme="majorHAnsi"/>
                <w:color w:val="000000" w:themeColor="text1"/>
              </w:rPr>
            </w:pPr>
          </w:p>
          <w:p w:rsidR="00DC4E77" w:rsidRPr="001640C4" w:rsidRDefault="00DC4E77" w:rsidP="00DC4E77">
            <w:pPr>
              <w:rPr>
                <w:rFonts w:cstheme="majorHAnsi"/>
                <w:color w:val="000000" w:themeColor="text1"/>
              </w:rPr>
            </w:pPr>
          </w:p>
          <w:p w:rsidR="00DC4E77" w:rsidRPr="001640C4" w:rsidRDefault="00DC4E77" w:rsidP="00DC4E77">
            <w:pPr>
              <w:rPr>
                <w:rFonts w:cstheme="majorHAnsi"/>
                <w:color w:val="000000" w:themeColor="text1"/>
              </w:rPr>
            </w:pPr>
          </w:p>
        </w:tc>
      </w:tr>
      <w:tr w:rsidR="00DC4E77" w:rsidRPr="001640C4" w:rsidTr="00B901E3">
        <w:tc>
          <w:tcPr>
            <w:tcW w:w="709" w:type="dxa"/>
            <w:vMerge w:val="restart"/>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1.2.2</w:t>
            </w:r>
          </w:p>
        </w:tc>
        <w:tc>
          <w:tcPr>
            <w:tcW w:w="3827" w:type="dxa"/>
            <w:vMerge w:val="restart"/>
            <w:shd w:val="clear" w:color="auto" w:fill="auto"/>
            <w:vAlign w:val="center"/>
          </w:tcPr>
          <w:p w:rsidR="00DC4E77" w:rsidRPr="001640C4" w:rsidRDefault="00DC4E77" w:rsidP="00DC4E77">
            <w:pPr>
              <w:rPr>
                <w:rFonts w:cstheme="majorHAnsi"/>
                <w:color w:val="000000" w:themeColor="text1"/>
              </w:rPr>
            </w:pPr>
          </w:p>
          <w:p w:rsidR="00DC4E77" w:rsidRPr="001640C4" w:rsidRDefault="00DC4E77" w:rsidP="00DC4E77">
            <w:pPr>
              <w:rPr>
                <w:rFonts w:cstheme="majorHAnsi"/>
                <w:color w:val="000000" w:themeColor="text1"/>
              </w:rPr>
            </w:pPr>
          </w:p>
          <w:p w:rsidR="00DC4E77" w:rsidRPr="001640C4" w:rsidRDefault="00DC4E77" w:rsidP="00DC4E77">
            <w:pPr>
              <w:rPr>
                <w:rFonts w:cstheme="majorHAnsi"/>
                <w:color w:val="000000" w:themeColor="text1"/>
              </w:rPr>
            </w:pPr>
          </w:p>
          <w:p w:rsidR="00DC4E77" w:rsidRPr="001640C4" w:rsidRDefault="00DC4E77" w:rsidP="00DC4E77">
            <w:pPr>
              <w:rPr>
                <w:rFonts w:cstheme="majorHAnsi"/>
                <w:color w:val="000000" w:themeColor="text1"/>
              </w:rPr>
            </w:pPr>
          </w:p>
          <w:p w:rsidR="00DC4E77" w:rsidRPr="001640C4" w:rsidRDefault="00DC4E77" w:rsidP="00DC4E77">
            <w:pPr>
              <w:rPr>
                <w:rFonts w:cstheme="majorHAnsi"/>
                <w:color w:val="000000" w:themeColor="text1"/>
              </w:rPr>
            </w:pPr>
          </w:p>
          <w:p w:rsidR="00DC4E77" w:rsidRPr="001640C4" w:rsidRDefault="00DC4E77" w:rsidP="00DC4E77">
            <w:pPr>
              <w:rPr>
                <w:rFonts w:eastAsia="Times New Roman" w:cstheme="majorHAnsi"/>
                <w:sz w:val="52"/>
                <w:szCs w:val="20"/>
                <w:lang w:eastAsia="sq-AL"/>
              </w:rPr>
            </w:pPr>
            <w:r w:rsidRPr="001640C4">
              <w:rPr>
                <w:rFonts w:cstheme="majorHAnsi"/>
                <w:color w:val="000000" w:themeColor="text1"/>
              </w:rPr>
              <w:t>Zhvillimi i një fushate për ngritjen e vetëdijes për standardet e konsultimit me publikun</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2019/2020</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1500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 BE</w:t>
            </w:r>
          </w:p>
        </w:tc>
        <w:tc>
          <w:tcPr>
            <w:tcW w:w="1276" w:type="dxa"/>
            <w:gridSpan w:val="2"/>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ZQM/ZKM</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Projekti i AT te BE-së</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cstheme="majorHAnsi"/>
                <w:color w:val="000000" w:themeColor="text1"/>
              </w:rPr>
              <w:t>Udhëzuesi për shfrytëzimin e platformës online për konsultime me publikun nga OSHC-të dhe qytetarët i zhvilluar dhe i shfrytëzueshëm</w:t>
            </w:r>
          </w:p>
        </w:tc>
        <w:tc>
          <w:tcPr>
            <w:tcW w:w="133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Strategjia për rregullim me të mirë 2.0</w:t>
            </w:r>
          </w:p>
        </w:tc>
      </w:tr>
      <w:tr w:rsidR="00DC4E77" w:rsidRPr="001640C4" w:rsidTr="00B901E3">
        <w:tc>
          <w:tcPr>
            <w:tcW w:w="709" w:type="dxa"/>
            <w:vMerge/>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rPr>
                <w:rFonts w:cstheme="majorHAnsi"/>
                <w:color w:val="000000" w:themeColor="text1"/>
              </w:rPr>
            </w:pP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2019</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 BE</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ZQM/ZKM MAPL</w:t>
            </w:r>
            <w:r w:rsidRPr="001640C4">
              <w:rPr>
                <w:rFonts w:cstheme="majorHAnsi"/>
                <w:color w:val="000000" w:themeColor="text1"/>
              </w:rPr>
              <w:br/>
              <w:t>Projekti i AT te BE-së</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cstheme="majorHAnsi"/>
                <w:color w:val="000000" w:themeColor="text1"/>
              </w:rPr>
              <w:t xml:space="preserve">3 Video spote në platformën online të zhvilluara dhe të transmetuara në </w:t>
            </w:r>
            <w:r w:rsidRPr="001640C4">
              <w:rPr>
                <w:rFonts w:cstheme="majorHAnsi"/>
                <w:color w:val="000000" w:themeColor="text1"/>
              </w:rPr>
              <w:lastRenderedPageBreak/>
              <w:t>TV dhe radio stacionet më të mëdha, si dhe përmes rrjeteve sociale</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lastRenderedPageBreak/>
              <w:t xml:space="preserve">Strategjia për rregullim </w:t>
            </w:r>
            <w:r w:rsidRPr="001640C4">
              <w:rPr>
                <w:rFonts w:cstheme="majorHAnsi"/>
                <w:color w:val="000000" w:themeColor="text1"/>
              </w:rPr>
              <w:lastRenderedPageBreak/>
              <w:t>me të mirë 2.0</w:t>
            </w:r>
          </w:p>
        </w:tc>
      </w:tr>
      <w:tr w:rsidR="00DC4E77" w:rsidRPr="001640C4" w:rsidTr="00B901E3">
        <w:tc>
          <w:tcPr>
            <w:tcW w:w="709" w:type="dxa"/>
            <w:vMerge/>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2019</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 BE</w:t>
            </w:r>
          </w:p>
        </w:tc>
        <w:tc>
          <w:tcPr>
            <w:tcW w:w="1276" w:type="dxa"/>
            <w:gridSpan w:val="2"/>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ZQM/ZKM</w:t>
            </w: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Dizajnimi, shtypja dhe shpërndarja  e fletushkave për platformën online</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Strategjia për rregullim me të mirë 2.0</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rPr>
                <w:rFonts w:eastAsia="Times New Roman" w:cstheme="majorHAnsi"/>
                <w:b/>
                <w:i/>
                <w:sz w:val="20"/>
                <w:szCs w:val="20"/>
                <w:lang w:eastAsia="sq-AL"/>
              </w:rPr>
            </w:pPr>
            <w:r w:rsidRPr="001640C4">
              <w:rPr>
                <w:rFonts w:eastAsia="Times New Roman" w:cstheme="majorHAnsi"/>
                <w:b/>
                <w:i/>
                <w:sz w:val="20"/>
                <w:szCs w:val="20"/>
                <w:lang w:eastAsia="sq-AL"/>
              </w:rPr>
              <w:t>Buxheti i përgjithshëm për Objektivin Specifik 1.2:</w:t>
            </w:r>
          </w:p>
          <w:p w:rsidR="00DC4E77" w:rsidRPr="001640C4" w:rsidRDefault="00DC4E77" w:rsidP="00DC4E77">
            <w:pPr>
              <w:spacing w:before="120" w:after="120"/>
              <w:rPr>
                <w:rFonts w:eastAsia="Times New Roman" w:cstheme="majorHAnsi"/>
                <w:sz w:val="20"/>
                <w:szCs w:val="20"/>
                <w:lang w:eastAsia="sq-AL"/>
              </w:rPr>
            </w:pP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4,000</w:t>
            </w:r>
          </w:p>
        </w:tc>
        <w:tc>
          <w:tcPr>
            <w:tcW w:w="850"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4,500</w:t>
            </w:r>
          </w:p>
        </w:tc>
        <w:tc>
          <w:tcPr>
            <w:tcW w:w="1134"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2,000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4,000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4,500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D9D9D9"/>
            <w:vAlign w:val="center"/>
          </w:tcPr>
          <w:p w:rsidR="00DC4E77" w:rsidRPr="001640C4" w:rsidRDefault="00DC4E77" w:rsidP="00DC4E77">
            <w:pPr>
              <w:pStyle w:val="Heading3"/>
              <w:rPr>
                <w:rFonts w:eastAsia="Times New Roman" w:cstheme="majorHAnsi"/>
                <w:b w:val="0"/>
                <w:sz w:val="20"/>
                <w:szCs w:val="20"/>
                <w:lang w:eastAsia="sq-AL"/>
              </w:rPr>
            </w:pPr>
            <w:bookmarkStart w:id="44" w:name="_Toc536000973"/>
            <w:r w:rsidRPr="001640C4">
              <w:rPr>
                <w:rFonts w:eastAsia="Times New Roman" w:cstheme="majorHAnsi"/>
                <w:i w:val="0"/>
                <w:color w:val="000000" w:themeColor="text1"/>
                <w:sz w:val="22"/>
                <w:szCs w:val="20"/>
                <w:lang w:eastAsia="sq-AL"/>
              </w:rPr>
              <w:t>1.3</w:t>
            </w:r>
            <w:bookmarkEnd w:id="44"/>
          </w:p>
        </w:tc>
        <w:tc>
          <w:tcPr>
            <w:tcW w:w="13608" w:type="dxa"/>
            <w:gridSpan w:val="10"/>
            <w:shd w:val="clear" w:color="auto" w:fill="D9D9D9"/>
            <w:vAlign w:val="center"/>
          </w:tcPr>
          <w:p w:rsidR="00DC4E77" w:rsidRPr="001640C4" w:rsidRDefault="00DC4E77" w:rsidP="00DC4E77">
            <w:pPr>
              <w:pStyle w:val="Heading3"/>
              <w:rPr>
                <w:rFonts w:cstheme="majorHAnsi"/>
                <w:i w:val="0"/>
                <w:color w:val="000000" w:themeColor="text1"/>
                <w:sz w:val="28"/>
                <w:szCs w:val="22"/>
              </w:rPr>
            </w:pPr>
            <w:bookmarkStart w:id="45" w:name="_Toc535484366"/>
            <w:r w:rsidRPr="001640C4">
              <w:rPr>
                <w:rFonts w:eastAsia="Times New Roman" w:cstheme="majorHAnsi"/>
                <w:i w:val="0"/>
                <w:color w:val="000000" w:themeColor="text1"/>
                <w:szCs w:val="20"/>
                <w:lang w:eastAsia="sq-AL"/>
              </w:rPr>
              <w:br/>
            </w:r>
            <w:bookmarkStart w:id="46" w:name="_Toc536000974"/>
            <w:r w:rsidRPr="001640C4">
              <w:rPr>
                <w:rFonts w:eastAsia="Times New Roman" w:cstheme="majorHAnsi"/>
                <w:i w:val="0"/>
                <w:color w:val="000000" w:themeColor="text1"/>
                <w:szCs w:val="20"/>
                <w:lang w:eastAsia="sq-AL"/>
              </w:rPr>
              <w:t>Objektivi specifik:</w:t>
            </w:r>
            <w:r w:rsidRPr="001640C4">
              <w:rPr>
                <w:rFonts w:cstheme="majorHAnsi"/>
                <w:i w:val="0"/>
                <w:color w:val="000000" w:themeColor="text1"/>
              </w:rPr>
              <w:t xml:space="preserve"> </w:t>
            </w:r>
            <w:r w:rsidRPr="001640C4">
              <w:rPr>
                <w:rFonts w:eastAsia="Times New Roman" w:cstheme="majorHAnsi"/>
                <w:i w:val="0"/>
                <w:color w:val="000000" w:themeColor="text1"/>
                <w:szCs w:val="20"/>
                <w:lang w:eastAsia="sq-AL"/>
              </w:rPr>
              <w:t>Përmirësimi i kapaciteteve të OSHC-ve për të kontribuuar në procesin e konsultimeve publike</w:t>
            </w:r>
            <w:bookmarkEnd w:id="45"/>
            <w:bookmarkEnd w:id="46"/>
            <w:r w:rsidRPr="001640C4">
              <w:rPr>
                <w:rFonts w:cstheme="majorHAnsi"/>
                <w:i w:val="0"/>
                <w:color w:val="000000" w:themeColor="text1"/>
                <w:sz w:val="28"/>
                <w:szCs w:val="22"/>
              </w:rPr>
              <w:tab/>
            </w:r>
          </w:p>
          <w:p w:rsidR="00DC4E77" w:rsidRPr="001640C4" w:rsidRDefault="00DC4E77" w:rsidP="00DC4E77">
            <w:pPr>
              <w:rPr>
                <w:rFonts w:eastAsia="Times New Roman" w:cstheme="majorHAnsi"/>
                <w:sz w:val="28"/>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jc w:val="left"/>
              <w:rPr>
                <w:rFonts w:cstheme="majorHAnsi"/>
                <w:color w:val="000000" w:themeColor="text1"/>
              </w:rPr>
            </w:pPr>
            <w:r w:rsidRPr="001640C4">
              <w:rPr>
                <w:rFonts w:eastAsia="Times New Roman" w:cstheme="majorHAnsi"/>
                <w:b/>
                <w:sz w:val="20"/>
                <w:szCs w:val="20"/>
                <w:lang w:eastAsia="sq-AL"/>
              </w:rPr>
              <w:t xml:space="preserve">Treguesi: </w:t>
            </w:r>
            <w:r w:rsidRPr="00AC3322">
              <w:rPr>
                <w:rFonts w:eastAsia="Times New Roman" w:cstheme="majorHAnsi"/>
                <w:sz w:val="20"/>
                <w:szCs w:val="20"/>
                <w:lang w:eastAsia="sq-AL"/>
              </w:rPr>
              <w:t xml:space="preserve">Numri i OSHC-ve të trajnuara në procesin e politikbërjes dhe përdorimin e Rregullores dhe Platformës Online </w:t>
            </w:r>
          </w:p>
        </w:tc>
        <w:tc>
          <w:tcPr>
            <w:tcW w:w="2127"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1</w:t>
            </w:r>
            <w:r w:rsidR="00AC3322">
              <w:rPr>
                <w:rFonts w:cstheme="majorHAnsi"/>
                <w:color w:val="000000" w:themeColor="text1"/>
              </w:rPr>
              <w:t>00</w:t>
            </w:r>
            <w:r w:rsidRPr="001640C4">
              <w:rPr>
                <w:rFonts w:cstheme="majorHAnsi"/>
                <w:color w:val="000000" w:themeColor="text1"/>
              </w:rPr>
              <w:t xml:space="preserve"> OSHC</w:t>
            </w:r>
          </w:p>
        </w:tc>
        <w:tc>
          <w:tcPr>
            <w:tcW w:w="1984"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2</w:t>
            </w:r>
            <w:r w:rsidR="00AC3322">
              <w:rPr>
                <w:rFonts w:cstheme="majorHAnsi"/>
                <w:color w:val="000000" w:themeColor="text1"/>
              </w:rPr>
              <w:t>00</w:t>
            </w:r>
            <w:r w:rsidRPr="001640C4">
              <w:rPr>
                <w:rFonts w:cstheme="majorHAnsi"/>
                <w:color w:val="000000" w:themeColor="text1"/>
              </w:rPr>
              <w:t xml:space="preserve"> OSHC </w:t>
            </w:r>
          </w:p>
        </w:tc>
        <w:tc>
          <w:tcPr>
            <w:tcW w:w="1134" w:type="dxa"/>
            <w:shd w:val="clear" w:color="auto" w:fill="auto"/>
            <w:vAlign w:val="center"/>
          </w:tcPr>
          <w:p w:rsidR="00DC4E77" w:rsidRPr="001640C4" w:rsidRDefault="00AC3322" w:rsidP="00DC4E77">
            <w:pPr>
              <w:rPr>
                <w:rFonts w:cstheme="majorHAnsi"/>
                <w:color w:val="000000" w:themeColor="text1"/>
              </w:rPr>
            </w:pPr>
            <w:r>
              <w:rPr>
                <w:rFonts w:cstheme="majorHAnsi"/>
                <w:color w:val="000000" w:themeColor="text1"/>
              </w:rPr>
              <w:t>3</w:t>
            </w:r>
            <w:r w:rsidR="00DC4E77" w:rsidRPr="001640C4">
              <w:rPr>
                <w:rFonts w:cstheme="majorHAnsi"/>
                <w:color w:val="000000" w:themeColor="text1"/>
              </w:rPr>
              <w:t xml:space="preserve">00 OSHC </w:t>
            </w:r>
          </w:p>
        </w:tc>
        <w:tc>
          <w:tcPr>
            <w:tcW w:w="4536" w:type="dxa"/>
            <w:gridSpan w:val="4"/>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Përmirësimi i njohurive të OSHC-ve në ciklin e hartimit të politikave, rritja e aftësive të tyre për përdorimin e platformës online dhe për dhënien e kontributit në procesin e konsultimit publik</w:t>
            </w:r>
          </w:p>
        </w:tc>
      </w:tr>
      <w:tr w:rsidR="00DC4E77" w:rsidRPr="001640C4" w:rsidTr="00B901E3">
        <w:tc>
          <w:tcPr>
            <w:tcW w:w="709"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Nr.</w:t>
            </w:r>
          </w:p>
        </w:tc>
        <w:tc>
          <w:tcPr>
            <w:tcW w:w="3827"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Veprimi </w:t>
            </w:r>
          </w:p>
        </w:tc>
        <w:tc>
          <w:tcPr>
            <w:tcW w:w="1161" w:type="dxa"/>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Buxheti</w:t>
            </w:r>
          </w:p>
          <w:p w:rsidR="00DC4E77" w:rsidRPr="001640C4" w:rsidRDefault="00DC4E77" w:rsidP="00DC4E77">
            <w:pPr>
              <w:jc w:val="center"/>
              <w:rPr>
                <w:rFonts w:eastAsia="Times New Roman" w:cstheme="majorHAnsi"/>
                <w:b/>
                <w:sz w:val="20"/>
                <w:szCs w:val="20"/>
                <w:lang w:eastAsia="sq-AL"/>
              </w:rPr>
            </w:pPr>
          </w:p>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2019</w:t>
            </w:r>
            <w:r w:rsidRPr="001640C4">
              <w:rPr>
                <w:rFonts w:eastAsia="Times New Roman" w:cstheme="majorHAnsi"/>
                <w:b/>
                <w:sz w:val="20"/>
                <w:szCs w:val="20"/>
                <w:lang w:eastAsia="sq-AL"/>
              </w:rPr>
              <w:tab/>
              <w:t>2020</w:t>
            </w:r>
            <w:r w:rsidRPr="001640C4">
              <w:rPr>
                <w:rFonts w:eastAsia="Times New Roman" w:cstheme="majorHAnsi"/>
                <w:b/>
                <w:sz w:val="20"/>
                <w:szCs w:val="20"/>
                <w:lang w:eastAsia="sq-AL"/>
              </w:rPr>
              <w:tab/>
              <w:t>2021</w:t>
            </w:r>
          </w:p>
        </w:tc>
        <w:tc>
          <w:tcPr>
            <w:tcW w:w="1134" w:type="dxa"/>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Institucioni udhëheqës dhe mbështetës</w:t>
            </w:r>
          </w:p>
        </w:tc>
        <w:tc>
          <w:tcPr>
            <w:tcW w:w="193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1.3.1</w:t>
            </w:r>
          </w:p>
        </w:tc>
        <w:tc>
          <w:tcPr>
            <w:tcW w:w="3827" w:type="dxa"/>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color w:val="000000" w:themeColor="text1"/>
              </w:rPr>
              <w:t>Mbajtja e sesioneve informuese për rritjen e kapaciteteve të OSHC-ve për të kontribuuar në procesin e konsultimeve publike</w:t>
            </w:r>
            <w:r w:rsidRPr="001640C4">
              <w:rPr>
                <w:rFonts w:cstheme="majorHAnsi"/>
                <w:color w:val="000000" w:themeColor="text1"/>
              </w:rPr>
              <w:tab/>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ZQM/ZKMDonatorët</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ZQM/ZKM/</w:t>
            </w:r>
          </w:p>
          <w:p w:rsidR="00DC4E77" w:rsidRPr="001640C4" w:rsidRDefault="00DC4E77" w:rsidP="00DC4E77">
            <w:pPr>
              <w:rPr>
                <w:rFonts w:cstheme="majorHAnsi"/>
                <w:color w:val="000000" w:themeColor="text1"/>
              </w:rPr>
            </w:pPr>
            <w:r w:rsidRPr="001640C4">
              <w:rPr>
                <w:rFonts w:cstheme="majorHAnsi"/>
                <w:color w:val="000000" w:themeColor="text1"/>
              </w:rPr>
              <w:t>IKAP</w:t>
            </w:r>
          </w:p>
          <w:p w:rsidR="00DC4E77" w:rsidRPr="001640C4" w:rsidRDefault="00DC4E77" w:rsidP="00DC4E77">
            <w:pPr>
              <w:rPr>
                <w:rFonts w:cstheme="majorHAnsi"/>
                <w:color w:val="000000" w:themeColor="text1"/>
              </w:rPr>
            </w:pPr>
            <w:r w:rsidRPr="001640C4">
              <w:rPr>
                <w:rFonts w:cstheme="majorHAnsi"/>
                <w:color w:val="000000" w:themeColor="text1"/>
              </w:rPr>
              <w:t>Projekti i AT</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cstheme="majorHAnsi"/>
                <w:color w:val="000000" w:themeColor="text1"/>
              </w:rPr>
              <w:t xml:space="preserve">Sesionet informuese të  mbajtura për 5 qendra rajonale (Peje, Prishtinë, </w:t>
            </w:r>
            <w:r w:rsidRPr="001640C4">
              <w:rPr>
                <w:rFonts w:cstheme="majorHAnsi"/>
                <w:color w:val="000000" w:themeColor="text1"/>
              </w:rPr>
              <w:lastRenderedPageBreak/>
              <w:t>Gjilan, Mitrovicë, Prizren)</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lastRenderedPageBreak/>
              <w:t>Strategjia për rregullim me të mirë 2.0</w:t>
            </w:r>
          </w:p>
        </w:tc>
      </w:tr>
      <w:tr w:rsidR="00DC4E77" w:rsidRPr="001640C4" w:rsidTr="00B901E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b/>
                <w:i/>
                <w:sz w:val="20"/>
                <w:szCs w:val="20"/>
                <w:lang w:eastAsia="sq-AL"/>
              </w:rPr>
            </w:pPr>
          </w:p>
          <w:p w:rsidR="00DC4E77" w:rsidRPr="001640C4" w:rsidRDefault="00DC4E77" w:rsidP="00DC4E77">
            <w:pPr>
              <w:spacing w:before="120" w:after="120"/>
              <w:jc w:val="right"/>
              <w:rPr>
                <w:rFonts w:eastAsia="Times New Roman" w:cstheme="majorHAnsi"/>
                <w:b/>
                <w:i/>
                <w:sz w:val="20"/>
                <w:szCs w:val="20"/>
                <w:lang w:eastAsia="sq-AL"/>
              </w:rPr>
            </w:pPr>
            <w:r w:rsidRPr="001640C4">
              <w:rPr>
                <w:rFonts w:eastAsia="Times New Roman" w:cstheme="majorHAnsi"/>
                <w:b/>
                <w:i/>
                <w:sz w:val="20"/>
                <w:szCs w:val="20"/>
                <w:lang w:eastAsia="sq-AL"/>
              </w:rPr>
              <w:t>Buxheti i përgjithshëm për Objektivin Specifik I.3:</w:t>
            </w:r>
          </w:p>
          <w:p w:rsidR="00DC4E77" w:rsidRPr="001640C4" w:rsidRDefault="00DC4E77" w:rsidP="00DC4E77">
            <w:pPr>
              <w:spacing w:before="120" w:after="120"/>
              <w:jc w:val="right"/>
              <w:rPr>
                <w:rFonts w:eastAsia="Times New Roman" w:cstheme="majorHAnsi"/>
                <w:b/>
                <w:i/>
                <w:sz w:val="20"/>
                <w:szCs w:val="20"/>
                <w:lang w:eastAsia="sq-AL"/>
              </w:rPr>
            </w:pPr>
          </w:p>
        </w:tc>
        <w:tc>
          <w:tcPr>
            <w:tcW w:w="1161" w:type="dxa"/>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b/>
                <w:sz w:val="20"/>
                <w:szCs w:val="20"/>
                <w:lang w:eastAsia="sq-AL"/>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2,000</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b/>
                <w:sz w:val="20"/>
                <w:szCs w:val="20"/>
                <w:lang w:eastAsia="sq-A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b/>
                <w:sz w:val="20"/>
                <w:szCs w:val="20"/>
                <w:lang w:eastAsia="sq-AL"/>
              </w:rPr>
            </w:pPr>
          </w:p>
        </w:tc>
        <w:tc>
          <w:tcPr>
            <w:tcW w:w="1930" w:type="dxa"/>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b/>
                <w:sz w:val="20"/>
                <w:szCs w:val="20"/>
                <w:lang w:eastAsia="sq-AL"/>
              </w:rPr>
            </w:pPr>
          </w:p>
        </w:tc>
        <w:tc>
          <w:tcPr>
            <w:tcW w:w="1330" w:type="dxa"/>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b/>
                <w:sz w:val="20"/>
                <w:szCs w:val="20"/>
                <w:lang w:eastAsia="sq-AL"/>
              </w:rPr>
            </w:pPr>
          </w:p>
        </w:tc>
      </w:tr>
      <w:tr w:rsidR="00DC4E77" w:rsidRPr="001640C4" w:rsidTr="00B901E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rPr>
          <w:trHeight w:val="4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tcBorders>
              <w:top w:val="single" w:sz="4" w:space="0" w:color="auto"/>
              <w:left w:val="single" w:sz="4" w:space="0" w:color="auto"/>
              <w:bottom w:val="single" w:sz="4" w:space="0" w:color="auto"/>
              <w:right w:val="single" w:sz="4" w:space="0" w:color="auto"/>
            </w:tcBorders>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Nr.</w:t>
            </w:r>
          </w:p>
        </w:tc>
        <w:tc>
          <w:tcPr>
            <w:tcW w:w="3827" w:type="dxa"/>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Objektivat strategjike dhe specifike, treguesit dhe veprimet</w:t>
            </w:r>
          </w:p>
        </w:tc>
        <w:tc>
          <w:tcPr>
            <w:tcW w:w="2127" w:type="dxa"/>
            <w:gridSpan w:val="2"/>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Vlera bazë </w:t>
            </w:r>
          </w:p>
        </w:tc>
        <w:tc>
          <w:tcPr>
            <w:tcW w:w="1984" w:type="dxa"/>
            <w:gridSpan w:val="2"/>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Objektivi i përkohshëm [2019]</w:t>
            </w:r>
          </w:p>
        </w:tc>
        <w:tc>
          <w:tcPr>
            <w:tcW w:w="1134" w:type="dxa"/>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Synimi i vitit të fundit [2021] </w:t>
            </w:r>
          </w:p>
        </w:tc>
        <w:tc>
          <w:tcPr>
            <w:tcW w:w="4536" w:type="dxa"/>
            <w:gridSpan w:val="4"/>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Rezultati </w:t>
            </w:r>
          </w:p>
        </w:tc>
      </w:tr>
      <w:tr w:rsidR="00DC4E77" w:rsidRPr="001640C4" w:rsidTr="00B901E3">
        <w:tc>
          <w:tcPr>
            <w:tcW w:w="709" w:type="dxa"/>
            <w:shd w:val="clear" w:color="auto" w:fill="BFBFBF"/>
            <w:vAlign w:val="center"/>
          </w:tcPr>
          <w:p w:rsidR="00DC4E77" w:rsidRPr="001640C4" w:rsidRDefault="00DC4E77" w:rsidP="00DC4E77">
            <w:pPr>
              <w:rPr>
                <w:rFonts w:eastAsia="Times New Roman" w:cstheme="majorHAnsi"/>
                <w:b/>
                <w:sz w:val="28"/>
                <w:szCs w:val="20"/>
                <w:lang w:eastAsia="sq-AL"/>
              </w:rPr>
            </w:pPr>
            <w:r w:rsidRPr="001640C4">
              <w:rPr>
                <w:rFonts w:eastAsia="Times New Roman" w:cstheme="majorHAnsi"/>
                <w:b/>
                <w:sz w:val="28"/>
                <w:szCs w:val="20"/>
                <w:lang w:eastAsia="sq-AL"/>
              </w:rPr>
              <w:t>2</w:t>
            </w:r>
          </w:p>
        </w:tc>
        <w:tc>
          <w:tcPr>
            <w:tcW w:w="13608" w:type="dxa"/>
            <w:gridSpan w:val="10"/>
            <w:tcBorders>
              <w:right w:val="single" w:sz="4" w:space="0" w:color="auto"/>
            </w:tcBorders>
            <w:shd w:val="clear" w:color="auto" w:fill="BFBFBF"/>
            <w:vAlign w:val="center"/>
          </w:tcPr>
          <w:p w:rsidR="00DC4E77" w:rsidRPr="001640C4" w:rsidRDefault="00DC4E77" w:rsidP="00DC4E77">
            <w:pPr>
              <w:rPr>
                <w:rFonts w:eastAsia="Times New Roman" w:cstheme="majorHAnsi"/>
                <w:b/>
                <w:sz w:val="28"/>
                <w:szCs w:val="20"/>
                <w:lang w:eastAsia="sq-AL"/>
              </w:rPr>
            </w:pPr>
            <w:r w:rsidRPr="001640C4">
              <w:rPr>
                <w:rFonts w:eastAsia="Times New Roman" w:cstheme="majorHAnsi"/>
                <w:b/>
                <w:sz w:val="28"/>
                <w:szCs w:val="20"/>
                <w:lang w:eastAsia="sq-AL"/>
              </w:rPr>
              <w:t>Objektivi strategjik: Përmirësimi i kornizës institucionale dhe ligjore për financim në zhvillimin e qëndrueshëm të programeve dhe projekteve të OShC-ve me interes publik</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rPr>
                <w:rFonts w:eastAsia="Times New Roman" w:cstheme="majorHAnsi"/>
                <w:b/>
                <w:sz w:val="20"/>
                <w:szCs w:val="20"/>
                <w:lang w:eastAsia="sq-AL"/>
              </w:rPr>
            </w:pPr>
          </w:p>
          <w:p w:rsidR="00DC4E77" w:rsidRPr="001640C4" w:rsidRDefault="00DC4E77" w:rsidP="00DC4E77">
            <w:pPr>
              <w:rPr>
                <w:rFonts w:eastAsia="Times New Roman" w:cstheme="majorHAnsi"/>
                <w:sz w:val="20"/>
                <w:szCs w:val="20"/>
                <w:lang w:eastAsia="sq-AL"/>
              </w:rPr>
            </w:pPr>
            <w:r w:rsidRPr="001640C4">
              <w:rPr>
                <w:rFonts w:eastAsia="Times New Roman" w:cstheme="majorHAnsi"/>
                <w:b/>
                <w:sz w:val="20"/>
                <w:szCs w:val="20"/>
                <w:lang w:eastAsia="sq-AL"/>
              </w:rPr>
              <w:t>Treguesi:</w:t>
            </w:r>
            <w:r w:rsidRPr="001640C4">
              <w:rPr>
                <w:rFonts w:eastAsia="Times New Roman" w:cstheme="majorHAnsi"/>
                <w:sz w:val="20"/>
                <w:szCs w:val="20"/>
                <w:lang w:eastAsia="sq-AL"/>
              </w:rPr>
              <w:t xml:space="preserve"> Përqindja e institucioneve që kryejnë thirrje publike për financimin e OSHC-ve në përputhje me Rregulloren për kriteret, standardet dhe procedurat e financimit publik të OSHC-ve</w:t>
            </w:r>
          </w:p>
          <w:p w:rsidR="00DC4E77" w:rsidRPr="001640C4" w:rsidRDefault="00DC4E77" w:rsidP="00DC4E77">
            <w:pPr>
              <w:rPr>
                <w:rFonts w:eastAsia="Times New Roman" w:cstheme="majorHAnsi"/>
                <w:sz w:val="20"/>
                <w:szCs w:val="20"/>
                <w:lang w:eastAsia="sq-AL"/>
              </w:rPr>
            </w:pPr>
          </w:p>
        </w:tc>
        <w:tc>
          <w:tcPr>
            <w:tcW w:w="2127" w:type="dxa"/>
            <w:gridSpan w:val="2"/>
            <w:shd w:val="clear" w:color="auto" w:fill="auto"/>
            <w:vAlign w:val="center"/>
          </w:tcPr>
          <w:p w:rsidR="00DC4E77" w:rsidRPr="001640C4" w:rsidRDefault="00DC4E77" w:rsidP="00DC4E77">
            <w:pPr>
              <w:rPr>
                <w:rFonts w:cs="Calibri Light"/>
                <w:color w:val="000000"/>
              </w:rPr>
            </w:pPr>
            <w:r w:rsidRPr="001640C4">
              <w:rPr>
                <w:rFonts w:cs="Calibri Light"/>
                <w:color w:val="000000"/>
              </w:rPr>
              <w:t>50%</w:t>
            </w:r>
          </w:p>
        </w:tc>
        <w:tc>
          <w:tcPr>
            <w:tcW w:w="1984" w:type="dxa"/>
            <w:gridSpan w:val="2"/>
            <w:shd w:val="clear" w:color="auto" w:fill="auto"/>
            <w:vAlign w:val="center"/>
          </w:tcPr>
          <w:p w:rsidR="00DC4E77" w:rsidRPr="001640C4" w:rsidRDefault="00DC4E77" w:rsidP="00DC4E77">
            <w:pPr>
              <w:rPr>
                <w:rFonts w:cs="Calibri Light"/>
                <w:color w:val="000000"/>
              </w:rPr>
            </w:pPr>
            <w:r w:rsidRPr="001640C4">
              <w:rPr>
                <w:rFonts w:cs="Calibri Light"/>
                <w:color w:val="000000"/>
              </w:rPr>
              <w:t>75%</w:t>
            </w:r>
          </w:p>
        </w:tc>
        <w:tc>
          <w:tcPr>
            <w:tcW w:w="1134" w:type="dxa"/>
            <w:shd w:val="clear" w:color="auto" w:fill="auto"/>
            <w:vAlign w:val="center"/>
          </w:tcPr>
          <w:p w:rsidR="00DC4E77" w:rsidRPr="001640C4" w:rsidRDefault="00DC4E77" w:rsidP="00DC4E77">
            <w:pPr>
              <w:rPr>
                <w:rFonts w:cs="Calibri Light"/>
                <w:color w:val="000000"/>
              </w:rPr>
            </w:pPr>
            <w:r w:rsidRPr="001640C4">
              <w:rPr>
                <w:rFonts w:cs="Calibri Light"/>
                <w:color w:val="000000"/>
              </w:rPr>
              <w:t>100%</w:t>
            </w:r>
          </w:p>
        </w:tc>
        <w:tc>
          <w:tcPr>
            <w:tcW w:w="4536" w:type="dxa"/>
            <w:gridSpan w:val="4"/>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Thirrjet publike në përputhje të plotë me Rregulloren mbi kriteret, standardet dhe procedurat për financimin publik të OSHC-ve.</w:t>
            </w:r>
          </w:p>
        </w:tc>
      </w:tr>
      <w:tr w:rsidR="00DC4E77" w:rsidRPr="001640C4" w:rsidTr="00B901E3">
        <w:tc>
          <w:tcPr>
            <w:tcW w:w="709" w:type="dxa"/>
            <w:shd w:val="clear" w:color="auto" w:fill="D9D9D9"/>
            <w:vAlign w:val="center"/>
          </w:tcPr>
          <w:p w:rsidR="00DC4E77" w:rsidRPr="001640C4" w:rsidRDefault="00DC4E77" w:rsidP="00DC4E77">
            <w:pPr>
              <w:spacing w:before="120" w:after="120"/>
              <w:jc w:val="center"/>
              <w:rPr>
                <w:rFonts w:eastAsia="Times New Roman" w:cstheme="majorHAnsi"/>
                <w:b/>
                <w:sz w:val="24"/>
                <w:szCs w:val="20"/>
                <w:lang w:eastAsia="sq-AL"/>
              </w:rPr>
            </w:pPr>
          </w:p>
          <w:p w:rsidR="00DC4E77" w:rsidRPr="001640C4" w:rsidRDefault="00DC4E77" w:rsidP="00DC4E77">
            <w:pPr>
              <w:spacing w:before="120" w:after="120"/>
              <w:jc w:val="center"/>
              <w:rPr>
                <w:rFonts w:eastAsia="Times New Roman" w:cstheme="majorHAnsi"/>
                <w:b/>
                <w:sz w:val="24"/>
                <w:szCs w:val="20"/>
                <w:lang w:eastAsia="sq-AL"/>
              </w:rPr>
            </w:pPr>
            <w:r w:rsidRPr="001640C4">
              <w:rPr>
                <w:rFonts w:eastAsia="Times New Roman" w:cstheme="majorHAnsi"/>
                <w:b/>
                <w:sz w:val="24"/>
                <w:szCs w:val="20"/>
                <w:lang w:eastAsia="sq-AL"/>
              </w:rPr>
              <w:t>2.1</w:t>
            </w:r>
          </w:p>
          <w:p w:rsidR="00DC4E77" w:rsidRPr="001640C4" w:rsidRDefault="00DC4E77" w:rsidP="00DC4E77">
            <w:pPr>
              <w:spacing w:before="120" w:after="120"/>
              <w:jc w:val="center"/>
              <w:rPr>
                <w:rFonts w:eastAsia="Times New Roman" w:cstheme="majorHAnsi"/>
                <w:b/>
                <w:sz w:val="24"/>
                <w:szCs w:val="20"/>
                <w:lang w:eastAsia="sq-AL"/>
              </w:rPr>
            </w:pPr>
          </w:p>
        </w:tc>
        <w:tc>
          <w:tcPr>
            <w:tcW w:w="13608" w:type="dxa"/>
            <w:gridSpan w:val="10"/>
            <w:shd w:val="clear" w:color="auto" w:fill="D9D9D9"/>
            <w:vAlign w:val="center"/>
          </w:tcPr>
          <w:p w:rsidR="00DC4E77" w:rsidRPr="001640C4" w:rsidRDefault="00DC4E77" w:rsidP="00DC4E77">
            <w:pPr>
              <w:spacing w:before="100" w:beforeAutospacing="1" w:after="100" w:afterAutospacing="1"/>
              <w:rPr>
                <w:rFonts w:eastAsia="Times New Roman" w:cstheme="majorHAnsi"/>
                <w:b/>
                <w:sz w:val="24"/>
                <w:szCs w:val="20"/>
                <w:lang w:eastAsia="sq-AL"/>
              </w:rPr>
            </w:pPr>
          </w:p>
          <w:p w:rsidR="00DC4E77" w:rsidRPr="001640C4" w:rsidRDefault="00DC4E77" w:rsidP="00DC4E77">
            <w:pPr>
              <w:spacing w:before="100" w:beforeAutospacing="1" w:after="100" w:afterAutospacing="1"/>
              <w:rPr>
                <w:rFonts w:eastAsia="Times New Roman" w:cstheme="majorHAnsi"/>
                <w:b/>
                <w:sz w:val="24"/>
                <w:szCs w:val="20"/>
                <w:lang w:eastAsia="sq-AL"/>
              </w:rPr>
            </w:pPr>
            <w:r w:rsidRPr="001640C4">
              <w:rPr>
                <w:rFonts w:eastAsia="Times New Roman" w:cstheme="majorHAnsi"/>
                <w:b/>
                <w:sz w:val="24"/>
                <w:szCs w:val="20"/>
                <w:lang w:eastAsia="sq-AL"/>
              </w:rPr>
              <w:t>Objektivi specifik:</w:t>
            </w:r>
            <w:r w:rsidRPr="001640C4">
              <w:rPr>
                <w:rFonts w:eastAsia="Times New Roman" w:cstheme="majorHAnsi"/>
                <w:sz w:val="24"/>
                <w:szCs w:val="20"/>
                <w:lang w:eastAsia="sq-AL"/>
              </w:rPr>
              <w:t xml:space="preserve"> </w:t>
            </w:r>
            <w:r w:rsidRPr="001640C4">
              <w:rPr>
                <w:rFonts w:eastAsia="Times New Roman" w:cstheme="majorHAnsi"/>
                <w:b/>
                <w:sz w:val="24"/>
                <w:szCs w:val="20"/>
                <w:lang w:eastAsia="sq-AL"/>
              </w:rPr>
              <w:t>Fuqizimi i kapaciteteve të Ministrive dhe Komunave për zbatimin e standardeve për financimin publik të OSHC-ve</w:t>
            </w:r>
          </w:p>
          <w:p w:rsidR="00DC4E77" w:rsidRPr="001640C4" w:rsidRDefault="00DC4E77" w:rsidP="00DC4E77">
            <w:pPr>
              <w:spacing w:before="100" w:beforeAutospacing="1" w:after="100" w:afterAutospacing="1"/>
              <w:rPr>
                <w:rFonts w:eastAsia="Times New Roman" w:cstheme="majorHAnsi"/>
                <w:sz w:val="24"/>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rPr>
                <w:rFonts w:cstheme="majorHAnsi"/>
                <w:color w:val="000000" w:themeColor="text1"/>
              </w:rPr>
            </w:pPr>
            <w:r w:rsidRPr="001640C4">
              <w:rPr>
                <w:rFonts w:eastAsia="Times New Roman" w:cstheme="majorHAnsi"/>
                <w:b/>
                <w:sz w:val="20"/>
                <w:szCs w:val="20"/>
                <w:lang w:eastAsia="sq-AL"/>
              </w:rPr>
              <w:t xml:space="preserve">Treguesi: </w:t>
            </w:r>
            <w:r w:rsidRPr="001640C4">
              <w:rPr>
                <w:rFonts w:cstheme="majorHAnsi"/>
                <w:color w:val="000000" w:themeColor="text1"/>
              </w:rPr>
              <w:t>Numri i shërbyesve civil të trajnuar për kriteret, standardet dhe procedurat, e financimit publik të OSHC-ve</w:t>
            </w:r>
          </w:p>
          <w:p w:rsidR="00DC4E77" w:rsidRPr="001640C4" w:rsidRDefault="00DC4E77" w:rsidP="00DC4E77">
            <w:pPr>
              <w:rPr>
                <w:rFonts w:eastAsia="Times New Roman" w:cstheme="majorHAnsi"/>
                <w:sz w:val="20"/>
                <w:szCs w:val="20"/>
                <w:lang w:eastAsia="sq-AL"/>
              </w:rPr>
            </w:pPr>
          </w:p>
        </w:tc>
        <w:tc>
          <w:tcPr>
            <w:tcW w:w="2127"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 xml:space="preserve">70 shërbyes civil të trajnuar </w:t>
            </w:r>
          </w:p>
          <w:p w:rsidR="00DC4E77" w:rsidRPr="001640C4" w:rsidRDefault="00DC4E77" w:rsidP="00DC4E77">
            <w:pPr>
              <w:jc w:val="center"/>
              <w:rPr>
                <w:rFonts w:eastAsia="Times New Roman" w:cstheme="majorHAnsi"/>
                <w:sz w:val="20"/>
                <w:szCs w:val="20"/>
                <w:lang w:eastAsia="sq-AL"/>
              </w:rPr>
            </w:pPr>
          </w:p>
        </w:tc>
        <w:tc>
          <w:tcPr>
            <w:tcW w:w="1984"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 xml:space="preserve">150 shërbyes civil të trajnuar </w:t>
            </w:r>
          </w:p>
          <w:p w:rsidR="00DC4E77" w:rsidRPr="001640C4" w:rsidRDefault="00DC4E77" w:rsidP="00DC4E77">
            <w:pPr>
              <w:jc w:val="cente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cstheme="majorHAnsi"/>
                <w:color w:val="000000" w:themeColor="text1"/>
              </w:rPr>
              <w:t>300 shërbyes civil të trajnuar</w:t>
            </w:r>
          </w:p>
        </w:tc>
        <w:tc>
          <w:tcPr>
            <w:tcW w:w="4536" w:type="dxa"/>
            <w:gridSpan w:val="4"/>
            <w:shd w:val="clear" w:color="auto" w:fill="auto"/>
            <w:vAlign w:val="center"/>
          </w:tcPr>
          <w:p w:rsidR="00DC4E77" w:rsidRPr="001640C4" w:rsidRDefault="00DC4E77" w:rsidP="00DC4E77">
            <w:pPr>
              <w:jc w:val="left"/>
              <w:rPr>
                <w:rFonts w:cstheme="majorHAnsi"/>
                <w:color w:val="000000" w:themeColor="text1"/>
              </w:rPr>
            </w:pPr>
            <w:r w:rsidRPr="001640C4">
              <w:rPr>
                <w:rFonts w:eastAsia="Times New Roman" w:cstheme="majorHAnsi"/>
                <w:sz w:val="20"/>
                <w:szCs w:val="20"/>
                <w:lang w:eastAsia="sq-AL"/>
              </w:rPr>
              <w:t xml:space="preserve">Kapacitetet e shërbyesve civil për </w:t>
            </w:r>
            <w:r w:rsidRPr="001640C4">
              <w:rPr>
                <w:rFonts w:cstheme="majorHAnsi"/>
                <w:color w:val="000000" w:themeColor="text1"/>
              </w:rPr>
              <w:t>kriteret, standardet dhe procedurat e financimit publik të OSHC-ve të përmiresuara</w:t>
            </w:r>
          </w:p>
          <w:p w:rsidR="00DC4E77" w:rsidRPr="001640C4" w:rsidRDefault="00DC4E77" w:rsidP="00DC4E77">
            <w:pPr>
              <w:jc w:val="center"/>
              <w:rPr>
                <w:rFonts w:eastAsia="Times New Roman" w:cstheme="majorHAnsi"/>
                <w:sz w:val="20"/>
                <w:szCs w:val="20"/>
                <w:lang w:eastAsia="sq-AL"/>
              </w:rPr>
            </w:pPr>
          </w:p>
        </w:tc>
      </w:tr>
      <w:tr w:rsidR="00DC4E77" w:rsidRPr="001640C4" w:rsidTr="00B901E3">
        <w:tc>
          <w:tcPr>
            <w:tcW w:w="709"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Nr.</w:t>
            </w:r>
          </w:p>
        </w:tc>
        <w:tc>
          <w:tcPr>
            <w:tcW w:w="3827"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Veprimi </w:t>
            </w:r>
          </w:p>
        </w:tc>
        <w:tc>
          <w:tcPr>
            <w:tcW w:w="1161"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Buxheti</w:t>
            </w:r>
          </w:p>
        </w:tc>
        <w:tc>
          <w:tcPr>
            <w:tcW w:w="1134"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Institucioni udhëheqës dhe mbështetës</w:t>
            </w:r>
          </w:p>
        </w:tc>
        <w:tc>
          <w:tcPr>
            <w:tcW w:w="19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DC4E77" w:rsidRPr="001640C4" w:rsidTr="00B901E3">
        <w:tc>
          <w:tcPr>
            <w:tcW w:w="709"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61"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2019</w:t>
            </w:r>
          </w:p>
        </w:tc>
        <w:tc>
          <w:tcPr>
            <w:tcW w:w="85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2020</w:t>
            </w:r>
          </w:p>
        </w:tc>
        <w:tc>
          <w:tcPr>
            <w:tcW w:w="1134"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2021</w:t>
            </w:r>
          </w:p>
        </w:tc>
        <w:tc>
          <w:tcPr>
            <w:tcW w:w="1134"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vMerge/>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2.1.1</w:t>
            </w:r>
          </w:p>
        </w:tc>
        <w:tc>
          <w:tcPr>
            <w:tcW w:w="3827" w:type="dxa"/>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r w:rsidRPr="001640C4">
              <w:rPr>
                <w:rFonts w:cstheme="majorHAnsi"/>
                <w:sz w:val="20"/>
                <w:szCs w:val="20"/>
              </w:rPr>
              <w:t>Zhvillimi i programit trajnues  për ministritë dhe komunat për zbatimin e Rregullores dhe për vlerësimin e propozimeve të projekteve dhe programeve të OSHC-ve për ministritë dhe komunat</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2019-2021</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4000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4000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4000</w:t>
            </w:r>
          </w:p>
        </w:tc>
        <w:tc>
          <w:tcPr>
            <w:tcW w:w="1134"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Buxheti i Kosovës</w:t>
            </w:r>
          </w:p>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Donatorët</w:t>
            </w:r>
          </w:p>
        </w:tc>
        <w:tc>
          <w:tcPr>
            <w:tcW w:w="1276" w:type="dxa"/>
            <w:gridSpan w:val="2"/>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MF</w:t>
            </w:r>
            <w:r w:rsidRPr="001640C4">
              <w:rPr>
                <w:rFonts w:eastAsia="Times New Roman" w:cstheme="majorHAnsi"/>
                <w:sz w:val="20"/>
                <w:szCs w:val="20"/>
                <w:lang w:eastAsia="sq-AL"/>
              </w:rPr>
              <w:br/>
            </w:r>
            <w:r w:rsidRPr="001640C4">
              <w:rPr>
                <w:rFonts w:cstheme="majorHAnsi"/>
                <w:color w:val="000000" w:themeColor="text1"/>
              </w:rPr>
              <w:t>ZQM/ZKM, MAPL,</w:t>
            </w:r>
            <w:r w:rsidRPr="001640C4">
              <w:rPr>
                <w:rFonts w:cstheme="majorHAnsi"/>
                <w:color w:val="000000" w:themeColor="text1"/>
              </w:rPr>
              <w:br/>
              <w:t>Projekti i AT</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cstheme="majorHAnsi"/>
                <w:color w:val="000000" w:themeColor="text1"/>
              </w:rPr>
              <w:t>Programi i trajnimit i zhvilluar dhe realizimi i sesioneve trajnuese dhe punëtorive për vlerësimin e projekteve / programeve të organizatave të shoqërisë civile ne nivel qendror dhe lokal</w:t>
            </w:r>
          </w:p>
        </w:tc>
        <w:tc>
          <w:tcPr>
            <w:tcW w:w="1330" w:type="dxa"/>
            <w:shd w:val="clear" w:color="auto" w:fill="auto"/>
            <w:vAlign w:val="center"/>
          </w:tcPr>
          <w:p w:rsidR="00DC4E77" w:rsidRPr="001640C4" w:rsidRDefault="00DC4E77" w:rsidP="00DC4E77">
            <w:pPr>
              <w:jc w:val="left"/>
              <w:rPr>
                <w:rFonts w:cstheme="majorHAnsi"/>
                <w:color w:val="000000" w:themeColor="text1"/>
              </w:rPr>
            </w:pPr>
            <w:r w:rsidRPr="001640C4">
              <w:rPr>
                <w:rFonts w:cstheme="majorHAnsi"/>
                <w:color w:val="000000" w:themeColor="text1"/>
              </w:rPr>
              <w:t>Programi i trajnimit për shërbyesit civil mbi rregulloren për financim publik të OJQ-ve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2.1.2</w:t>
            </w:r>
          </w:p>
        </w:tc>
        <w:tc>
          <w:tcPr>
            <w:tcW w:w="3827" w:type="dxa"/>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r w:rsidRPr="001640C4">
              <w:rPr>
                <w:rFonts w:cstheme="majorHAnsi"/>
                <w:sz w:val="20"/>
                <w:szCs w:val="20"/>
              </w:rPr>
              <w:t>Ofrimi i trajnimeve në vend të punës dhe mentorimi (duke përfshirë edhe rolin mbikëqyrës)për ministritë dhe komunat në përgatitjen dhe zbatimin e thirrjeve për financim publik të projekteve dhe programeve të OSHC-ve</w:t>
            </w:r>
          </w:p>
        </w:tc>
        <w:tc>
          <w:tcPr>
            <w:tcW w:w="1161"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2019</w:t>
            </w:r>
            <w:r w:rsidRPr="001640C4">
              <w:rPr>
                <w:rFonts w:eastAsia="Times New Roman" w:cstheme="majorHAnsi"/>
                <w:sz w:val="20"/>
                <w:szCs w:val="20"/>
                <w:lang w:eastAsia="sq-AL"/>
              </w:rPr>
              <w:br/>
              <w:t>2021</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1500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1500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 BE</w:t>
            </w:r>
          </w:p>
        </w:tc>
        <w:tc>
          <w:tcPr>
            <w:tcW w:w="1276" w:type="dxa"/>
            <w:gridSpan w:val="2"/>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MF</w:t>
            </w:r>
          </w:p>
          <w:p w:rsidR="00DC4E77" w:rsidRPr="001640C4" w:rsidRDefault="00DC4E77" w:rsidP="00DC4E77">
            <w:pPr>
              <w:rPr>
                <w:rFonts w:cstheme="majorHAnsi"/>
                <w:color w:val="000000" w:themeColor="text1"/>
              </w:rPr>
            </w:pPr>
            <w:r w:rsidRPr="001640C4">
              <w:rPr>
                <w:rFonts w:cstheme="majorHAnsi"/>
                <w:color w:val="000000" w:themeColor="text1"/>
              </w:rPr>
              <w:t>ZQM/ZKM MAPL</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Projekti i AT</w:t>
            </w: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 xml:space="preserve">Realizimi i </w:t>
            </w:r>
            <w:r w:rsidRPr="001640C4">
              <w:rPr>
                <w:rFonts w:cstheme="majorHAnsi"/>
                <w:color w:val="000000" w:themeColor="text1"/>
              </w:rPr>
              <w:t>trajnime në vendin e punës dhe mentorim i dhënë për së paku 9 ministri dhe 15 komuna</w:t>
            </w:r>
          </w:p>
        </w:tc>
        <w:tc>
          <w:tcPr>
            <w:tcW w:w="1330" w:type="dxa"/>
            <w:shd w:val="clear" w:color="auto" w:fill="auto"/>
            <w:vAlign w:val="center"/>
          </w:tcPr>
          <w:p w:rsidR="00DC4E77" w:rsidRPr="001640C4" w:rsidRDefault="00DC4E77" w:rsidP="00DC4E77">
            <w:pPr>
              <w:jc w:val="left"/>
              <w:rPr>
                <w:rFonts w:cstheme="majorHAnsi"/>
                <w:color w:val="000000" w:themeColor="text1"/>
              </w:rPr>
            </w:pPr>
            <w:r w:rsidRPr="001640C4">
              <w:rPr>
                <w:rFonts w:cstheme="majorHAnsi"/>
                <w:color w:val="000000" w:themeColor="text1"/>
              </w:rPr>
              <w:t>Programi i trajnimit për shërbyesit civil mbi rregulloren për financim publik të OJQ-ve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2.1.3</w:t>
            </w:r>
          </w:p>
        </w:tc>
        <w:tc>
          <w:tcPr>
            <w:tcW w:w="3827" w:type="dxa"/>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r w:rsidRPr="001640C4">
              <w:rPr>
                <w:rFonts w:cstheme="majorHAnsi"/>
                <w:color w:val="000000" w:themeColor="text1"/>
              </w:rPr>
              <w:t>Organizimi i takimeve bashkërenduese për ZKM, ministritë dhe komunat për planifikimin e përbashkët dhe raportimin për financimin publik të OSHC-ve</w:t>
            </w:r>
          </w:p>
        </w:tc>
        <w:tc>
          <w:tcPr>
            <w:tcW w:w="1161"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2019</w:t>
            </w:r>
          </w:p>
        </w:tc>
        <w:tc>
          <w:tcPr>
            <w:tcW w:w="966" w:type="dxa"/>
            <w:shd w:val="clear" w:color="auto" w:fill="auto"/>
            <w:vAlign w:val="center"/>
          </w:tcPr>
          <w:p w:rsidR="00DC4E77" w:rsidRPr="001640C4" w:rsidRDefault="00DC4E77" w:rsidP="00DC4E77">
            <w:pPr>
              <w:rPr>
                <w:rFonts w:cstheme="majorHAnsi"/>
              </w:rPr>
            </w:pPr>
            <w:r w:rsidRPr="001640C4">
              <w:rPr>
                <w:rFonts w:cstheme="majorHAnsi"/>
                <w:color w:val="000000" w:themeColor="text1"/>
              </w:rPr>
              <w:t>Kosto administrative</w:t>
            </w:r>
          </w:p>
        </w:tc>
        <w:tc>
          <w:tcPr>
            <w:tcW w:w="850" w:type="dxa"/>
            <w:shd w:val="clear" w:color="auto" w:fill="auto"/>
            <w:vAlign w:val="center"/>
          </w:tcPr>
          <w:p w:rsidR="00DC4E77" w:rsidRPr="001640C4" w:rsidRDefault="00DC4E77" w:rsidP="00DC4E77">
            <w:pPr>
              <w:rPr>
                <w:rFonts w:cstheme="majorHAnsi"/>
              </w:rPr>
            </w:pPr>
            <w:r w:rsidRPr="001640C4">
              <w:rPr>
                <w:rFonts w:cstheme="majorHAnsi"/>
                <w:color w:val="000000" w:themeColor="text1"/>
              </w:rPr>
              <w:t>Kosto administrative</w:t>
            </w:r>
          </w:p>
        </w:tc>
        <w:tc>
          <w:tcPr>
            <w:tcW w:w="1134" w:type="dxa"/>
            <w:shd w:val="clear" w:color="auto" w:fill="auto"/>
            <w:vAlign w:val="center"/>
          </w:tcPr>
          <w:p w:rsidR="00DC4E77" w:rsidRPr="001640C4" w:rsidRDefault="00DC4E77" w:rsidP="00DC4E77">
            <w:pPr>
              <w:rPr>
                <w:rFonts w:cstheme="majorHAnsi"/>
              </w:rPr>
            </w:pPr>
            <w:r w:rsidRPr="001640C4">
              <w:rPr>
                <w:rFonts w:cstheme="majorHAnsi"/>
                <w:color w:val="000000" w:themeColor="text1"/>
              </w:rPr>
              <w:t>Kosto administrative</w:t>
            </w:r>
          </w:p>
        </w:tc>
        <w:tc>
          <w:tcPr>
            <w:tcW w:w="1134" w:type="dxa"/>
            <w:shd w:val="clear" w:color="auto" w:fill="auto"/>
            <w:vAlign w:val="center"/>
          </w:tcPr>
          <w:p w:rsidR="00DC4E77" w:rsidRPr="001640C4" w:rsidRDefault="00DC4E77" w:rsidP="00DC4E77">
            <w:pPr>
              <w:rPr>
                <w:rFonts w:cstheme="majorHAnsi"/>
                <w:sz w:val="20"/>
                <w:szCs w:val="20"/>
              </w:rPr>
            </w:pP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ZQM/ZKM</w:t>
            </w:r>
          </w:p>
          <w:p w:rsidR="00DC4E77" w:rsidRPr="001640C4" w:rsidRDefault="00DC4E77" w:rsidP="00DC4E77">
            <w:pPr>
              <w:rPr>
                <w:rFonts w:cstheme="majorHAnsi"/>
                <w:color w:val="000000" w:themeColor="text1"/>
              </w:rPr>
            </w:pPr>
            <w:r w:rsidRPr="001640C4">
              <w:rPr>
                <w:rFonts w:cstheme="majorHAnsi"/>
                <w:color w:val="000000" w:themeColor="text1"/>
              </w:rPr>
              <w:t>MF, MAPL</w:t>
            </w:r>
          </w:p>
          <w:p w:rsidR="00DC4E77" w:rsidRPr="001640C4" w:rsidRDefault="00DC4E77" w:rsidP="00DC4E77">
            <w:pPr>
              <w:rPr>
                <w:rFonts w:cstheme="majorHAnsi"/>
                <w:color w:val="000000" w:themeColor="text1"/>
              </w:rPr>
            </w:pPr>
            <w:r w:rsidRPr="001640C4">
              <w:rPr>
                <w:rFonts w:cstheme="majorHAnsi"/>
                <w:color w:val="000000" w:themeColor="text1"/>
              </w:rPr>
              <w:t>Projekti i AT</w:t>
            </w:r>
          </w:p>
          <w:p w:rsidR="00DC4E77" w:rsidRPr="001640C4" w:rsidRDefault="00DC4E77" w:rsidP="00DC4E77">
            <w:pPr>
              <w:rPr>
                <w:rFonts w:cstheme="majorHAnsi"/>
                <w:sz w:val="20"/>
                <w:szCs w:val="20"/>
              </w:rPr>
            </w:pP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Takime koordinuese të mbajtura, se paku 5 sosh.</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Regullorja MF 04/2017 mbi kriteret, standardet dhe procedurat e financimit publik të OJQ-ve.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lastRenderedPageBreak/>
              <w:t>2.1.4</w:t>
            </w:r>
          </w:p>
        </w:tc>
        <w:tc>
          <w:tcPr>
            <w:tcW w:w="3827" w:type="dxa"/>
            <w:shd w:val="clear" w:color="auto" w:fill="auto"/>
            <w:vAlign w:val="center"/>
          </w:tcPr>
          <w:p w:rsidR="00DC4E77" w:rsidRPr="001640C4" w:rsidRDefault="00DC4E77" w:rsidP="00DC4E77">
            <w:pPr>
              <w:spacing w:before="120" w:after="120"/>
              <w:rPr>
                <w:rFonts w:cstheme="majorHAnsi"/>
                <w:color w:val="000000" w:themeColor="text1"/>
              </w:rPr>
            </w:pPr>
            <w:r w:rsidRPr="001640C4">
              <w:rPr>
                <w:rFonts w:cstheme="majorHAnsi"/>
                <w:color w:val="000000" w:themeColor="text1"/>
              </w:rPr>
              <w:t>Publikimi i raporteve vjetore për financimin publik të OSHC-ve në Kosovë</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2019</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2021</w:t>
            </w:r>
          </w:p>
        </w:tc>
        <w:tc>
          <w:tcPr>
            <w:tcW w:w="966"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1000</w:t>
            </w:r>
          </w:p>
        </w:tc>
        <w:tc>
          <w:tcPr>
            <w:tcW w:w="85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1000</w:t>
            </w:r>
          </w:p>
        </w:tc>
        <w:tc>
          <w:tcPr>
            <w:tcW w:w="1134"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1000</w:t>
            </w:r>
          </w:p>
        </w:tc>
        <w:tc>
          <w:tcPr>
            <w:tcW w:w="1134" w:type="dxa"/>
            <w:shd w:val="clear" w:color="auto" w:fill="auto"/>
            <w:vAlign w:val="center"/>
          </w:tcPr>
          <w:p w:rsidR="00DC4E77" w:rsidRPr="001640C4" w:rsidRDefault="00DC4E77" w:rsidP="00DC4E77">
            <w:pPr>
              <w:rPr>
                <w:rFonts w:cstheme="majorHAnsi"/>
                <w:sz w:val="20"/>
                <w:szCs w:val="20"/>
              </w:rPr>
            </w:pPr>
            <w:r w:rsidRPr="001640C4">
              <w:rPr>
                <w:rFonts w:cstheme="majorHAnsi"/>
                <w:color w:val="000000" w:themeColor="text1"/>
              </w:rPr>
              <w:t>Buxheti i Kosovës, BE, donatorët</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ZQM/ZKM</w:t>
            </w:r>
          </w:p>
          <w:p w:rsidR="00DC4E77" w:rsidRPr="001640C4" w:rsidRDefault="00DC4E77" w:rsidP="00DC4E77">
            <w:pPr>
              <w:rPr>
                <w:rFonts w:cstheme="majorHAnsi"/>
                <w:color w:val="000000" w:themeColor="text1"/>
              </w:rPr>
            </w:pPr>
            <w:r w:rsidRPr="001640C4">
              <w:rPr>
                <w:rFonts w:cstheme="majorHAnsi"/>
                <w:color w:val="000000" w:themeColor="text1"/>
              </w:rPr>
              <w:t>MF, MAPL,</w:t>
            </w:r>
            <w:r w:rsidRPr="001640C4">
              <w:rPr>
                <w:rFonts w:cstheme="majorHAnsi"/>
                <w:color w:val="000000" w:themeColor="text1"/>
              </w:rPr>
              <w:br/>
              <w:t>Projekti i AT</w:t>
            </w:r>
          </w:p>
        </w:tc>
        <w:tc>
          <w:tcPr>
            <w:tcW w:w="193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Raportet vjetore të publikuara në kohë dhe në përputhje me kërkesat e Rregullores</w:t>
            </w:r>
          </w:p>
        </w:tc>
        <w:tc>
          <w:tcPr>
            <w:tcW w:w="133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Regullorja MF 04/2017 mbi kriteret, standardet dhe procedurat e financimit publik të OJQ-ve.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2.1.5</w:t>
            </w:r>
          </w:p>
        </w:tc>
        <w:tc>
          <w:tcPr>
            <w:tcW w:w="3827" w:type="dxa"/>
            <w:shd w:val="clear" w:color="auto" w:fill="auto"/>
            <w:vAlign w:val="center"/>
          </w:tcPr>
          <w:p w:rsidR="00DC4E77" w:rsidRPr="001640C4" w:rsidRDefault="00DC4E77" w:rsidP="00DC4E77">
            <w:pPr>
              <w:spacing w:before="120" w:after="120"/>
              <w:rPr>
                <w:rFonts w:cstheme="majorHAnsi"/>
                <w:color w:val="000000" w:themeColor="text1"/>
              </w:rPr>
            </w:pPr>
            <w:r w:rsidRPr="001640C4">
              <w:rPr>
                <w:rFonts w:cstheme="majorHAnsi"/>
                <w:color w:val="000000" w:themeColor="text1"/>
              </w:rPr>
              <w:t>Përmirësimi i bazës qendrore të të dhënave për financimin publik të OSHC-ve në Kosovë.</w:t>
            </w:r>
          </w:p>
          <w:p w:rsidR="00DC4E77" w:rsidRPr="001640C4" w:rsidRDefault="00683A01" w:rsidP="00DC4E77">
            <w:pPr>
              <w:spacing w:before="120" w:after="120"/>
              <w:rPr>
                <w:rFonts w:cstheme="majorHAnsi"/>
                <w:color w:val="000000" w:themeColor="text1"/>
              </w:rPr>
            </w:pPr>
            <w:hyperlink r:id="rId20" w:history="1">
              <w:r w:rsidR="00DC4E77" w:rsidRPr="001640C4">
                <w:rPr>
                  <w:rStyle w:val="Hyperlink"/>
                  <w:rFonts w:cstheme="majorHAnsi"/>
                </w:rPr>
                <w:t xml:space="preserve">ojqfinancime.rks-gov.net </w:t>
              </w:r>
            </w:hyperlink>
            <w:r w:rsidR="00DC4E77" w:rsidRPr="001640C4">
              <w:rPr>
                <w:rFonts w:cstheme="majorHAnsi"/>
                <w:color w:val="000000" w:themeColor="text1"/>
              </w:rPr>
              <w:t xml:space="preserve"> </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DC4E77" w:rsidRPr="001640C4" w:rsidRDefault="00DC4E77" w:rsidP="00DC4E77">
            <w:pPr>
              <w:rPr>
                <w:rFonts w:cstheme="majorHAnsi"/>
                <w:color w:val="000000" w:themeColor="text1"/>
              </w:rPr>
            </w:pPr>
          </w:p>
          <w:p w:rsidR="00DC4E77" w:rsidRPr="001640C4" w:rsidRDefault="00DC4E77" w:rsidP="00DC4E77">
            <w:pPr>
              <w:rPr>
                <w:rFonts w:cstheme="majorHAnsi"/>
                <w:color w:val="000000" w:themeColor="text1"/>
              </w:rPr>
            </w:pPr>
            <w:r w:rsidRPr="001640C4">
              <w:rPr>
                <w:rFonts w:cstheme="majorHAnsi"/>
                <w:color w:val="000000" w:themeColor="text1"/>
              </w:rPr>
              <w:t>2500</w:t>
            </w:r>
          </w:p>
        </w:tc>
        <w:tc>
          <w:tcPr>
            <w:tcW w:w="850" w:type="dxa"/>
            <w:shd w:val="clear" w:color="auto" w:fill="auto"/>
            <w:vAlign w:val="center"/>
          </w:tcPr>
          <w:p w:rsidR="00DC4E77" w:rsidRPr="001640C4" w:rsidRDefault="00DC4E77" w:rsidP="00DC4E77">
            <w:pPr>
              <w:rPr>
                <w:rFonts w:cstheme="majorHAnsi"/>
                <w:color w:val="000000" w:themeColor="text1"/>
              </w:rPr>
            </w:pPr>
          </w:p>
          <w:p w:rsidR="00DC4E77" w:rsidRPr="001640C4" w:rsidRDefault="00DC4E77" w:rsidP="00DC4E77">
            <w:pPr>
              <w:rPr>
                <w:rFonts w:cstheme="majorHAnsi"/>
                <w:color w:val="000000" w:themeColor="text1"/>
              </w:rPr>
            </w:pPr>
          </w:p>
        </w:tc>
        <w:tc>
          <w:tcPr>
            <w:tcW w:w="1134" w:type="dxa"/>
            <w:shd w:val="clear" w:color="auto" w:fill="auto"/>
            <w:vAlign w:val="center"/>
          </w:tcPr>
          <w:p w:rsidR="00DC4E77" w:rsidRPr="001640C4" w:rsidRDefault="00DC4E77" w:rsidP="00DC4E77">
            <w:pPr>
              <w:rPr>
                <w:rFonts w:cstheme="majorHAnsi"/>
                <w:color w:val="000000" w:themeColor="text1"/>
              </w:rPr>
            </w:pPr>
          </w:p>
        </w:tc>
        <w:tc>
          <w:tcPr>
            <w:tcW w:w="1134" w:type="dxa"/>
            <w:shd w:val="clear" w:color="auto" w:fill="auto"/>
            <w:vAlign w:val="center"/>
          </w:tcPr>
          <w:p w:rsidR="00DC4E77" w:rsidRPr="001640C4" w:rsidRDefault="00DC4E77" w:rsidP="00DC4E77">
            <w:pPr>
              <w:rPr>
                <w:rFonts w:cstheme="majorHAnsi"/>
                <w:sz w:val="20"/>
                <w:szCs w:val="20"/>
              </w:rPr>
            </w:pPr>
            <w:r w:rsidRPr="001640C4">
              <w:rPr>
                <w:rFonts w:cstheme="majorHAnsi"/>
                <w:color w:val="000000" w:themeColor="text1"/>
              </w:rPr>
              <w:t>Buxheti i Kosovës, BE, donatorët</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MF, ZQM/ZKM</w:t>
            </w:r>
          </w:p>
          <w:p w:rsidR="00DC4E77" w:rsidRPr="001640C4" w:rsidRDefault="00DC4E77" w:rsidP="00DC4E77">
            <w:pPr>
              <w:rPr>
                <w:rFonts w:cstheme="majorHAnsi"/>
                <w:color w:val="000000" w:themeColor="text1"/>
              </w:rPr>
            </w:pPr>
            <w:r w:rsidRPr="001640C4">
              <w:rPr>
                <w:rFonts w:cstheme="majorHAnsi"/>
                <w:color w:val="000000" w:themeColor="text1"/>
              </w:rPr>
              <w:t>MAP,</w:t>
            </w:r>
            <w:r w:rsidRPr="001640C4">
              <w:rPr>
                <w:rFonts w:cstheme="majorHAnsi"/>
                <w:color w:val="000000" w:themeColor="text1"/>
              </w:rPr>
              <w:br/>
              <w:t>Projekti i AT</w:t>
            </w:r>
          </w:p>
        </w:tc>
        <w:tc>
          <w:tcPr>
            <w:tcW w:w="193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Platforma qendrore online e të dhënave për financimin publik të OSHC-ve e zhvilluar dhe tërësisht funksionale</w:t>
            </w:r>
          </w:p>
        </w:tc>
        <w:tc>
          <w:tcPr>
            <w:tcW w:w="133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Regullorja MF 04/2017 mbi kriteret, standardet dhe procedurat e financimit publik të OJQ-ve.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2.1.6</w:t>
            </w:r>
          </w:p>
        </w:tc>
        <w:tc>
          <w:tcPr>
            <w:tcW w:w="3827" w:type="dxa"/>
            <w:shd w:val="clear" w:color="auto" w:fill="auto"/>
            <w:vAlign w:val="center"/>
          </w:tcPr>
          <w:p w:rsidR="00DC4E77" w:rsidRPr="001640C4" w:rsidRDefault="00DC4E77" w:rsidP="00DC4E77">
            <w:pPr>
              <w:spacing w:before="120" w:after="120"/>
              <w:rPr>
                <w:rFonts w:cstheme="majorHAnsi"/>
                <w:color w:val="000000" w:themeColor="text1"/>
              </w:rPr>
            </w:pPr>
            <w:r w:rsidRPr="001640C4">
              <w:rPr>
                <w:rFonts w:cstheme="majorHAnsi"/>
                <w:color w:val="000000" w:themeColor="text1"/>
              </w:rPr>
              <w:t>Rishikimi i Manualit për zbatimin e Rregullores për Financimin Publik të OSHC-ve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DC4E77" w:rsidRPr="001640C4" w:rsidRDefault="00DC4E77" w:rsidP="00DC4E77">
            <w:pPr>
              <w:rPr>
                <w:rFonts w:cstheme="majorHAnsi"/>
                <w:color w:val="000000" w:themeColor="text1"/>
              </w:rPr>
            </w:pPr>
          </w:p>
        </w:tc>
        <w:tc>
          <w:tcPr>
            <w:tcW w:w="850" w:type="dxa"/>
            <w:shd w:val="clear" w:color="auto" w:fill="auto"/>
            <w:vAlign w:val="center"/>
          </w:tcPr>
          <w:p w:rsidR="00DC4E77" w:rsidRPr="001640C4" w:rsidRDefault="00DC4E77" w:rsidP="00DC4E77">
            <w:pPr>
              <w:rPr>
                <w:rFonts w:cstheme="majorHAnsi"/>
                <w:color w:val="000000" w:themeColor="text1"/>
              </w:rPr>
            </w:pPr>
          </w:p>
          <w:p w:rsidR="00DC4E77" w:rsidRPr="001640C4" w:rsidRDefault="00DC4E77" w:rsidP="00DC4E77">
            <w:pPr>
              <w:rPr>
                <w:rFonts w:cstheme="majorHAnsi"/>
                <w:color w:val="000000" w:themeColor="text1"/>
              </w:rPr>
            </w:pPr>
            <w:r w:rsidRPr="001640C4">
              <w:rPr>
                <w:rFonts w:cstheme="majorHAnsi"/>
                <w:color w:val="000000" w:themeColor="text1"/>
              </w:rPr>
              <w:t>1500</w:t>
            </w:r>
          </w:p>
        </w:tc>
        <w:tc>
          <w:tcPr>
            <w:tcW w:w="1134" w:type="dxa"/>
            <w:shd w:val="clear" w:color="auto" w:fill="auto"/>
            <w:vAlign w:val="center"/>
          </w:tcPr>
          <w:p w:rsidR="00DC4E77" w:rsidRPr="001640C4" w:rsidRDefault="00DC4E77" w:rsidP="00DC4E77">
            <w:pPr>
              <w:rPr>
                <w:rFonts w:cstheme="majorHAnsi"/>
                <w:color w:val="000000" w:themeColor="text1"/>
              </w:rPr>
            </w:pPr>
          </w:p>
        </w:tc>
        <w:tc>
          <w:tcPr>
            <w:tcW w:w="1134" w:type="dxa"/>
            <w:shd w:val="clear" w:color="auto" w:fill="auto"/>
            <w:vAlign w:val="center"/>
          </w:tcPr>
          <w:p w:rsidR="00DC4E77" w:rsidRPr="001640C4" w:rsidRDefault="00DC4E77" w:rsidP="00DC4E77">
            <w:pPr>
              <w:rPr>
                <w:rFonts w:cstheme="majorHAnsi"/>
                <w:sz w:val="20"/>
                <w:szCs w:val="20"/>
              </w:rPr>
            </w:pPr>
            <w:r w:rsidRPr="001640C4">
              <w:rPr>
                <w:rFonts w:cstheme="majorHAnsi"/>
                <w:color w:val="000000" w:themeColor="text1"/>
              </w:rPr>
              <w:t>Buxheti i Kosovës, BE, donatorët</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MF</w:t>
            </w:r>
            <w:r w:rsidRPr="001640C4">
              <w:rPr>
                <w:rFonts w:cstheme="majorHAnsi"/>
                <w:color w:val="000000" w:themeColor="text1"/>
              </w:rPr>
              <w:br/>
              <w:t>ZQM/ZKM, Projekti i AT</w:t>
            </w:r>
          </w:p>
        </w:tc>
        <w:tc>
          <w:tcPr>
            <w:tcW w:w="1930" w:type="dxa"/>
            <w:shd w:val="clear" w:color="auto" w:fill="auto"/>
            <w:vAlign w:val="center"/>
          </w:tcPr>
          <w:p w:rsidR="00DC4E77" w:rsidRPr="001640C4" w:rsidRDefault="00DC4E77" w:rsidP="00DC4E77">
            <w:pPr>
              <w:jc w:val="left"/>
              <w:rPr>
                <w:rFonts w:cstheme="majorHAnsi"/>
                <w:color w:val="000000" w:themeColor="text1"/>
              </w:rPr>
            </w:pPr>
            <w:r w:rsidRPr="001640C4">
              <w:rPr>
                <w:rFonts w:cstheme="majorHAnsi"/>
                <w:color w:val="000000" w:themeColor="text1"/>
              </w:rPr>
              <w:t xml:space="preserve">Manuali i rishikuar dhe përditësuar në bazë të komenteve dhe te gjetjeve  nga Ministritë, Komunat dhe OSHC-të </w:t>
            </w:r>
          </w:p>
          <w:p w:rsidR="00DC4E77" w:rsidRPr="001640C4" w:rsidRDefault="00DC4E77" w:rsidP="00DC4E77">
            <w:pPr>
              <w:rPr>
                <w:rFonts w:cstheme="majorHAnsi"/>
                <w:color w:val="000000" w:themeColor="text1"/>
              </w:rPr>
            </w:pPr>
          </w:p>
        </w:tc>
        <w:tc>
          <w:tcPr>
            <w:tcW w:w="133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Raporti për zbatimin e Regullores MF 04/2017 mbi kriteret, standardet dhe procedurat e financimit publik të OJQ-ve.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2.1.7</w:t>
            </w:r>
          </w:p>
        </w:tc>
        <w:tc>
          <w:tcPr>
            <w:tcW w:w="3827"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Rritja e rolit mbikëqyrës të MF-së në zbatimin e Rregullores</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2019</w:t>
            </w:r>
          </w:p>
        </w:tc>
        <w:tc>
          <w:tcPr>
            <w:tcW w:w="966"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Kosto administrative</w:t>
            </w:r>
          </w:p>
        </w:tc>
        <w:tc>
          <w:tcPr>
            <w:tcW w:w="85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Kosto administrative</w:t>
            </w:r>
          </w:p>
        </w:tc>
        <w:tc>
          <w:tcPr>
            <w:tcW w:w="1134"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Kosto administrative</w:t>
            </w:r>
          </w:p>
        </w:tc>
        <w:tc>
          <w:tcPr>
            <w:tcW w:w="1134" w:type="dxa"/>
            <w:shd w:val="clear" w:color="auto" w:fill="auto"/>
            <w:vAlign w:val="center"/>
          </w:tcPr>
          <w:p w:rsidR="00DC4E77" w:rsidRPr="001640C4" w:rsidRDefault="00DC4E77" w:rsidP="00DC4E77">
            <w:pPr>
              <w:rPr>
                <w:rFonts w:cstheme="majorHAnsi"/>
                <w:sz w:val="20"/>
                <w:szCs w:val="20"/>
              </w:rPr>
            </w:pP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MF</w:t>
            </w:r>
          </w:p>
          <w:p w:rsidR="00DC4E77" w:rsidRPr="001640C4" w:rsidRDefault="00DC4E77" w:rsidP="00DC4E77">
            <w:pPr>
              <w:rPr>
                <w:rFonts w:cstheme="majorHAnsi"/>
                <w:color w:val="000000" w:themeColor="text1"/>
              </w:rPr>
            </w:pPr>
            <w:r w:rsidRPr="001640C4">
              <w:rPr>
                <w:rFonts w:cstheme="majorHAnsi"/>
                <w:color w:val="000000" w:themeColor="text1"/>
              </w:rPr>
              <w:t>ZKM</w:t>
            </w:r>
          </w:p>
          <w:p w:rsidR="00DC4E77" w:rsidRPr="001640C4" w:rsidRDefault="00DC4E77" w:rsidP="00DC4E77">
            <w:pPr>
              <w:rPr>
                <w:rFonts w:cstheme="majorHAnsi"/>
                <w:color w:val="000000" w:themeColor="text1"/>
              </w:rPr>
            </w:pPr>
            <w:r w:rsidRPr="001640C4">
              <w:rPr>
                <w:rFonts w:cstheme="majorHAnsi"/>
                <w:color w:val="000000" w:themeColor="text1"/>
              </w:rPr>
              <w:t>Projekti i AT</w:t>
            </w:r>
          </w:p>
        </w:tc>
        <w:tc>
          <w:tcPr>
            <w:tcW w:w="193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 xml:space="preserve">Letra qarkore e dërguar nga MF (Dep. E Buxhetit) për zbatimin e </w:t>
            </w:r>
            <w:r w:rsidRPr="001640C4">
              <w:rPr>
                <w:rFonts w:cstheme="majorHAnsi"/>
                <w:color w:val="000000" w:themeColor="text1"/>
              </w:rPr>
              <w:lastRenderedPageBreak/>
              <w:t>Rregullores për ministritë</w:t>
            </w:r>
          </w:p>
        </w:tc>
        <w:tc>
          <w:tcPr>
            <w:tcW w:w="133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lastRenderedPageBreak/>
              <w:t xml:space="preserve">Raporti për zbatimin e Regullores MF 04/2017 mbi kriteret, </w:t>
            </w:r>
            <w:r w:rsidRPr="001640C4">
              <w:rPr>
                <w:rFonts w:cstheme="majorHAnsi"/>
                <w:color w:val="000000" w:themeColor="text1"/>
              </w:rPr>
              <w:lastRenderedPageBreak/>
              <w:t>standardet dhe procedurat e financimit publik të OJQ-ve.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lastRenderedPageBreak/>
              <w:t>2.1.8</w:t>
            </w:r>
          </w:p>
        </w:tc>
        <w:tc>
          <w:tcPr>
            <w:tcW w:w="3827" w:type="dxa"/>
            <w:shd w:val="clear" w:color="auto" w:fill="auto"/>
            <w:vAlign w:val="center"/>
          </w:tcPr>
          <w:p w:rsidR="00DC4E77" w:rsidRPr="001640C4" w:rsidRDefault="00DC4E77" w:rsidP="00DC4E77">
            <w:pPr>
              <w:spacing w:before="120" w:after="120"/>
              <w:rPr>
                <w:rFonts w:cstheme="majorHAnsi"/>
                <w:color w:val="000000" w:themeColor="text1"/>
              </w:rPr>
            </w:pPr>
            <w:r w:rsidRPr="001640C4">
              <w:rPr>
                <w:rFonts w:cstheme="majorHAnsi"/>
                <w:color w:val="000000" w:themeColor="text1"/>
              </w:rPr>
              <w:t>Krijimi i bashkëpunimit dhe komunikimit ndërmjet OB dhe OSHC-ve lidhur me ciklin e financimit të OSHC-ve për financat publike (planifikimi, ekzekutimi dhe auditimi).</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DC4E77" w:rsidRPr="001640C4" w:rsidRDefault="00DC4E77" w:rsidP="00DC4E77">
            <w:pPr>
              <w:rPr>
                <w:rFonts w:cstheme="majorHAnsi"/>
                <w:color w:val="000000" w:themeColor="text1"/>
              </w:rPr>
            </w:pPr>
          </w:p>
        </w:tc>
        <w:tc>
          <w:tcPr>
            <w:tcW w:w="85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3000</w:t>
            </w:r>
          </w:p>
        </w:tc>
        <w:tc>
          <w:tcPr>
            <w:tcW w:w="1134"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3000</w:t>
            </w:r>
          </w:p>
        </w:tc>
        <w:tc>
          <w:tcPr>
            <w:tcW w:w="1134"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Buxheti i Kosovës,</w:t>
            </w:r>
          </w:p>
          <w:p w:rsidR="00DC4E77" w:rsidRPr="001640C4" w:rsidRDefault="00DC4E77" w:rsidP="00DC4E77">
            <w:pPr>
              <w:rPr>
                <w:rFonts w:cstheme="majorHAnsi"/>
                <w:color w:val="000000" w:themeColor="text1"/>
              </w:rPr>
            </w:pPr>
            <w:r w:rsidRPr="001640C4">
              <w:rPr>
                <w:rFonts w:cstheme="majorHAnsi"/>
                <w:color w:val="000000" w:themeColor="text1"/>
              </w:rPr>
              <w:t>Donatorët</w:t>
            </w:r>
          </w:p>
          <w:p w:rsidR="00DC4E77" w:rsidRPr="001640C4" w:rsidRDefault="00DC4E77" w:rsidP="00DC4E77">
            <w:pPr>
              <w:rPr>
                <w:rFonts w:cstheme="majorHAnsi"/>
                <w:sz w:val="20"/>
                <w:szCs w:val="20"/>
              </w:rPr>
            </w:pP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MF,</w:t>
            </w:r>
          </w:p>
          <w:p w:rsidR="00DC4E77" w:rsidRPr="001640C4" w:rsidRDefault="00DC4E77" w:rsidP="00DC4E77">
            <w:pPr>
              <w:rPr>
                <w:rFonts w:cstheme="majorHAnsi"/>
                <w:color w:val="000000" w:themeColor="text1"/>
              </w:rPr>
            </w:pPr>
            <w:r w:rsidRPr="001640C4">
              <w:rPr>
                <w:rFonts w:cstheme="majorHAnsi"/>
                <w:color w:val="000000" w:themeColor="text1"/>
              </w:rPr>
              <w:t>ZQM-ZKM</w:t>
            </w:r>
          </w:p>
          <w:p w:rsidR="00DC4E77" w:rsidRPr="001640C4" w:rsidRDefault="00DC4E77" w:rsidP="00DC4E77">
            <w:pPr>
              <w:rPr>
                <w:rFonts w:cstheme="majorHAnsi"/>
                <w:color w:val="000000" w:themeColor="text1"/>
              </w:rPr>
            </w:pPr>
            <w:r w:rsidRPr="001640C4">
              <w:rPr>
                <w:rFonts w:cstheme="majorHAnsi"/>
                <w:color w:val="000000" w:themeColor="text1"/>
              </w:rPr>
              <w:t>Ministritë relevante Komunat</w:t>
            </w:r>
          </w:p>
        </w:tc>
        <w:tc>
          <w:tcPr>
            <w:tcW w:w="193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Konsultimet publike mbi planin vjetor të thirrjeve publike nga niveli qendror dhe lokal për financimin e  OSHC-ve te realizuara duke përfshirë planifikimin, ekzekutimin dhe monitorimin.</w:t>
            </w:r>
          </w:p>
        </w:tc>
        <w:tc>
          <w:tcPr>
            <w:tcW w:w="133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Raporti për zbatimin e Regullores MF 04/2017 mbi kriteret, standardet dhe procedurat e financimit publik të OJQ-ve.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rPr>
                <w:rFonts w:eastAsia="Times New Roman" w:cstheme="majorHAnsi"/>
                <w:b/>
                <w:i/>
                <w:sz w:val="20"/>
                <w:szCs w:val="20"/>
                <w:lang w:eastAsia="sq-AL"/>
              </w:rPr>
            </w:pPr>
          </w:p>
          <w:p w:rsidR="00DC4E77" w:rsidRPr="001640C4" w:rsidRDefault="00DC4E77" w:rsidP="00DC4E77">
            <w:pPr>
              <w:spacing w:before="120" w:after="120"/>
              <w:rPr>
                <w:rFonts w:eastAsia="Times New Roman" w:cstheme="majorHAnsi"/>
                <w:b/>
                <w:i/>
                <w:sz w:val="20"/>
                <w:szCs w:val="20"/>
                <w:lang w:eastAsia="sq-AL"/>
              </w:rPr>
            </w:pPr>
            <w:r w:rsidRPr="001640C4">
              <w:rPr>
                <w:rFonts w:eastAsia="Times New Roman" w:cstheme="majorHAnsi"/>
                <w:b/>
                <w:i/>
                <w:sz w:val="20"/>
                <w:szCs w:val="20"/>
                <w:lang w:eastAsia="sq-AL"/>
              </w:rPr>
              <w:t>Buxheti i përgjithshëm për Objektivin Specifik 2.1:</w:t>
            </w:r>
          </w:p>
        </w:tc>
        <w:tc>
          <w:tcPr>
            <w:tcW w:w="1161" w:type="dxa"/>
            <w:shd w:val="clear" w:color="auto" w:fill="F2F2F2"/>
            <w:vAlign w:val="center"/>
          </w:tcPr>
          <w:p w:rsidR="00DC4E77" w:rsidRPr="001640C4" w:rsidRDefault="00DC4E77" w:rsidP="00DC4E77">
            <w:pPr>
              <w:rPr>
                <w:rFonts w:eastAsia="Times New Roman" w:cstheme="majorHAnsi"/>
                <w:b/>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cstheme="majorHAnsi"/>
                <w:b/>
                <w:sz w:val="20"/>
                <w:szCs w:val="20"/>
              </w:rPr>
              <w:t>9,500</w:t>
            </w:r>
          </w:p>
        </w:tc>
        <w:tc>
          <w:tcPr>
            <w:tcW w:w="850"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cstheme="majorHAnsi"/>
                <w:b/>
                <w:sz w:val="20"/>
                <w:szCs w:val="20"/>
              </w:rPr>
              <w:t>11,000</w:t>
            </w:r>
          </w:p>
        </w:tc>
        <w:tc>
          <w:tcPr>
            <w:tcW w:w="1134"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cstheme="majorHAnsi"/>
                <w:b/>
                <w:sz w:val="20"/>
                <w:szCs w:val="20"/>
              </w:rPr>
              <w:t>9,500</w:t>
            </w:r>
          </w:p>
        </w:tc>
        <w:tc>
          <w:tcPr>
            <w:tcW w:w="1134" w:type="dxa"/>
            <w:shd w:val="clear" w:color="auto" w:fill="auto"/>
            <w:vAlign w:val="center"/>
          </w:tcPr>
          <w:p w:rsidR="00DC4E77" w:rsidRPr="001640C4" w:rsidRDefault="00DC4E77" w:rsidP="00DC4E77">
            <w:pPr>
              <w:rPr>
                <w:rFonts w:eastAsia="Times New Roman" w:cstheme="majorHAnsi"/>
                <w:b/>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b/>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b/>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b/>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9,500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11,000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9,500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D9D9D9"/>
            <w:vAlign w:val="center"/>
          </w:tcPr>
          <w:p w:rsidR="00DC4E77" w:rsidRPr="001640C4" w:rsidRDefault="00DC4E77" w:rsidP="00DC4E77">
            <w:pPr>
              <w:spacing w:before="120" w:after="120"/>
              <w:jc w:val="center"/>
              <w:rPr>
                <w:rFonts w:eastAsia="Times New Roman" w:cstheme="majorHAnsi"/>
                <w:b/>
                <w:sz w:val="24"/>
                <w:szCs w:val="20"/>
                <w:lang w:eastAsia="sq-AL"/>
              </w:rPr>
            </w:pPr>
          </w:p>
          <w:p w:rsidR="00DC4E77" w:rsidRPr="001640C4" w:rsidRDefault="00DC4E77" w:rsidP="00DC4E77">
            <w:pPr>
              <w:spacing w:before="120" w:after="120"/>
              <w:jc w:val="center"/>
              <w:rPr>
                <w:rFonts w:eastAsia="Times New Roman" w:cstheme="majorHAnsi"/>
                <w:b/>
                <w:sz w:val="24"/>
                <w:szCs w:val="20"/>
                <w:lang w:eastAsia="sq-AL"/>
              </w:rPr>
            </w:pPr>
            <w:r w:rsidRPr="001640C4">
              <w:rPr>
                <w:rFonts w:eastAsia="Times New Roman" w:cstheme="majorHAnsi"/>
                <w:b/>
                <w:sz w:val="24"/>
                <w:szCs w:val="20"/>
                <w:lang w:eastAsia="sq-AL"/>
              </w:rPr>
              <w:t>2.2</w:t>
            </w:r>
          </w:p>
          <w:p w:rsidR="00DC4E77" w:rsidRPr="001640C4" w:rsidRDefault="00DC4E77" w:rsidP="00DC4E77">
            <w:pPr>
              <w:spacing w:before="120" w:after="120"/>
              <w:jc w:val="center"/>
              <w:rPr>
                <w:rFonts w:eastAsia="Times New Roman" w:cstheme="majorHAnsi"/>
                <w:b/>
                <w:sz w:val="24"/>
                <w:szCs w:val="20"/>
                <w:lang w:eastAsia="sq-AL"/>
              </w:rPr>
            </w:pPr>
          </w:p>
        </w:tc>
        <w:tc>
          <w:tcPr>
            <w:tcW w:w="13608" w:type="dxa"/>
            <w:gridSpan w:val="10"/>
            <w:shd w:val="clear" w:color="auto" w:fill="D9D9D9"/>
            <w:vAlign w:val="center"/>
          </w:tcPr>
          <w:p w:rsidR="00DC4E77" w:rsidRPr="001640C4" w:rsidRDefault="00DC4E77" w:rsidP="00DC4E77">
            <w:pPr>
              <w:rPr>
                <w:rFonts w:eastAsia="Times New Roman" w:cstheme="majorHAnsi"/>
                <w:sz w:val="24"/>
                <w:szCs w:val="20"/>
                <w:lang w:eastAsia="sq-AL"/>
              </w:rPr>
            </w:pPr>
            <w:r w:rsidRPr="001640C4">
              <w:rPr>
                <w:rFonts w:eastAsia="Times New Roman" w:cstheme="majorHAnsi"/>
                <w:b/>
                <w:sz w:val="24"/>
                <w:szCs w:val="20"/>
                <w:lang w:eastAsia="sq-AL"/>
              </w:rPr>
              <w:t>Objektivi specifik: Përmirësimi i kornizës ligjore dhe institucionale për zhvillimin e filantropisë individuale dhe të korporatave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b/>
                <w:sz w:val="20"/>
                <w:szCs w:val="20"/>
                <w:lang w:eastAsia="sq-AL"/>
              </w:rPr>
              <w:t xml:space="preserve">Treguesi: </w:t>
            </w:r>
            <w:r w:rsidRPr="001640C4">
              <w:rPr>
                <w:rFonts w:cstheme="majorHAnsi"/>
                <w:color w:val="000000" w:themeColor="text1"/>
              </w:rPr>
              <w:t>Aktet e nevojshme ligjore për rregullimin e filantropisë individuale dhe të korporatave të ndryshuara ose të miratuara</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75%</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100%</w:t>
            </w:r>
          </w:p>
        </w:tc>
        <w:tc>
          <w:tcPr>
            <w:tcW w:w="4536" w:type="dxa"/>
            <w:gridSpan w:val="4"/>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 xml:space="preserve">Kornizë ligjore gjithëpërfshirëse për filantropinë individuale dhe të korporatave e krijuar </w:t>
            </w:r>
          </w:p>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2</w:t>
            </w:r>
          </w:p>
        </w:tc>
        <w:tc>
          <w:tcPr>
            <w:tcW w:w="3827"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 xml:space="preserve">Treguesi: </w:t>
            </w:r>
            <w:r w:rsidRPr="001640C4">
              <w:rPr>
                <w:rFonts w:cstheme="majorHAnsi"/>
                <w:color w:val="000000" w:themeColor="text1"/>
              </w:rPr>
              <w:t>Numri i zyrtarëve të tatimit të trajnuar në praktikat për administrimin e përfitimeve në tatime për filantropi</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20</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40</w:t>
            </w:r>
          </w:p>
        </w:tc>
        <w:tc>
          <w:tcPr>
            <w:tcW w:w="4536" w:type="dxa"/>
            <w:gridSpan w:val="4"/>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cstheme="majorHAnsi"/>
                <w:color w:val="000000" w:themeColor="text1"/>
              </w:rPr>
              <w:t>Zyrtarë të tatimit të trajnuar sipas standardeve ndërkombëtare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lastRenderedPageBreak/>
              <w:t>3</w:t>
            </w:r>
          </w:p>
        </w:tc>
        <w:tc>
          <w:tcPr>
            <w:tcW w:w="3827"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 xml:space="preserve">Treguesi: </w:t>
            </w:r>
            <w:r w:rsidRPr="001640C4">
              <w:rPr>
                <w:rFonts w:cstheme="majorHAnsi"/>
                <w:color w:val="000000" w:themeColor="text1"/>
              </w:rPr>
              <w:t>% e rritjes së filantropisë individuale dhe të korporatave në baza vjetore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10%</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25%</w:t>
            </w:r>
          </w:p>
        </w:tc>
        <w:tc>
          <w:tcPr>
            <w:tcW w:w="4536" w:type="dxa"/>
            <w:gridSpan w:val="4"/>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Burimet e financimit të programeve të OShC-ve janë më të diversifikuara</w:t>
            </w:r>
          </w:p>
        </w:tc>
      </w:tr>
      <w:tr w:rsidR="00DC4E77" w:rsidRPr="001640C4" w:rsidTr="00B901E3">
        <w:tc>
          <w:tcPr>
            <w:tcW w:w="709"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Nr.</w:t>
            </w:r>
          </w:p>
        </w:tc>
        <w:tc>
          <w:tcPr>
            <w:tcW w:w="3827"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Veprimi</w:t>
            </w:r>
          </w:p>
        </w:tc>
        <w:tc>
          <w:tcPr>
            <w:tcW w:w="1161"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 xml:space="preserve">Buxheti </w:t>
            </w:r>
          </w:p>
        </w:tc>
        <w:tc>
          <w:tcPr>
            <w:tcW w:w="1134"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Institucioni udhëheqës dhe mbështetës</w:t>
            </w:r>
          </w:p>
        </w:tc>
        <w:tc>
          <w:tcPr>
            <w:tcW w:w="19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DC4E77" w:rsidRPr="001640C4" w:rsidTr="00B901E3">
        <w:tc>
          <w:tcPr>
            <w:tcW w:w="709"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61"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2019</w:t>
            </w:r>
          </w:p>
        </w:tc>
        <w:tc>
          <w:tcPr>
            <w:tcW w:w="85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2020</w:t>
            </w:r>
          </w:p>
        </w:tc>
        <w:tc>
          <w:tcPr>
            <w:tcW w:w="1134"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2021</w:t>
            </w:r>
          </w:p>
        </w:tc>
        <w:tc>
          <w:tcPr>
            <w:tcW w:w="1134"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vMerge/>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2.2.1</w:t>
            </w:r>
          </w:p>
        </w:tc>
        <w:tc>
          <w:tcPr>
            <w:tcW w:w="3827" w:type="dxa"/>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sz w:val="20"/>
                <w:szCs w:val="20"/>
                <w:lang w:eastAsia="sq-AL"/>
              </w:rPr>
              <w:t>Të rishikohet korniza ligjore e përkufizimit dhe rregullimit të filantropisë (duke përfshirë dhurimet, harmonizimin e fushave të OBP-së)</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Calibri" w:cstheme="majorHAnsi"/>
                <w:bCs/>
                <w:sz w:val="20"/>
                <w:szCs w:val="20"/>
              </w:rPr>
              <w:t>2020</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Donatorët</w:t>
            </w:r>
          </w:p>
        </w:tc>
        <w:tc>
          <w:tcPr>
            <w:tcW w:w="1276" w:type="dxa"/>
            <w:gridSpan w:val="2"/>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MF</w:t>
            </w:r>
            <w:r w:rsidRPr="001640C4">
              <w:rPr>
                <w:rFonts w:eastAsia="Times New Roman" w:cstheme="majorHAnsi"/>
                <w:sz w:val="20"/>
                <w:szCs w:val="20"/>
                <w:lang w:eastAsia="sq-AL"/>
              </w:rPr>
              <w:br/>
              <w:t>ZKM/ZL</w:t>
            </w: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Koncept dokumentet për krijimin e një kornize ligjore gjithëpërfshirëse për filantropinë të përgatitura</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2.2.2</w:t>
            </w:r>
          </w:p>
        </w:tc>
        <w:tc>
          <w:tcPr>
            <w:tcW w:w="3827"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Dizajnimi dhe zhvillimi i programit/sistemit trajnues për zyrtarët e tatimit për praktikat vendore dhe ndërkombëtare të administrimit të përfitimeve  tatimore për filantropinë individuale dhe të korporatave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Calibri" w:cstheme="majorHAnsi"/>
                <w:bCs/>
                <w:sz w:val="20"/>
                <w:szCs w:val="20"/>
              </w:rPr>
              <w:t>2021</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Buxheti dhe donatorët</w:t>
            </w:r>
          </w:p>
        </w:tc>
        <w:tc>
          <w:tcPr>
            <w:tcW w:w="1276" w:type="dxa"/>
            <w:gridSpan w:val="2"/>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MF</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ATK</w:t>
            </w: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Programi trajnues i dizajnuar dhe zhvilluar</w:t>
            </w:r>
            <w:r w:rsidRPr="001640C4">
              <w:rPr>
                <w:rFonts w:eastAsia="Times New Roman" w:cstheme="majorHAnsi"/>
                <w:sz w:val="20"/>
                <w:szCs w:val="20"/>
                <w:lang w:eastAsia="sq-AL"/>
              </w:rPr>
              <w:tab/>
              <w:t xml:space="preserve"> dhe mbajtja e  sesione trajnuese.</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2.2.3</w:t>
            </w:r>
          </w:p>
        </w:tc>
        <w:tc>
          <w:tcPr>
            <w:tcW w:w="3827" w:type="dxa"/>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sz w:val="20"/>
                <w:szCs w:val="20"/>
                <w:lang w:eastAsia="sq-AL"/>
              </w:rPr>
              <w:t>Krijimi dhe fuqizimi i mekanizmave institucional për zhvillimin e filantropisë individuale dhe të korporatave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Calibri" w:cstheme="majorHAnsi"/>
                <w:bCs/>
                <w:sz w:val="20"/>
                <w:szCs w:val="20"/>
              </w:rPr>
              <w:t>2019</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BE-ja, Buxheti i Kosovës, Donatorët</w:t>
            </w:r>
          </w:p>
        </w:tc>
        <w:tc>
          <w:tcPr>
            <w:tcW w:w="1276" w:type="dxa"/>
            <w:gridSpan w:val="2"/>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 xml:space="preserve">ATK, </w:t>
            </w:r>
            <w:r w:rsidRPr="001640C4">
              <w:rPr>
                <w:rFonts w:cstheme="majorHAnsi"/>
                <w:color w:val="000000" w:themeColor="text1"/>
              </w:rPr>
              <w:br/>
              <w:t>FIQ,</w:t>
            </w:r>
            <w:r w:rsidRPr="001640C4">
              <w:rPr>
                <w:rFonts w:cstheme="majorHAnsi"/>
                <w:color w:val="000000" w:themeColor="text1"/>
              </w:rPr>
              <w:br/>
              <w:t>Projekti i AT</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Përgjegjësitë institucionale për monitorimin dhe përmirësimin e kornizës ligjore dhe të politikave për filantropinë të përkufizuara</w:t>
            </w:r>
            <w:r w:rsidRPr="001640C4">
              <w:rPr>
                <w:rFonts w:eastAsia="Times New Roman" w:cstheme="majorHAnsi"/>
                <w:sz w:val="20"/>
                <w:szCs w:val="20"/>
                <w:lang w:eastAsia="sq-AL"/>
              </w:rPr>
              <w:br/>
              <w:t>Personeli përkatës i trajnuar nga institucionet përgjegjëse për politikat e filantropisë.</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2.2.4</w:t>
            </w:r>
          </w:p>
        </w:tc>
        <w:tc>
          <w:tcPr>
            <w:tcW w:w="3827" w:type="dxa"/>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sz w:val="20"/>
                <w:szCs w:val="20"/>
                <w:lang w:eastAsia="sq-AL"/>
              </w:rPr>
              <w:t>Fushatat informuese për biznese dhe qytetarë për mundësinë që individët ose korporatat ofrojnë për filantropinë</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 Donatorët</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MF</w:t>
            </w:r>
          </w:p>
          <w:p w:rsidR="00DC4E77" w:rsidRPr="001640C4" w:rsidRDefault="00DC4E77" w:rsidP="00DC4E77">
            <w:pPr>
              <w:rPr>
                <w:rFonts w:cstheme="majorHAnsi"/>
                <w:color w:val="000000" w:themeColor="text1"/>
              </w:rPr>
            </w:pPr>
            <w:r w:rsidRPr="001640C4">
              <w:rPr>
                <w:rFonts w:cstheme="majorHAnsi"/>
                <w:color w:val="000000" w:themeColor="text1"/>
              </w:rPr>
              <w:t xml:space="preserve">ZKM-ZQM </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Projekti i AT</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Fletëpalosjet e dizajnuara dhe të shtypura (1000 kopje)</w:t>
            </w:r>
            <w:r w:rsidRPr="001640C4">
              <w:rPr>
                <w:rFonts w:eastAsia="Times New Roman" w:cstheme="majorHAnsi"/>
                <w:sz w:val="20"/>
                <w:szCs w:val="20"/>
                <w:lang w:eastAsia="sq-AL"/>
              </w:rPr>
              <w:br/>
            </w:r>
            <w:r w:rsidRPr="001640C4">
              <w:rPr>
                <w:rFonts w:eastAsia="Times New Roman" w:cstheme="majorHAnsi"/>
                <w:sz w:val="20"/>
                <w:szCs w:val="20"/>
                <w:lang w:eastAsia="sq-AL"/>
              </w:rPr>
              <w:lastRenderedPageBreak/>
              <w:t>Fletëpalosjet e shpërndara te qytetarët dhe bizneset</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rPr>
                <w:rFonts w:eastAsia="Times New Roman" w:cstheme="majorHAnsi"/>
                <w:b/>
                <w:i/>
                <w:sz w:val="20"/>
                <w:szCs w:val="20"/>
                <w:lang w:eastAsia="sq-AL"/>
              </w:rPr>
            </w:pPr>
          </w:p>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b/>
                <w:i/>
                <w:sz w:val="20"/>
                <w:szCs w:val="20"/>
                <w:lang w:eastAsia="sq-AL"/>
              </w:rPr>
              <w:t>Buxheti i përgjithshëm për Objektivin Specifik 2.2:</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cstheme="majorHAnsi"/>
                <w:b/>
                <w:sz w:val="20"/>
                <w:szCs w:val="20"/>
              </w:rPr>
              <w:t>1,</w:t>
            </w:r>
            <w:r w:rsidR="00D61937" w:rsidRPr="001640C4">
              <w:rPr>
                <w:rFonts w:cstheme="majorHAnsi"/>
                <w:b/>
                <w:sz w:val="20"/>
                <w:szCs w:val="20"/>
              </w:rPr>
              <w:t>000</w:t>
            </w:r>
          </w:p>
        </w:tc>
        <w:tc>
          <w:tcPr>
            <w:tcW w:w="850" w:type="dxa"/>
            <w:shd w:val="clear" w:color="auto" w:fill="auto"/>
            <w:vAlign w:val="center"/>
          </w:tcPr>
          <w:p w:rsidR="00DC4E77" w:rsidRPr="001640C4" w:rsidRDefault="00653E8F" w:rsidP="00DC4E77">
            <w:pPr>
              <w:rPr>
                <w:rFonts w:eastAsia="Times New Roman" w:cstheme="majorHAnsi"/>
                <w:b/>
                <w:sz w:val="20"/>
                <w:szCs w:val="20"/>
                <w:lang w:eastAsia="sq-AL"/>
              </w:rPr>
            </w:pPr>
            <w:r w:rsidRPr="001640C4">
              <w:rPr>
                <w:rFonts w:cstheme="majorHAnsi"/>
                <w:b/>
                <w:sz w:val="20"/>
                <w:szCs w:val="20"/>
              </w:rPr>
              <w:t>7</w:t>
            </w:r>
            <w:r w:rsidR="00DC4E77" w:rsidRPr="001640C4">
              <w:rPr>
                <w:rFonts w:cstheme="majorHAnsi"/>
                <w:b/>
                <w:sz w:val="20"/>
                <w:szCs w:val="20"/>
              </w:rPr>
              <w:t>,000</w:t>
            </w:r>
          </w:p>
        </w:tc>
        <w:tc>
          <w:tcPr>
            <w:tcW w:w="1134" w:type="dxa"/>
            <w:shd w:val="clear" w:color="auto" w:fill="auto"/>
            <w:vAlign w:val="center"/>
          </w:tcPr>
          <w:p w:rsidR="00DC4E77" w:rsidRPr="001640C4" w:rsidRDefault="00653E8F" w:rsidP="00DC4E77">
            <w:pPr>
              <w:rPr>
                <w:rFonts w:eastAsia="Times New Roman" w:cstheme="majorHAnsi"/>
                <w:b/>
                <w:sz w:val="20"/>
                <w:szCs w:val="20"/>
                <w:lang w:eastAsia="sq-AL"/>
              </w:rPr>
            </w:pPr>
            <w:r w:rsidRPr="001640C4">
              <w:rPr>
                <w:rFonts w:cstheme="majorHAnsi"/>
                <w:b/>
                <w:sz w:val="20"/>
                <w:szCs w:val="20"/>
              </w:rPr>
              <w:t>3</w:t>
            </w:r>
            <w:r w:rsidR="00DC4E77" w:rsidRPr="001640C4">
              <w:rPr>
                <w:rFonts w:cstheme="majorHAnsi"/>
                <w:b/>
                <w:sz w:val="20"/>
                <w:szCs w:val="20"/>
              </w:rPr>
              <w:t>,000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1,000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13,000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9,000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D9D9D9"/>
            <w:vAlign w:val="center"/>
          </w:tcPr>
          <w:p w:rsidR="00DC4E77" w:rsidRPr="001640C4" w:rsidRDefault="00DC4E77" w:rsidP="00DC4E77">
            <w:pPr>
              <w:spacing w:before="120" w:after="120"/>
              <w:jc w:val="center"/>
              <w:rPr>
                <w:rFonts w:eastAsia="Times New Roman" w:cstheme="majorHAnsi"/>
                <w:b/>
                <w:sz w:val="24"/>
                <w:szCs w:val="20"/>
                <w:lang w:eastAsia="sq-AL"/>
              </w:rPr>
            </w:pPr>
          </w:p>
          <w:p w:rsidR="00DC4E77" w:rsidRPr="001640C4" w:rsidRDefault="00DC4E77" w:rsidP="00DC4E77">
            <w:pPr>
              <w:spacing w:before="120" w:after="120"/>
              <w:jc w:val="center"/>
              <w:rPr>
                <w:rFonts w:eastAsia="Times New Roman" w:cstheme="majorHAnsi"/>
                <w:b/>
                <w:sz w:val="24"/>
                <w:szCs w:val="20"/>
                <w:lang w:eastAsia="sq-AL"/>
              </w:rPr>
            </w:pPr>
            <w:r w:rsidRPr="001640C4">
              <w:rPr>
                <w:rFonts w:eastAsia="Times New Roman" w:cstheme="majorHAnsi"/>
                <w:b/>
                <w:sz w:val="24"/>
                <w:szCs w:val="20"/>
                <w:lang w:eastAsia="sq-AL"/>
              </w:rPr>
              <w:t>2.3</w:t>
            </w:r>
          </w:p>
          <w:p w:rsidR="00DC4E77" w:rsidRPr="001640C4" w:rsidRDefault="00DC4E77" w:rsidP="00DC4E77">
            <w:pPr>
              <w:spacing w:before="120" w:after="120"/>
              <w:jc w:val="center"/>
              <w:rPr>
                <w:rFonts w:eastAsia="Times New Roman" w:cstheme="majorHAnsi"/>
                <w:b/>
                <w:sz w:val="24"/>
                <w:szCs w:val="20"/>
                <w:lang w:eastAsia="sq-AL"/>
              </w:rPr>
            </w:pPr>
          </w:p>
        </w:tc>
        <w:tc>
          <w:tcPr>
            <w:tcW w:w="13608" w:type="dxa"/>
            <w:gridSpan w:val="10"/>
            <w:shd w:val="clear" w:color="auto" w:fill="D9D9D9"/>
            <w:vAlign w:val="center"/>
          </w:tcPr>
          <w:p w:rsidR="00DC4E77" w:rsidRPr="001640C4" w:rsidRDefault="00DC4E77" w:rsidP="00DC4E77">
            <w:pPr>
              <w:rPr>
                <w:rFonts w:eastAsia="Times New Roman" w:cstheme="majorHAnsi"/>
                <w:sz w:val="24"/>
                <w:szCs w:val="20"/>
                <w:lang w:eastAsia="sq-AL"/>
              </w:rPr>
            </w:pPr>
            <w:r w:rsidRPr="001640C4">
              <w:rPr>
                <w:rFonts w:eastAsia="Times New Roman" w:cstheme="majorHAnsi"/>
                <w:b/>
                <w:sz w:val="24"/>
                <w:szCs w:val="20"/>
                <w:lang w:eastAsia="sq-AL"/>
              </w:rPr>
              <w:t>Objektivi specifik: Rregullimi i ndarjes së pronës publike për shfrytëzim nga OSHC-të</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Treguesit:</w:t>
            </w:r>
            <w:r w:rsidRPr="001640C4">
              <w:rPr>
                <w:rFonts w:cstheme="majorHAnsi"/>
                <w:color w:val="000000" w:themeColor="text1"/>
              </w:rPr>
              <w:t xml:space="preserve"> Pronat shtetërore të dhëna në shfrytëzim të OSHC-ve në bazë të standardeve, kritereve dhe procedurave transparente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Hartuar/Miratuar</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Zbatuar</w:t>
            </w:r>
          </w:p>
        </w:tc>
        <w:tc>
          <w:tcPr>
            <w:tcW w:w="4536" w:type="dxa"/>
            <w:gridSpan w:val="4"/>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Standardet, kriteret dhe procedurat transparente për ndarjen e pronës publike janë zbatuar në tërësi në nivel qendror dhe lokal</w:t>
            </w:r>
          </w:p>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2</w:t>
            </w:r>
          </w:p>
        </w:tc>
        <w:tc>
          <w:tcPr>
            <w:tcW w:w="3827"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Treguesit:</w:t>
            </w:r>
            <w:r w:rsidRPr="001640C4">
              <w:rPr>
                <w:rFonts w:cstheme="majorHAnsi"/>
              </w:rPr>
              <w:t xml:space="preserve"> </w:t>
            </w:r>
            <w:r w:rsidRPr="001640C4">
              <w:rPr>
                <w:rFonts w:eastAsia="Times New Roman" w:cstheme="majorHAnsi"/>
                <w:sz w:val="20"/>
                <w:szCs w:val="20"/>
                <w:lang w:eastAsia="sq-AL"/>
              </w:rPr>
              <w:t>Numri i shërbyesve civil të trajnuar për zbatimin e standardeve, kritereve dhe procedurave për dhënien e pronës publike në shfrytëzim të OSHC-ve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20</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30</w:t>
            </w:r>
          </w:p>
        </w:tc>
        <w:tc>
          <w:tcPr>
            <w:tcW w:w="4536" w:type="dxa"/>
            <w:gridSpan w:val="4"/>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Shërbyes civil të trajnuar për aplikimin e standardeve, kritereve dhe procedurave për ndarjen e pronës publike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3</w:t>
            </w:r>
          </w:p>
        </w:tc>
        <w:tc>
          <w:tcPr>
            <w:tcW w:w="3827"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Treguesit:</w:t>
            </w:r>
            <w:r w:rsidRPr="001640C4">
              <w:rPr>
                <w:rFonts w:cstheme="majorHAnsi"/>
              </w:rPr>
              <w:t xml:space="preserve"> </w:t>
            </w:r>
            <w:r w:rsidRPr="001640C4">
              <w:rPr>
                <w:rFonts w:eastAsia="Times New Roman" w:cstheme="majorHAnsi"/>
                <w:sz w:val="20"/>
                <w:szCs w:val="20"/>
                <w:lang w:eastAsia="sq-AL"/>
              </w:rPr>
              <w:t>Regjistri Elektronik i pronave publike që janë dhënë në përdorim të OSHC-ve e zhvilluar dhe funksionale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I zvilluar</w:t>
            </w:r>
          </w:p>
        </w:tc>
        <w:tc>
          <w:tcPr>
            <w:tcW w:w="4536" w:type="dxa"/>
            <w:gridSpan w:val="4"/>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Regjistri Elektronik i pasurisë së qeverisë qendrore dhe atyre lokale është krijuar dhe tërësisht funksional</w:t>
            </w:r>
          </w:p>
        </w:tc>
      </w:tr>
      <w:tr w:rsidR="00DC4E77" w:rsidRPr="001640C4" w:rsidTr="00B901E3">
        <w:tc>
          <w:tcPr>
            <w:tcW w:w="709"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Nr.</w:t>
            </w:r>
          </w:p>
        </w:tc>
        <w:tc>
          <w:tcPr>
            <w:tcW w:w="3827"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Veprimi</w:t>
            </w:r>
          </w:p>
        </w:tc>
        <w:tc>
          <w:tcPr>
            <w:tcW w:w="1161"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 xml:space="preserve">Buxheti </w:t>
            </w:r>
          </w:p>
        </w:tc>
        <w:tc>
          <w:tcPr>
            <w:tcW w:w="1134"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Institucioni udhëheqës dhe mbështetës</w:t>
            </w:r>
          </w:p>
        </w:tc>
        <w:tc>
          <w:tcPr>
            <w:tcW w:w="19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DC4E77" w:rsidRPr="001640C4" w:rsidTr="00B901E3">
        <w:tc>
          <w:tcPr>
            <w:tcW w:w="709"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61"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2019</w:t>
            </w:r>
          </w:p>
        </w:tc>
        <w:tc>
          <w:tcPr>
            <w:tcW w:w="85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2020</w:t>
            </w:r>
          </w:p>
        </w:tc>
        <w:tc>
          <w:tcPr>
            <w:tcW w:w="1134"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2021</w:t>
            </w:r>
          </w:p>
        </w:tc>
        <w:tc>
          <w:tcPr>
            <w:tcW w:w="1134"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vMerge/>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2.3.1</w:t>
            </w:r>
          </w:p>
        </w:tc>
        <w:tc>
          <w:tcPr>
            <w:tcW w:w="3827" w:type="dxa"/>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sz w:val="20"/>
                <w:szCs w:val="20"/>
                <w:lang w:eastAsia="sq-AL"/>
              </w:rPr>
              <w:t>Krijimi i standardeve, procedurave, kritereve dhe mekanizmave institucional transparent për rregullimin e dhënies së pronave  shtetëror në shërbim të OSHC-ve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1500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MAPL</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Ministritë, Komunat</w:t>
            </w: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Standardet dhe Procedurat janë hartuar dhe miratuar.</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2.3.2</w:t>
            </w:r>
          </w:p>
        </w:tc>
        <w:tc>
          <w:tcPr>
            <w:tcW w:w="3827"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Dizajnimi dhe zhvillimi i një programi/sistemi trajnues për shërbyesit civil mbi përdorimin e standardeve dhe procedurave për rregullimin e dhënies së pronës publike në shfrytëzim të OSHC-ve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2021</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3000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 Donatorët</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MAPL,</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MAP, IKAP</w:t>
            </w: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Trajnimi i dizajnuar dhe i zhvilluar për zbatimin e standardeve dhe procedurave</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lastRenderedPageBreak/>
              <w:t>2.2.3</w:t>
            </w:r>
          </w:p>
        </w:tc>
        <w:tc>
          <w:tcPr>
            <w:tcW w:w="3827" w:type="dxa"/>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sz w:val="20"/>
                <w:szCs w:val="20"/>
                <w:lang w:eastAsia="sq-AL"/>
              </w:rPr>
              <w:t>Zhvillimi i Regjistrit Elektronik te pronave shtetërore të dhëna në shfrytëzim të OSHC-ve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2021</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5000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MAPL,</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MAP,ZKM</w:t>
            </w: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Regjistri Elektronik i përgatitur dhe funksional</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rPr>
                <w:rFonts w:eastAsia="Times New Roman" w:cstheme="majorHAnsi"/>
                <w:b/>
                <w:i/>
                <w:sz w:val="20"/>
                <w:szCs w:val="20"/>
                <w:lang w:eastAsia="sq-AL"/>
              </w:rPr>
            </w:pPr>
          </w:p>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b/>
                <w:i/>
                <w:sz w:val="20"/>
                <w:szCs w:val="20"/>
                <w:lang w:eastAsia="sq-AL"/>
              </w:rPr>
              <w:t>Buxheti i përgjithshëm për Objektivin Specifik 2.2:</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cstheme="majorHAnsi"/>
                <w:b/>
                <w:sz w:val="20"/>
                <w:szCs w:val="20"/>
              </w:rPr>
              <w:t>0</w:t>
            </w:r>
          </w:p>
        </w:tc>
        <w:tc>
          <w:tcPr>
            <w:tcW w:w="850"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cstheme="majorHAnsi"/>
                <w:b/>
                <w:sz w:val="20"/>
                <w:szCs w:val="20"/>
              </w:rPr>
              <w:t>6,500</w:t>
            </w:r>
          </w:p>
        </w:tc>
        <w:tc>
          <w:tcPr>
            <w:tcW w:w="1134"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cstheme="majorHAnsi"/>
                <w:b/>
                <w:sz w:val="20"/>
                <w:szCs w:val="20"/>
              </w:rPr>
              <w:t>3,000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6,500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3,000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D9D9D9"/>
            <w:vAlign w:val="center"/>
          </w:tcPr>
          <w:p w:rsidR="00DC4E77" w:rsidRPr="001640C4" w:rsidRDefault="00DC4E77" w:rsidP="00DC4E77">
            <w:pPr>
              <w:spacing w:before="120" w:after="120"/>
              <w:jc w:val="center"/>
              <w:rPr>
                <w:rFonts w:eastAsia="Times New Roman" w:cstheme="majorHAnsi"/>
                <w:b/>
                <w:sz w:val="24"/>
                <w:szCs w:val="20"/>
                <w:lang w:eastAsia="sq-AL"/>
              </w:rPr>
            </w:pPr>
          </w:p>
          <w:p w:rsidR="00DC4E77" w:rsidRPr="001640C4" w:rsidRDefault="00DC4E77" w:rsidP="00DC4E77">
            <w:pPr>
              <w:spacing w:before="120" w:after="120"/>
              <w:jc w:val="center"/>
              <w:rPr>
                <w:rFonts w:eastAsia="Times New Roman" w:cstheme="majorHAnsi"/>
                <w:b/>
                <w:sz w:val="24"/>
                <w:szCs w:val="20"/>
                <w:lang w:eastAsia="sq-AL"/>
              </w:rPr>
            </w:pPr>
            <w:r w:rsidRPr="001640C4">
              <w:rPr>
                <w:rFonts w:eastAsia="Times New Roman" w:cstheme="majorHAnsi"/>
                <w:b/>
                <w:sz w:val="24"/>
                <w:szCs w:val="20"/>
                <w:lang w:eastAsia="sq-AL"/>
              </w:rPr>
              <w:t>2.4</w:t>
            </w:r>
          </w:p>
          <w:p w:rsidR="00DC4E77" w:rsidRPr="001640C4" w:rsidRDefault="00DC4E77" w:rsidP="00DC4E77">
            <w:pPr>
              <w:spacing w:before="120" w:after="120"/>
              <w:jc w:val="center"/>
              <w:rPr>
                <w:rFonts w:eastAsia="Times New Roman" w:cstheme="majorHAnsi"/>
                <w:b/>
                <w:sz w:val="24"/>
                <w:szCs w:val="20"/>
                <w:lang w:eastAsia="sq-AL"/>
              </w:rPr>
            </w:pPr>
          </w:p>
        </w:tc>
        <w:tc>
          <w:tcPr>
            <w:tcW w:w="13608" w:type="dxa"/>
            <w:gridSpan w:val="10"/>
            <w:shd w:val="clear" w:color="auto" w:fill="D9D9D9"/>
            <w:vAlign w:val="center"/>
          </w:tcPr>
          <w:p w:rsidR="00DC4E77" w:rsidRPr="001640C4" w:rsidRDefault="00DC4E77" w:rsidP="00DC4E77">
            <w:pPr>
              <w:rPr>
                <w:rFonts w:eastAsia="Times New Roman" w:cstheme="majorHAnsi"/>
                <w:sz w:val="24"/>
                <w:szCs w:val="20"/>
                <w:lang w:eastAsia="sq-AL"/>
              </w:rPr>
            </w:pPr>
            <w:r w:rsidRPr="001640C4">
              <w:rPr>
                <w:rFonts w:eastAsia="Times New Roman" w:cstheme="majorHAnsi"/>
                <w:b/>
                <w:sz w:val="24"/>
                <w:szCs w:val="20"/>
                <w:lang w:eastAsia="sq-AL"/>
              </w:rPr>
              <w:t>Objektivi specifik: Krijimi i një sistemi të bashkëfinancimit për projektet e OSHC-ve të financuara nga BE-ja</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Treguesi:</w:t>
            </w:r>
            <w:r w:rsidRPr="001640C4">
              <w:rPr>
                <w:rFonts w:cstheme="majorHAnsi"/>
              </w:rPr>
              <w:t xml:space="preserve"> </w:t>
            </w:r>
            <w:r w:rsidRPr="001640C4">
              <w:rPr>
                <w:rFonts w:eastAsia="Times New Roman" w:cstheme="majorHAnsi"/>
                <w:sz w:val="20"/>
                <w:szCs w:val="20"/>
                <w:lang w:eastAsia="sq-AL"/>
              </w:rPr>
              <w:t>Miratimi i Kornizës rregulluese dhe institucionale për bashkëfinancim të projekteve të OSHC-ve të mbështetura nga BE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Inicuar</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Miratuar</w:t>
            </w:r>
          </w:p>
        </w:tc>
        <w:tc>
          <w:tcPr>
            <w:tcW w:w="4536" w:type="dxa"/>
            <w:gridSpan w:val="4"/>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Akti që i rregullon standardet dhe procedurat e bashkëfinancimit të projekteve të OSHC-ve të financuara nga BE-ja i miratuar</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Fondi i Buxhetit Shtetëror për bashkëfinancimin projekteve të OSHC-ve të financuara nga BE-ja  i vendosur dhe i menaxhuar nga institucioni përkatës në pajtim me procedurat e miratuara</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2</w:t>
            </w:r>
          </w:p>
        </w:tc>
        <w:tc>
          <w:tcPr>
            <w:tcW w:w="3827"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b/>
                <w:sz w:val="20"/>
                <w:szCs w:val="20"/>
                <w:lang w:eastAsia="sq-AL"/>
              </w:rPr>
              <w:t>Treguesi:</w:t>
            </w:r>
            <w:r w:rsidRPr="001640C4">
              <w:rPr>
                <w:rFonts w:cstheme="majorHAnsi"/>
              </w:rPr>
              <w:t xml:space="preserve"> </w:t>
            </w:r>
            <w:r w:rsidRPr="001640C4">
              <w:rPr>
                <w:rFonts w:eastAsia="Times New Roman" w:cstheme="majorHAnsi"/>
                <w:sz w:val="20"/>
                <w:szCs w:val="20"/>
                <w:lang w:eastAsia="sq-AL"/>
              </w:rPr>
              <w:t>Numri i përsonelit përkatës të institucionit përgjegjës që është trajnuar për zbatimin e standardeve dhe procedurave për bashkëfinancimin e projekteve të OSHC-ve të financuara nga BE-ja</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Inicuar</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I zhvilluar</w:t>
            </w:r>
          </w:p>
        </w:tc>
        <w:tc>
          <w:tcPr>
            <w:tcW w:w="4536" w:type="dxa"/>
            <w:gridSpan w:val="4"/>
            <w:shd w:val="clear" w:color="auto" w:fill="auto"/>
            <w:vAlign w:val="center"/>
          </w:tcPr>
          <w:p w:rsidR="00DC4E77" w:rsidRPr="001640C4" w:rsidRDefault="00DC4E77" w:rsidP="00DC4E77">
            <w:pPr>
              <w:jc w:val="left"/>
              <w:rPr>
                <w:rFonts w:cstheme="majorHAnsi"/>
                <w:color w:val="000000" w:themeColor="text1"/>
              </w:rPr>
            </w:pPr>
            <w:r w:rsidRPr="001640C4">
              <w:rPr>
                <w:rFonts w:cstheme="majorHAnsi"/>
                <w:color w:val="000000" w:themeColor="text1"/>
              </w:rPr>
              <w:t>Stafi përkatës i trajnuar për zbatimin e standardeve dhe procedurave të miratuara</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Sistemi i bashkëfinancimit të projekteve të OSHC-ve të financuara nga BE-ja është tërësisht funksional</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3</w:t>
            </w:r>
          </w:p>
        </w:tc>
        <w:tc>
          <w:tcPr>
            <w:tcW w:w="3827"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Treguesi:</w:t>
            </w:r>
            <w:r w:rsidRPr="001640C4">
              <w:rPr>
                <w:rFonts w:cstheme="majorHAnsi"/>
              </w:rPr>
              <w:t xml:space="preserve"> </w:t>
            </w:r>
            <w:r w:rsidRPr="001640C4">
              <w:rPr>
                <w:rFonts w:eastAsia="Times New Roman" w:cstheme="majorHAnsi"/>
                <w:sz w:val="20"/>
                <w:szCs w:val="20"/>
                <w:lang w:eastAsia="sq-AL"/>
              </w:rPr>
              <w:t>Rritja e numrit të projekteve të OSHC-ve të financuara nga BE-ja</w:t>
            </w:r>
            <w:r w:rsidRPr="001640C4">
              <w:rPr>
                <w:rFonts w:eastAsia="Times New Roman" w:cstheme="majorHAnsi"/>
                <w:b/>
                <w:sz w:val="20"/>
                <w:szCs w:val="20"/>
                <w:lang w:eastAsia="sq-AL"/>
              </w:rPr>
              <w:t xml:space="preserve">  </w:t>
            </w: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50</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100</w:t>
            </w:r>
          </w:p>
        </w:tc>
        <w:tc>
          <w:tcPr>
            <w:tcW w:w="4536" w:type="dxa"/>
            <w:gridSpan w:val="4"/>
            <w:shd w:val="clear" w:color="auto" w:fill="auto"/>
            <w:vAlign w:val="center"/>
          </w:tcPr>
          <w:p w:rsidR="00DC4E77" w:rsidRPr="001640C4" w:rsidRDefault="00DC4E77" w:rsidP="00DC4E77">
            <w:pPr>
              <w:jc w:val="center"/>
              <w:rPr>
                <w:rFonts w:eastAsia="Times New Roman" w:cstheme="majorHAnsi"/>
                <w:sz w:val="20"/>
                <w:szCs w:val="20"/>
                <w:lang w:eastAsia="sq-AL"/>
              </w:rPr>
            </w:pPr>
          </w:p>
        </w:tc>
      </w:tr>
      <w:tr w:rsidR="00DC4E77" w:rsidRPr="001640C4" w:rsidTr="00B901E3">
        <w:tc>
          <w:tcPr>
            <w:tcW w:w="709"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Nr.</w:t>
            </w:r>
          </w:p>
        </w:tc>
        <w:tc>
          <w:tcPr>
            <w:tcW w:w="3827"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Veprimi</w:t>
            </w:r>
          </w:p>
        </w:tc>
        <w:tc>
          <w:tcPr>
            <w:tcW w:w="1161"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 xml:space="preserve">Buxheti </w:t>
            </w:r>
          </w:p>
        </w:tc>
        <w:tc>
          <w:tcPr>
            <w:tcW w:w="1134"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Institucioni udhëheqës dhe mbështetës</w:t>
            </w:r>
          </w:p>
        </w:tc>
        <w:tc>
          <w:tcPr>
            <w:tcW w:w="19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DC4E77" w:rsidRPr="001640C4" w:rsidTr="00B901E3">
        <w:tc>
          <w:tcPr>
            <w:tcW w:w="709"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61"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2019</w:t>
            </w:r>
          </w:p>
        </w:tc>
        <w:tc>
          <w:tcPr>
            <w:tcW w:w="85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2020</w:t>
            </w:r>
          </w:p>
        </w:tc>
        <w:tc>
          <w:tcPr>
            <w:tcW w:w="1134"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2021</w:t>
            </w:r>
          </w:p>
        </w:tc>
        <w:tc>
          <w:tcPr>
            <w:tcW w:w="1134"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vMerge/>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2.4.1</w:t>
            </w:r>
          </w:p>
        </w:tc>
        <w:tc>
          <w:tcPr>
            <w:tcW w:w="3827" w:type="dxa"/>
            <w:shd w:val="clear" w:color="auto" w:fill="auto"/>
            <w:vAlign w:val="center"/>
          </w:tcPr>
          <w:p w:rsidR="00DC4E77" w:rsidRPr="001640C4" w:rsidRDefault="00DC4E77" w:rsidP="00DC4E77">
            <w:pPr>
              <w:spacing w:before="120" w:after="120"/>
              <w:jc w:val="left"/>
              <w:rPr>
                <w:rFonts w:eastAsia="Times New Roman" w:cstheme="majorHAnsi"/>
                <w:sz w:val="20"/>
                <w:szCs w:val="20"/>
                <w:lang w:eastAsia="sq-AL"/>
              </w:rPr>
            </w:pPr>
            <w:r w:rsidRPr="001640C4">
              <w:rPr>
                <w:rFonts w:eastAsia="Times New Roman" w:cstheme="majorHAnsi"/>
                <w:sz w:val="20"/>
                <w:szCs w:val="20"/>
                <w:lang w:eastAsia="sq-AL"/>
              </w:rPr>
              <w:t>Krijimi i mekanizmit financues në Ministrinë e Integrimeve për  Bashkëfinancimin e projekteve të financuara nga BE për OSHC-të</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Kosto administrative</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Kosto admini</w:t>
            </w:r>
            <w:r w:rsidRPr="001640C4">
              <w:rPr>
                <w:rFonts w:cstheme="majorHAnsi"/>
                <w:color w:val="000000" w:themeColor="text1"/>
              </w:rPr>
              <w:lastRenderedPageBreak/>
              <w:t>strative</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lastRenderedPageBreak/>
              <w:t>Kosto administrative</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MIE</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ZKM</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 xml:space="preserve">Mekanizmi i financimit është </w:t>
            </w:r>
            <w:r w:rsidRPr="001640C4">
              <w:rPr>
                <w:rFonts w:eastAsia="Times New Roman" w:cstheme="majorHAnsi"/>
                <w:sz w:val="20"/>
                <w:szCs w:val="20"/>
                <w:lang w:eastAsia="sq-AL"/>
              </w:rPr>
              <w:lastRenderedPageBreak/>
              <w:t xml:space="preserve">krijuar dhe është funksional </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2.4.2</w:t>
            </w:r>
          </w:p>
        </w:tc>
        <w:tc>
          <w:tcPr>
            <w:tcW w:w="3827"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Vendosja e standardeve, procedurave dhe mekanizmave institucional për bashkëfinancimin e projekteve të OSHC-ve të mbështetura  nga BE-ja</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w:t>
            </w:r>
            <w:r w:rsidR="006A0DE6">
              <w:rPr>
                <w:rFonts w:eastAsia="Times New Roman" w:cstheme="majorHAnsi"/>
                <w:sz w:val="20"/>
                <w:szCs w:val="20"/>
                <w:lang w:eastAsia="sq-AL"/>
              </w:rPr>
              <w:t>5</w:t>
            </w:r>
            <w:r w:rsidRPr="001640C4">
              <w:rPr>
                <w:rFonts w:eastAsia="Times New Roman" w:cstheme="majorHAnsi"/>
                <w:sz w:val="20"/>
                <w:szCs w:val="20"/>
                <w:lang w:eastAsia="sq-AL"/>
              </w:rPr>
              <w:t>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 xml:space="preserve">MIE </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ZKM/ZQM</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Analiza e praktikave të mira në bashkëfinancimin e projekteve të OSHC-ve të mbështetura nga BE-ja i përgatitur</w:t>
            </w:r>
          </w:p>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Standardet dhe procedurat e miratuara dhe institucioni përgjegjës me buxhetin përkatës është vendosur</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2.4.3</w:t>
            </w:r>
          </w:p>
        </w:tc>
        <w:tc>
          <w:tcPr>
            <w:tcW w:w="3827" w:type="dxa"/>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sz w:val="20"/>
                <w:szCs w:val="20"/>
                <w:lang w:eastAsia="sq-AL"/>
              </w:rPr>
              <w:t>Dizajnimi dhe zhvillimi i një programi/sistemi trajnues për shërbyesit civil dhe OSHC-të për përdorimin e standardeve dhe procedurave për bashkëfinancimin e projekteve të OSHC-ve të mbështetura  nga BE-ja</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2021</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 xml:space="preserve">MIE </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ZKM</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Programi i trajnimi i dizajnuar dhe zhvilluar për përsonelin përkatës të institucioneve përgjegjëse</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2.4.4</w:t>
            </w:r>
          </w:p>
        </w:tc>
        <w:tc>
          <w:tcPr>
            <w:tcW w:w="3827" w:type="dxa"/>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sz w:val="20"/>
                <w:szCs w:val="20"/>
                <w:lang w:eastAsia="sq-AL"/>
              </w:rPr>
              <w:t>Mbajtja e sesione informuese për OSHC-të për mundësitë e bashkëfinancimit të projekteve të mbështetura nga BE-ja</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2021</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3000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MIE</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ZKM/ZQM</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5 sesione informuese të mbajtura në rajonet kryesore</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653E8F" w:rsidRPr="001640C4" w:rsidTr="00B901E3">
        <w:tc>
          <w:tcPr>
            <w:tcW w:w="709" w:type="dxa"/>
            <w:shd w:val="clear" w:color="auto" w:fill="auto"/>
            <w:vAlign w:val="center"/>
          </w:tcPr>
          <w:p w:rsidR="00653E8F" w:rsidRPr="001640C4" w:rsidRDefault="00653E8F" w:rsidP="00653E8F">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2.2.5</w:t>
            </w:r>
          </w:p>
        </w:tc>
        <w:tc>
          <w:tcPr>
            <w:tcW w:w="3827" w:type="dxa"/>
            <w:shd w:val="clear" w:color="auto" w:fill="auto"/>
            <w:vAlign w:val="center"/>
          </w:tcPr>
          <w:p w:rsidR="00653E8F" w:rsidRPr="001640C4" w:rsidRDefault="00653E8F" w:rsidP="00653E8F">
            <w:pPr>
              <w:spacing w:before="120" w:after="120"/>
              <w:rPr>
                <w:rFonts w:eastAsia="Times New Roman" w:cstheme="majorHAnsi"/>
                <w:sz w:val="20"/>
                <w:szCs w:val="20"/>
                <w:lang w:eastAsia="sq-AL"/>
              </w:rPr>
            </w:pPr>
            <w:r w:rsidRPr="001640C4">
              <w:rPr>
                <w:rFonts w:eastAsia="Times New Roman" w:cstheme="majorHAnsi"/>
                <w:sz w:val="20"/>
                <w:szCs w:val="20"/>
                <w:lang w:eastAsia="sq-AL"/>
              </w:rPr>
              <w:t>Rekrutimi i zyrtarit të ri për koordinimin e procesit të financimit publik të OSHC-ve</w:t>
            </w:r>
          </w:p>
        </w:tc>
        <w:tc>
          <w:tcPr>
            <w:tcW w:w="1161" w:type="dxa"/>
            <w:shd w:val="clear" w:color="auto" w:fill="F2F2F2"/>
            <w:vAlign w:val="center"/>
          </w:tcPr>
          <w:p w:rsidR="00653E8F" w:rsidRPr="001640C4" w:rsidRDefault="00653E8F" w:rsidP="00653E8F">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653E8F" w:rsidRPr="001640C4" w:rsidRDefault="00653E8F" w:rsidP="00653E8F">
            <w:pPr>
              <w:rPr>
                <w:rFonts w:eastAsia="Times New Roman" w:cstheme="majorHAnsi"/>
                <w:sz w:val="20"/>
                <w:szCs w:val="20"/>
                <w:lang w:eastAsia="sq-AL"/>
              </w:rPr>
            </w:pPr>
          </w:p>
        </w:tc>
        <w:tc>
          <w:tcPr>
            <w:tcW w:w="850" w:type="dxa"/>
            <w:shd w:val="clear" w:color="auto" w:fill="auto"/>
            <w:vAlign w:val="center"/>
          </w:tcPr>
          <w:p w:rsidR="00653E8F" w:rsidRPr="001640C4" w:rsidRDefault="00653E8F" w:rsidP="00653E8F">
            <w:pPr>
              <w:rPr>
                <w:rFonts w:eastAsia="Times New Roman" w:cstheme="majorHAnsi"/>
                <w:sz w:val="20"/>
                <w:szCs w:val="20"/>
                <w:lang w:eastAsia="sq-AL"/>
              </w:rPr>
            </w:pPr>
            <w:r w:rsidRPr="001640C4">
              <w:rPr>
                <w:rFonts w:eastAsia="Times New Roman" w:cstheme="majorHAnsi"/>
                <w:sz w:val="20"/>
                <w:szCs w:val="20"/>
                <w:lang w:eastAsia="sq-AL"/>
              </w:rPr>
              <w:t>6000</w:t>
            </w:r>
          </w:p>
        </w:tc>
        <w:tc>
          <w:tcPr>
            <w:tcW w:w="1134" w:type="dxa"/>
            <w:shd w:val="clear" w:color="auto" w:fill="auto"/>
            <w:vAlign w:val="center"/>
          </w:tcPr>
          <w:p w:rsidR="00653E8F" w:rsidRPr="001640C4" w:rsidRDefault="00653E8F" w:rsidP="00653E8F">
            <w:pPr>
              <w:rPr>
                <w:rFonts w:eastAsia="Times New Roman" w:cstheme="majorHAnsi"/>
                <w:sz w:val="20"/>
                <w:szCs w:val="20"/>
                <w:lang w:eastAsia="sq-AL"/>
              </w:rPr>
            </w:pPr>
            <w:r w:rsidRPr="001640C4">
              <w:rPr>
                <w:rFonts w:eastAsia="Times New Roman" w:cstheme="majorHAnsi"/>
                <w:sz w:val="20"/>
                <w:szCs w:val="20"/>
                <w:lang w:eastAsia="sq-AL"/>
              </w:rPr>
              <w:t>6000</w:t>
            </w:r>
          </w:p>
        </w:tc>
        <w:tc>
          <w:tcPr>
            <w:tcW w:w="1134" w:type="dxa"/>
            <w:shd w:val="clear" w:color="auto" w:fill="F2F2F2"/>
            <w:vAlign w:val="center"/>
          </w:tcPr>
          <w:p w:rsidR="00653E8F" w:rsidRPr="001640C4" w:rsidRDefault="00653E8F" w:rsidP="00653E8F">
            <w:pPr>
              <w:rPr>
                <w:rFonts w:cstheme="majorHAnsi"/>
                <w:color w:val="000000" w:themeColor="text1"/>
              </w:rPr>
            </w:pPr>
            <w:r w:rsidRPr="001640C4">
              <w:rPr>
                <w:rFonts w:cstheme="majorHAnsi"/>
                <w:color w:val="000000" w:themeColor="text1"/>
              </w:rPr>
              <w:t>Buxheti i Kosovës</w:t>
            </w:r>
          </w:p>
        </w:tc>
        <w:tc>
          <w:tcPr>
            <w:tcW w:w="1276" w:type="dxa"/>
            <w:gridSpan w:val="2"/>
            <w:shd w:val="clear" w:color="auto" w:fill="F2F2F2"/>
            <w:vAlign w:val="center"/>
          </w:tcPr>
          <w:p w:rsidR="00653E8F" w:rsidRPr="001640C4" w:rsidRDefault="00653E8F" w:rsidP="00653E8F">
            <w:pPr>
              <w:rPr>
                <w:rFonts w:cstheme="majorHAnsi"/>
                <w:color w:val="000000" w:themeColor="text1"/>
              </w:rPr>
            </w:pPr>
            <w:r w:rsidRPr="001640C4">
              <w:rPr>
                <w:rFonts w:cstheme="majorHAnsi"/>
                <w:color w:val="000000" w:themeColor="text1"/>
              </w:rPr>
              <w:t>MF</w:t>
            </w:r>
          </w:p>
          <w:p w:rsidR="00653E8F" w:rsidRPr="001640C4" w:rsidRDefault="00653E8F" w:rsidP="00653E8F">
            <w:pPr>
              <w:rPr>
                <w:rFonts w:cstheme="majorHAnsi"/>
                <w:color w:val="000000" w:themeColor="text1"/>
              </w:rPr>
            </w:pPr>
            <w:r w:rsidRPr="001640C4">
              <w:rPr>
                <w:rFonts w:cstheme="majorHAnsi"/>
                <w:color w:val="000000" w:themeColor="text1"/>
              </w:rPr>
              <w:t>MAP</w:t>
            </w:r>
          </w:p>
          <w:p w:rsidR="00653E8F" w:rsidRPr="001640C4" w:rsidRDefault="00653E8F" w:rsidP="00653E8F">
            <w:pPr>
              <w:rPr>
                <w:rFonts w:cstheme="majorHAnsi"/>
                <w:color w:val="000000" w:themeColor="text1"/>
              </w:rPr>
            </w:pPr>
            <w:r w:rsidRPr="001640C4">
              <w:rPr>
                <w:rFonts w:cstheme="majorHAnsi"/>
                <w:color w:val="000000" w:themeColor="text1"/>
              </w:rPr>
              <w:t>ZQM/ZKM</w:t>
            </w:r>
          </w:p>
          <w:p w:rsidR="00653E8F" w:rsidRPr="001640C4" w:rsidRDefault="00653E8F" w:rsidP="00653E8F">
            <w:pPr>
              <w:rPr>
                <w:rFonts w:cstheme="majorHAnsi"/>
                <w:color w:val="000000" w:themeColor="text1"/>
              </w:rPr>
            </w:pPr>
          </w:p>
        </w:tc>
        <w:tc>
          <w:tcPr>
            <w:tcW w:w="1930" w:type="dxa"/>
            <w:shd w:val="clear" w:color="auto" w:fill="F2F2F2"/>
            <w:vAlign w:val="center"/>
          </w:tcPr>
          <w:p w:rsidR="00653E8F" w:rsidRPr="001640C4" w:rsidRDefault="00653E8F" w:rsidP="00653E8F">
            <w:pPr>
              <w:jc w:val="left"/>
              <w:rPr>
                <w:rFonts w:eastAsia="Times New Roman" w:cstheme="majorHAnsi"/>
                <w:sz w:val="20"/>
                <w:szCs w:val="20"/>
                <w:lang w:eastAsia="sq-AL"/>
              </w:rPr>
            </w:pPr>
            <w:r w:rsidRPr="001640C4">
              <w:rPr>
                <w:rFonts w:eastAsia="Times New Roman" w:cstheme="majorHAnsi"/>
                <w:sz w:val="20"/>
                <w:szCs w:val="20"/>
                <w:lang w:eastAsia="sq-AL"/>
              </w:rPr>
              <w:t>Zyrtar i ri i rekrutuar dhe në punë</w:t>
            </w:r>
          </w:p>
        </w:tc>
        <w:tc>
          <w:tcPr>
            <w:tcW w:w="1330" w:type="dxa"/>
            <w:shd w:val="clear" w:color="auto" w:fill="F2F2F2"/>
            <w:vAlign w:val="center"/>
          </w:tcPr>
          <w:p w:rsidR="00653E8F" w:rsidRPr="001640C4" w:rsidRDefault="00653E8F" w:rsidP="00653E8F">
            <w:pPr>
              <w:spacing w:before="120" w:after="120"/>
              <w:jc w:val="cente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rPr>
                <w:rFonts w:eastAsia="Times New Roman" w:cstheme="majorHAnsi"/>
                <w:b/>
                <w:i/>
                <w:sz w:val="20"/>
                <w:szCs w:val="20"/>
                <w:lang w:eastAsia="sq-AL"/>
              </w:rPr>
            </w:pPr>
          </w:p>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b/>
                <w:i/>
                <w:sz w:val="20"/>
                <w:szCs w:val="20"/>
                <w:lang w:eastAsia="sq-AL"/>
              </w:rPr>
              <w:t>Buxheti i përgjithshëm për Objektivin Specifik 2.2:</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cstheme="majorHAnsi"/>
                <w:b/>
                <w:sz w:val="20"/>
                <w:szCs w:val="20"/>
              </w:rPr>
              <w:t>1,</w:t>
            </w:r>
            <w:r w:rsidR="0021663F" w:rsidRPr="001640C4">
              <w:rPr>
                <w:rFonts w:cstheme="majorHAnsi"/>
                <w:b/>
                <w:sz w:val="20"/>
                <w:szCs w:val="20"/>
              </w:rPr>
              <w:t>0</w:t>
            </w:r>
            <w:r w:rsidRPr="001640C4">
              <w:rPr>
                <w:rFonts w:cstheme="majorHAnsi"/>
                <w:b/>
                <w:sz w:val="20"/>
                <w:szCs w:val="20"/>
              </w:rPr>
              <w:t>00</w:t>
            </w:r>
          </w:p>
        </w:tc>
        <w:tc>
          <w:tcPr>
            <w:tcW w:w="850" w:type="dxa"/>
            <w:shd w:val="clear" w:color="auto" w:fill="auto"/>
            <w:vAlign w:val="center"/>
          </w:tcPr>
          <w:p w:rsidR="00DC4E77" w:rsidRPr="001640C4" w:rsidRDefault="00653E8F" w:rsidP="00DC4E77">
            <w:pPr>
              <w:rPr>
                <w:rFonts w:eastAsia="Times New Roman" w:cstheme="majorHAnsi"/>
                <w:b/>
                <w:sz w:val="20"/>
                <w:szCs w:val="20"/>
                <w:lang w:eastAsia="sq-AL"/>
              </w:rPr>
            </w:pPr>
            <w:r w:rsidRPr="001640C4">
              <w:rPr>
                <w:rFonts w:cstheme="majorHAnsi"/>
                <w:b/>
                <w:sz w:val="20"/>
                <w:szCs w:val="20"/>
              </w:rPr>
              <w:t>6,000</w:t>
            </w:r>
          </w:p>
        </w:tc>
        <w:tc>
          <w:tcPr>
            <w:tcW w:w="1134" w:type="dxa"/>
            <w:shd w:val="clear" w:color="auto" w:fill="auto"/>
            <w:vAlign w:val="center"/>
          </w:tcPr>
          <w:p w:rsidR="00DC4E77" w:rsidRPr="001640C4" w:rsidRDefault="00653E8F" w:rsidP="00DC4E77">
            <w:pPr>
              <w:rPr>
                <w:rFonts w:eastAsia="Times New Roman" w:cstheme="majorHAnsi"/>
                <w:b/>
                <w:sz w:val="20"/>
                <w:szCs w:val="20"/>
                <w:lang w:eastAsia="sq-AL"/>
              </w:rPr>
            </w:pPr>
            <w:r w:rsidRPr="001640C4">
              <w:rPr>
                <w:rFonts w:cstheme="majorHAnsi"/>
                <w:b/>
                <w:sz w:val="20"/>
                <w:szCs w:val="20"/>
              </w:rPr>
              <w:t>11</w:t>
            </w:r>
            <w:r w:rsidR="00DC4E77" w:rsidRPr="001640C4">
              <w:rPr>
                <w:rFonts w:cstheme="majorHAnsi"/>
                <w:b/>
                <w:sz w:val="20"/>
                <w:szCs w:val="20"/>
              </w:rPr>
              <w:t>,000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rPr>
          <w:trHeight w:val="896"/>
        </w:trPr>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1,</w:t>
            </w:r>
            <w:r w:rsidR="0021663F" w:rsidRPr="001640C4">
              <w:rPr>
                <w:rFonts w:cstheme="majorHAnsi"/>
                <w:sz w:val="20"/>
                <w:szCs w:val="20"/>
              </w:rPr>
              <w:t>0</w:t>
            </w:r>
            <w:r w:rsidRPr="001640C4">
              <w:rPr>
                <w:rFonts w:cstheme="majorHAnsi"/>
                <w:sz w:val="20"/>
                <w:szCs w:val="20"/>
              </w:rPr>
              <w:t>00</w:t>
            </w:r>
          </w:p>
        </w:tc>
        <w:tc>
          <w:tcPr>
            <w:tcW w:w="850" w:type="dxa"/>
            <w:shd w:val="clear" w:color="auto" w:fill="auto"/>
            <w:vAlign w:val="center"/>
          </w:tcPr>
          <w:p w:rsidR="00DC4E77" w:rsidRPr="001640C4" w:rsidRDefault="0021663F" w:rsidP="00DC4E77">
            <w:pPr>
              <w:rPr>
                <w:rFonts w:eastAsia="Times New Roman" w:cstheme="majorHAnsi"/>
                <w:sz w:val="20"/>
                <w:szCs w:val="20"/>
                <w:lang w:eastAsia="sq-AL"/>
              </w:rPr>
            </w:pPr>
            <w:r w:rsidRPr="001640C4">
              <w:rPr>
                <w:rFonts w:cstheme="majorHAnsi"/>
                <w:sz w:val="20"/>
                <w:szCs w:val="20"/>
              </w:rPr>
              <w:t>6,000</w:t>
            </w:r>
          </w:p>
        </w:tc>
        <w:tc>
          <w:tcPr>
            <w:tcW w:w="1134" w:type="dxa"/>
            <w:shd w:val="clear" w:color="auto" w:fill="auto"/>
            <w:vAlign w:val="center"/>
          </w:tcPr>
          <w:p w:rsidR="00DC4E77" w:rsidRPr="001640C4" w:rsidRDefault="0021663F" w:rsidP="00DC4E77">
            <w:pPr>
              <w:rPr>
                <w:rFonts w:eastAsia="Times New Roman" w:cstheme="majorHAnsi"/>
                <w:sz w:val="20"/>
                <w:szCs w:val="20"/>
                <w:lang w:eastAsia="sq-AL"/>
              </w:rPr>
            </w:pPr>
            <w:r w:rsidRPr="001640C4">
              <w:rPr>
                <w:rFonts w:cstheme="majorHAnsi"/>
                <w:sz w:val="20"/>
                <w:szCs w:val="20"/>
              </w:rPr>
              <w:t>11</w:t>
            </w:r>
            <w:r w:rsidR="00DC4E77" w:rsidRPr="001640C4">
              <w:rPr>
                <w:rFonts w:cstheme="majorHAnsi"/>
                <w:sz w:val="20"/>
                <w:szCs w:val="20"/>
              </w:rPr>
              <w:t>,000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lastRenderedPageBreak/>
              <w:t>Nr.</w:t>
            </w:r>
          </w:p>
        </w:tc>
        <w:tc>
          <w:tcPr>
            <w:tcW w:w="3827" w:type="dxa"/>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Objektivat strategjike dhe specifike, treguesit dhe veprimet</w:t>
            </w:r>
          </w:p>
        </w:tc>
        <w:tc>
          <w:tcPr>
            <w:tcW w:w="2127" w:type="dxa"/>
            <w:gridSpan w:val="2"/>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Vlera bazë </w:t>
            </w:r>
          </w:p>
        </w:tc>
        <w:tc>
          <w:tcPr>
            <w:tcW w:w="1984" w:type="dxa"/>
            <w:gridSpan w:val="2"/>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Objektivi i përkohshëm [2019]</w:t>
            </w:r>
          </w:p>
        </w:tc>
        <w:tc>
          <w:tcPr>
            <w:tcW w:w="1134" w:type="dxa"/>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Synimi i vitit të fundit [2021] </w:t>
            </w:r>
          </w:p>
        </w:tc>
        <w:tc>
          <w:tcPr>
            <w:tcW w:w="4536" w:type="dxa"/>
            <w:gridSpan w:val="4"/>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Rezultati </w:t>
            </w:r>
          </w:p>
        </w:tc>
      </w:tr>
      <w:tr w:rsidR="00DC4E77" w:rsidRPr="001640C4" w:rsidTr="00B901E3">
        <w:tc>
          <w:tcPr>
            <w:tcW w:w="709" w:type="dxa"/>
            <w:shd w:val="clear" w:color="auto" w:fill="BFBFBF"/>
            <w:vAlign w:val="center"/>
          </w:tcPr>
          <w:p w:rsidR="00DC4E77" w:rsidRPr="001640C4" w:rsidRDefault="00DC4E77" w:rsidP="00DC4E77">
            <w:pPr>
              <w:spacing w:before="120" w:after="120"/>
              <w:jc w:val="center"/>
              <w:rPr>
                <w:rFonts w:eastAsia="Times New Roman" w:cstheme="majorHAnsi"/>
                <w:sz w:val="32"/>
                <w:szCs w:val="20"/>
                <w:lang w:eastAsia="sq-AL"/>
              </w:rPr>
            </w:pPr>
            <w:r w:rsidRPr="001640C4">
              <w:rPr>
                <w:rFonts w:eastAsia="Times New Roman" w:cstheme="majorHAnsi"/>
                <w:b/>
                <w:sz w:val="32"/>
                <w:szCs w:val="20"/>
                <w:lang w:eastAsia="sq-AL"/>
              </w:rPr>
              <w:t>3</w:t>
            </w:r>
          </w:p>
        </w:tc>
        <w:tc>
          <w:tcPr>
            <w:tcW w:w="13608" w:type="dxa"/>
            <w:gridSpan w:val="10"/>
            <w:tcBorders>
              <w:right w:val="single" w:sz="4" w:space="0" w:color="auto"/>
            </w:tcBorders>
            <w:shd w:val="clear" w:color="auto" w:fill="BFBFBF"/>
            <w:vAlign w:val="center"/>
          </w:tcPr>
          <w:p w:rsidR="00DC4E77" w:rsidRPr="001640C4" w:rsidRDefault="00DC4E77" w:rsidP="00DC4E77">
            <w:pPr>
              <w:rPr>
                <w:rFonts w:eastAsia="Times New Roman" w:cstheme="majorHAnsi"/>
                <w:b/>
                <w:sz w:val="32"/>
                <w:szCs w:val="20"/>
                <w:lang w:eastAsia="sq-AL"/>
              </w:rPr>
            </w:pPr>
            <w:r w:rsidRPr="001640C4">
              <w:rPr>
                <w:rFonts w:eastAsia="Times New Roman" w:cstheme="majorHAnsi"/>
                <w:b/>
                <w:sz w:val="32"/>
                <w:szCs w:val="20"/>
                <w:lang w:eastAsia="sq-AL"/>
              </w:rPr>
              <w:t>Objektivi strategjik: Zhvillimi i praktikave dhe procedurave transparente për kontraktimin e OSHC-ve për ofrimin e shërbimeve publike</w:t>
            </w:r>
          </w:p>
        </w:tc>
      </w:tr>
      <w:tr w:rsidR="00653E8F" w:rsidRPr="001640C4" w:rsidTr="00B901E3">
        <w:trPr>
          <w:trHeight w:val="625"/>
        </w:trPr>
        <w:tc>
          <w:tcPr>
            <w:tcW w:w="709" w:type="dxa"/>
            <w:shd w:val="clear" w:color="auto" w:fill="auto"/>
            <w:vAlign w:val="center"/>
          </w:tcPr>
          <w:p w:rsidR="00653E8F" w:rsidRPr="001640C4" w:rsidRDefault="00653E8F" w:rsidP="00653E8F">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653E8F" w:rsidRPr="001640C4" w:rsidRDefault="00653E8F" w:rsidP="00653E8F">
            <w:pPr>
              <w:rPr>
                <w:rFonts w:eastAsia="Times New Roman"/>
                <w:sz w:val="20"/>
                <w:szCs w:val="20"/>
                <w:lang w:eastAsia="sq-AL"/>
              </w:rPr>
            </w:pPr>
            <w:r w:rsidRPr="001640C4">
              <w:rPr>
                <w:rFonts w:eastAsia="Times New Roman"/>
                <w:sz w:val="20"/>
                <w:szCs w:val="20"/>
                <w:lang w:eastAsia="sq-AL"/>
              </w:rPr>
              <w:t>Indicator: Numri i OSHC-ve të kontraktuara për ofrimin e shërbimeve publike përmes thirrjeve publike / tenderëve</w:t>
            </w:r>
          </w:p>
        </w:tc>
        <w:tc>
          <w:tcPr>
            <w:tcW w:w="2127" w:type="dxa"/>
            <w:gridSpan w:val="2"/>
            <w:shd w:val="clear" w:color="auto" w:fill="auto"/>
            <w:vAlign w:val="center"/>
          </w:tcPr>
          <w:p w:rsidR="00653E8F" w:rsidRPr="001640C4" w:rsidRDefault="00653E8F" w:rsidP="00653E8F">
            <w:pPr>
              <w:jc w:val="center"/>
              <w:rPr>
                <w:rFonts w:eastAsia="Times New Roman"/>
                <w:sz w:val="20"/>
                <w:szCs w:val="20"/>
                <w:lang w:eastAsia="sq-AL"/>
              </w:rPr>
            </w:pPr>
            <w:r w:rsidRPr="001640C4">
              <w:rPr>
                <w:rFonts w:eastAsia="Times New Roman"/>
                <w:sz w:val="20"/>
                <w:szCs w:val="20"/>
                <w:lang w:eastAsia="sq-AL"/>
              </w:rPr>
              <w:t>Numri i OSHC-ve të kontraktuara</w:t>
            </w:r>
          </w:p>
        </w:tc>
        <w:tc>
          <w:tcPr>
            <w:tcW w:w="1984" w:type="dxa"/>
            <w:gridSpan w:val="2"/>
            <w:shd w:val="clear" w:color="auto" w:fill="auto"/>
            <w:vAlign w:val="center"/>
          </w:tcPr>
          <w:p w:rsidR="00653E8F" w:rsidRPr="001640C4" w:rsidRDefault="00653E8F" w:rsidP="00653E8F">
            <w:pPr>
              <w:jc w:val="center"/>
              <w:rPr>
                <w:rFonts w:eastAsia="Times New Roman"/>
                <w:sz w:val="20"/>
                <w:szCs w:val="20"/>
                <w:lang w:eastAsia="sq-AL"/>
              </w:rPr>
            </w:pPr>
            <w:r w:rsidRPr="001640C4">
              <w:rPr>
                <w:rFonts w:eastAsia="Times New Roman"/>
                <w:sz w:val="20"/>
                <w:szCs w:val="20"/>
                <w:lang w:eastAsia="sq-AL"/>
              </w:rPr>
              <w:t>10%</w:t>
            </w:r>
          </w:p>
        </w:tc>
        <w:tc>
          <w:tcPr>
            <w:tcW w:w="1134" w:type="dxa"/>
            <w:shd w:val="clear" w:color="auto" w:fill="auto"/>
            <w:vAlign w:val="center"/>
          </w:tcPr>
          <w:p w:rsidR="00653E8F" w:rsidRPr="001640C4" w:rsidRDefault="00653E8F" w:rsidP="00653E8F">
            <w:pPr>
              <w:jc w:val="center"/>
              <w:rPr>
                <w:rFonts w:eastAsia="Times New Roman"/>
                <w:sz w:val="20"/>
                <w:szCs w:val="20"/>
                <w:lang w:eastAsia="sq-AL"/>
              </w:rPr>
            </w:pPr>
            <w:r w:rsidRPr="001640C4">
              <w:rPr>
                <w:rFonts w:eastAsia="Times New Roman"/>
                <w:sz w:val="20"/>
                <w:szCs w:val="20"/>
                <w:lang w:eastAsia="sq-AL"/>
              </w:rPr>
              <w:t>20%</w:t>
            </w:r>
          </w:p>
        </w:tc>
        <w:tc>
          <w:tcPr>
            <w:tcW w:w="4536" w:type="dxa"/>
            <w:gridSpan w:val="4"/>
            <w:shd w:val="clear" w:color="auto" w:fill="auto"/>
            <w:vAlign w:val="center"/>
          </w:tcPr>
          <w:p w:rsidR="00653E8F" w:rsidRPr="001640C4" w:rsidRDefault="00653E8F" w:rsidP="00653E8F">
            <w:pPr>
              <w:jc w:val="left"/>
              <w:rPr>
                <w:rFonts w:eastAsia="Times New Roman"/>
                <w:sz w:val="20"/>
                <w:szCs w:val="20"/>
                <w:lang w:eastAsia="sq-AL"/>
              </w:rPr>
            </w:pPr>
            <w:r w:rsidRPr="001640C4">
              <w:rPr>
                <w:rFonts w:eastAsia="Times New Roman"/>
                <w:sz w:val="20"/>
                <w:szCs w:val="20"/>
                <w:lang w:eastAsia="sq-AL"/>
              </w:rPr>
              <w:t>Rritja e numrit të OSHC-ve të kontraktuara për ofrimin e shërbimeve publike përmes thirrjeve publike / tenderëve të hapur</w:t>
            </w:r>
          </w:p>
        </w:tc>
      </w:tr>
      <w:tr w:rsidR="00DC4E77" w:rsidRPr="001640C4" w:rsidTr="00B901E3">
        <w:tc>
          <w:tcPr>
            <w:tcW w:w="709" w:type="dxa"/>
            <w:shd w:val="clear" w:color="auto" w:fill="D9D9D9"/>
            <w:vAlign w:val="center"/>
          </w:tcPr>
          <w:p w:rsidR="00DC4E77" w:rsidRPr="001640C4" w:rsidRDefault="00DC4E77" w:rsidP="00DC4E77">
            <w:pPr>
              <w:spacing w:before="120" w:after="120"/>
              <w:jc w:val="center"/>
              <w:rPr>
                <w:rFonts w:eastAsia="Times New Roman" w:cstheme="majorHAnsi"/>
                <w:b/>
                <w:sz w:val="24"/>
                <w:szCs w:val="20"/>
                <w:lang w:eastAsia="sq-AL"/>
              </w:rPr>
            </w:pPr>
          </w:p>
          <w:p w:rsidR="00DC4E77" w:rsidRPr="001640C4" w:rsidRDefault="00DC4E77" w:rsidP="00DC4E77">
            <w:pPr>
              <w:spacing w:before="120" w:after="120"/>
              <w:jc w:val="center"/>
              <w:rPr>
                <w:rFonts w:eastAsia="Times New Roman" w:cstheme="majorHAnsi"/>
                <w:b/>
                <w:sz w:val="24"/>
                <w:szCs w:val="20"/>
                <w:lang w:eastAsia="sq-AL"/>
              </w:rPr>
            </w:pPr>
            <w:r w:rsidRPr="001640C4">
              <w:rPr>
                <w:rFonts w:eastAsia="Times New Roman" w:cstheme="majorHAnsi"/>
                <w:b/>
                <w:sz w:val="24"/>
                <w:szCs w:val="20"/>
                <w:lang w:eastAsia="sq-AL"/>
              </w:rPr>
              <w:t>3.1</w:t>
            </w:r>
          </w:p>
          <w:p w:rsidR="00DC4E77" w:rsidRPr="001640C4" w:rsidRDefault="00DC4E77" w:rsidP="00DC4E77">
            <w:pPr>
              <w:spacing w:before="120" w:after="120"/>
              <w:jc w:val="center"/>
              <w:rPr>
                <w:rFonts w:eastAsia="Times New Roman" w:cstheme="majorHAnsi"/>
                <w:b/>
                <w:sz w:val="24"/>
                <w:szCs w:val="20"/>
                <w:lang w:eastAsia="sq-AL"/>
              </w:rPr>
            </w:pPr>
          </w:p>
        </w:tc>
        <w:tc>
          <w:tcPr>
            <w:tcW w:w="13608" w:type="dxa"/>
            <w:gridSpan w:val="10"/>
            <w:shd w:val="clear" w:color="auto" w:fill="D9D9D9"/>
            <w:vAlign w:val="center"/>
          </w:tcPr>
          <w:p w:rsidR="00DC4E77" w:rsidRPr="001640C4" w:rsidRDefault="00DC4E77" w:rsidP="00DC4E77">
            <w:pPr>
              <w:spacing w:before="100" w:beforeAutospacing="1" w:after="100" w:afterAutospacing="1"/>
              <w:rPr>
                <w:rFonts w:eastAsia="Times New Roman" w:cstheme="majorHAnsi"/>
                <w:sz w:val="24"/>
                <w:szCs w:val="20"/>
                <w:lang w:eastAsia="sq-AL"/>
              </w:rPr>
            </w:pPr>
            <w:r w:rsidRPr="001640C4">
              <w:rPr>
                <w:rFonts w:eastAsia="Times New Roman" w:cstheme="majorHAnsi"/>
                <w:b/>
                <w:sz w:val="24"/>
                <w:szCs w:val="20"/>
                <w:lang w:eastAsia="sq-AL"/>
              </w:rPr>
              <w:t>Objektivi specifik:</w:t>
            </w:r>
            <w:r w:rsidRPr="001640C4">
              <w:rPr>
                <w:rFonts w:eastAsia="Times New Roman" w:cstheme="majorHAnsi"/>
                <w:sz w:val="24"/>
                <w:szCs w:val="20"/>
                <w:lang w:eastAsia="sq-AL"/>
              </w:rPr>
              <w:t xml:space="preserve"> </w:t>
            </w:r>
            <w:r w:rsidRPr="001640C4">
              <w:rPr>
                <w:rFonts w:eastAsia="Calibri" w:cstheme="majorHAnsi"/>
                <w:b/>
                <w:color w:val="000000" w:themeColor="text1"/>
                <w:sz w:val="24"/>
              </w:rPr>
              <w:t>Përmirësimi i kornizës së përgjithshme ligjore dhe institucionale për rregullimin e aktiviteteve ekonomike të OJQ-ve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b/>
                <w:sz w:val="20"/>
                <w:szCs w:val="20"/>
                <w:lang w:eastAsia="sq-AL"/>
              </w:rPr>
              <w:t xml:space="preserve">Treguesi: </w:t>
            </w:r>
            <w:r w:rsidRPr="001640C4">
              <w:rPr>
                <w:rFonts w:cstheme="majorHAnsi"/>
                <w:color w:val="000000" w:themeColor="text1"/>
              </w:rPr>
              <w:t>Standardet dhe procedurat ligjore për aktivitetet ekonomike të OJQ-ve janë qartësuar</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 xml:space="preserve">Ndryshuar </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Aprovuar</w:t>
            </w:r>
          </w:p>
        </w:tc>
        <w:tc>
          <w:tcPr>
            <w:tcW w:w="4536" w:type="dxa"/>
            <w:gridSpan w:val="4"/>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Legjislacioni mbi tatimin e korporatave për aktiviteteve ekonomike të OSHC-ve  i përcaktuar (Përveq OSHC-ve me status të përfituesit public)</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 xml:space="preserve">Udhëzimet për administratën tatimore për trajnimin e aktiviteteve të OSHC-ve janë zhvilluar </w:t>
            </w:r>
          </w:p>
        </w:tc>
      </w:tr>
      <w:tr w:rsidR="00DC4E77" w:rsidRPr="001640C4" w:rsidTr="00B901E3">
        <w:trPr>
          <w:trHeight w:val="732"/>
        </w:trPr>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2</w:t>
            </w:r>
          </w:p>
        </w:tc>
        <w:tc>
          <w:tcPr>
            <w:tcW w:w="3827" w:type="dxa"/>
            <w:shd w:val="clear" w:color="auto" w:fill="auto"/>
            <w:vAlign w:val="center"/>
          </w:tcPr>
          <w:p w:rsidR="00DC4E77" w:rsidRPr="001640C4" w:rsidRDefault="00DC4E77" w:rsidP="00DC4E77">
            <w:pPr>
              <w:jc w:val="left"/>
              <w:rPr>
                <w:rFonts w:eastAsia="Times New Roman" w:cstheme="majorHAnsi"/>
                <w:b/>
                <w:sz w:val="20"/>
                <w:szCs w:val="20"/>
                <w:lang w:eastAsia="sq-AL"/>
              </w:rPr>
            </w:pPr>
            <w:r w:rsidRPr="001640C4">
              <w:rPr>
                <w:rFonts w:eastAsia="Times New Roman" w:cstheme="majorHAnsi"/>
                <w:b/>
                <w:sz w:val="20"/>
                <w:szCs w:val="20"/>
                <w:lang w:eastAsia="sq-AL"/>
              </w:rPr>
              <w:t xml:space="preserve">Treguesi: </w:t>
            </w:r>
            <w:r w:rsidRPr="001640C4">
              <w:rPr>
                <w:rFonts w:cstheme="majorHAnsi"/>
                <w:color w:val="000000" w:themeColor="text1"/>
              </w:rPr>
              <w:t>Numri i përsonelit përkatës të Administratës  tatimore që është trajnuar për përdorimin e standardeve dhe procedurave për rregullimin e aktiviteteve  ekonomike të OSHC-ve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15</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30</w:t>
            </w:r>
          </w:p>
        </w:tc>
        <w:tc>
          <w:tcPr>
            <w:tcW w:w="4536" w:type="dxa"/>
            <w:gridSpan w:val="4"/>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Punonjës përkatës të Administratës tatimore të trajnuar për aplikimin e standardeve dhe procedurave për rregulliminn e aktiviteteve ekonomike  të OSHC-ve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3</w:t>
            </w:r>
          </w:p>
        </w:tc>
        <w:tc>
          <w:tcPr>
            <w:tcW w:w="3827"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 xml:space="preserve">Treguesi: </w:t>
            </w:r>
            <w:r w:rsidR="00653E8F" w:rsidRPr="001640C4">
              <w:rPr>
                <w:rFonts w:cstheme="majorHAnsi"/>
                <w:color w:val="000000" w:themeColor="text1"/>
              </w:rPr>
              <w:t xml:space="preserve">Përqindja e </w:t>
            </w:r>
            <w:r w:rsidRPr="001640C4">
              <w:rPr>
                <w:rFonts w:cstheme="majorHAnsi"/>
                <w:color w:val="000000" w:themeColor="text1"/>
              </w:rPr>
              <w:t>OSHC-ve që kanë përfituar nga përjashtimet tatimore dhe përfitimet e tjera fiskale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25%</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50%</w:t>
            </w:r>
          </w:p>
        </w:tc>
        <w:tc>
          <w:tcPr>
            <w:tcW w:w="4536" w:type="dxa"/>
            <w:gridSpan w:val="4"/>
            <w:shd w:val="clear" w:color="auto" w:fill="auto"/>
            <w:vAlign w:val="center"/>
          </w:tcPr>
          <w:p w:rsidR="00DC4E77" w:rsidRPr="001640C4" w:rsidRDefault="00653E8F" w:rsidP="00653E8F">
            <w:pPr>
              <w:jc w:val="left"/>
              <w:rPr>
                <w:rFonts w:eastAsia="Times New Roman" w:cstheme="majorHAnsi"/>
                <w:sz w:val="20"/>
                <w:szCs w:val="20"/>
                <w:lang w:eastAsia="sq-AL"/>
              </w:rPr>
            </w:pPr>
            <w:r w:rsidRPr="001640C4">
              <w:rPr>
                <w:rFonts w:cstheme="majorHAnsi"/>
                <w:color w:val="000000" w:themeColor="text1"/>
              </w:rPr>
              <w:t xml:space="preserve">Rritja e përqindjes së </w:t>
            </w:r>
            <w:r w:rsidR="00DC4E77" w:rsidRPr="001640C4">
              <w:rPr>
                <w:rFonts w:cstheme="majorHAnsi"/>
                <w:color w:val="000000" w:themeColor="text1"/>
              </w:rPr>
              <w:t>OSHC</w:t>
            </w:r>
            <w:r w:rsidRPr="001640C4">
              <w:rPr>
                <w:rFonts w:cstheme="majorHAnsi"/>
                <w:color w:val="000000" w:themeColor="text1"/>
              </w:rPr>
              <w:t xml:space="preserve">-ve </w:t>
            </w:r>
            <w:r w:rsidR="00DC4E77" w:rsidRPr="001640C4">
              <w:rPr>
                <w:rFonts w:cstheme="majorHAnsi"/>
                <w:color w:val="000000" w:themeColor="text1"/>
              </w:rPr>
              <w:t xml:space="preserve"> përfituese nga përjashtimet tatimore</w:t>
            </w:r>
            <w:r w:rsidRPr="001640C4">
              <w:rPr>
                <w:rFonts w:cstheme="majorHAnsi"/>
                <w:color w:val="000000" w:themeColor="text1"/>
              </w:rPr>
              <w:t xml:space="preserve"> (nga numri i përgjithshëm i OSHC-ve që marrin fonde publike)</w:t>
            </w:r>
          </w:p>
        </w:tc>
      </w:tr>
      <w:tr w:rsidR="00DC4E77" w:rsidRPr="001640C4" w:rsidTr="00B901E3">
        <w:tc>
          <w:tcPr>
            <w:tcW w:w="709"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Nr.</w:t>
            </w:r>
          </w:p>
        </w:tc>
        <w:tc>
          <w:tcPr>
            <w:tcW w:w="3827"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Veprimi </w:t>
            </w:r>
          </w:p>
        </w:tc>
        <w:tc>
          <w:tcPr>
            <w:tcW w:w="1161"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Buxheti</w:t>
            </w:r>
          </w:p>
        </w:tc>
        <w:tc>
          <w:tcPr>
            <w:tcW w:w="1134"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Institucioni udhëheqës dhe mbështetës</w:t>
            </w:r>
          </w:p>
        </w:tc>
        <w:tc>
          <w:tcPr>
            <w:tcW w:w="19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DC4E77" w:rsidRPr="001640C4" w:rsidTr="00B901E3">
        <w:tc>
          <w:tcPr>
            <w:tcW w:w="709"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61"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2019</w:t>
            </w:r>
          </w:p>
        </w:tc>
        <w:tc>
          <w:tcPr>
            <w:tcW w:w="85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2020</w:t>
            </w:r>
          </w:p>
        </w:tc>
        <w:tc>
          <w:tcPr>
            <w:tcW w:w="1134"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2021</w:t>
            </w:r>
          </w:p>
        </w:tc>
        <w:tc>
          <w:tcPr>
            <w:tcW w:w="1134"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vMerge/>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3.1.1</w:t>
            </w:r>
          </w:p>
        </w:tc>
        <w:tc>
          <w:tcPr>
            <w:tcW w:w="3827" w:type="dxa"/>
            <w:vAlign w:val="center"/>
          </w:tcPr>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sz w:val="20"/>
                <w:szCs w:val="20"/>
                <w:lang w:eastAsia="sq-AL"/>
              </w:rPr>
              <w:t>Konsolidimi i kornizës së përgjithshme ligjore, duke përfshirë legjislacionin tatimor, në lidhje me aktivitetet ekonomike të OSHC-ve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lastRenderedPageBreak/>
              <w:t>1500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lastRenderedPageBreak/>
              <w:t>500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Buxheti i Kosovës, Donatorët</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MF</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Ministritë e linjës Administrata Tatimore</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 xml:space="preserve">Hartimi i një analize të politikave për dispozitat që duhet të adresohen </w:t>
            </w:r>
          </w:p>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Përgatiten</w:t>
            </w:r>
            <w:r w:rsidRPr="001640C4">
              <w:rPr>
                <w:rFonts w:eastAsia="Times New Roman" w:cstheme="majorHAnsi"/>
                <w:sz w:val="20"/>
                <w:szCs w:val="20"/>
                <w:lang w:eastAsia="sq-AL"/>
              </w:rPr>
              <w:br/>
              <w:t xml:space="preserve">Korniza ligjore është </w:t>
            </w:r>
            <w:r w:rsidRPr="001640C4">
              <w:rPr>
                <w:rFonts w:eastAsia="Times New Roman" w:cstheme="majorHAnsi"/>
                <w:sz w:val="20"/>
                <w:szCs w:val="20"/>
                <w:lang w:eastAsia="sq-AL"/>
              </w:rPr>
              <w:lastRenderedPageBreak/>
              <w:t>konsoliduar (posaçërisht Ligji për Tatimin në të Ardhura të Korporatave)</w:t>
            </w:r>
            <w:r w:rsidRPr="001640C4">
              <w:rPr>
                <w:rFonts w:eastAsia="Times New Roman" w:cstheme="majorHAnsi"/>
                <w:sz w:val="20"/>
                <w:szCs w:val="20"/>
                <w:lang w:eastAsia="sq-AL"/>
              </w:rPr>
              <w:br/>
              <w:t>Korniza ligjore është në zbatim</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3.1.2</w:t>
            </w:r>
          </w:p>
        </w:tc>
        <w:tc>
          <w:tcPr>
            <w:tcW w:w="3827" w:type="dxa"/>
            <w:vAlign w:val="center"/>
          </w:tcPr>
          <w:p w:rsidR="00DC4E77" w:rsidRPr="001640C4" w:rsidRDefault="00DC4E77" w:rsidP="00DC4E77">
            <w:pPr>
              <w:spacing w:before="120" w:after="120"/>
              <w:rPr>
                <w:rFonts w:eastAsia="Times New Roman" w:cstheme="majorHAnsi"/>
                <w:sz w:val="20"/>
                <w:szCs w:val="20"/>
                <w:lang w:eastAsia="sq-AL"/>
              </w:rPr>
            </w:pPr>
            <w:r w:rsidRPr="001640C4">
              <w:rPr>
                <w:rFonts w:cstheme="majorHAnsi"/>
                <w:color w:val="000000" w:themeColor="text1"/>
              </w:rPr>
              <w:t>Përgatitja e Udhëzimeve për zbatimin e kornizës së konsoliduar ligjore me raste studimore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2021</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1500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 Donatorët</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MF</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Ministritë e linjës Administrata Tatimore</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cstheme="majorHAnsi"/>
                <w:color w:val="000000" w:themeColor="text1"/>
              </w:rPr>
              <w:t>Udhëzimet janë përgatitur</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3.1.3</w:t>
            </w:r>
          </w:p>
        </w:tc>
        <w:tc>
          <w:tcPr>
            <w:tcW w:w="3827" w:type="dxa"/>
            <w:vAlign w:val="center"/>
          </w:tcPr>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sz w:val="20"/>
                <w:szCs w:val="20"/>
                <w:lang w:eastAsia="sq-AL"/>
              </w:rPr>
              <w:t>Organizimi i sesioneve informuese për shërbyesit civil, duke përfshirë zyrtarët tatimor, për t’i informuar ata për ndryshimet në kornizën ligjore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500</w:t>
            </w:r>
          </w:p>
        </w:tc>
        <w:tc>
          <w:tcPr>
            <w:tcW w:w="1134" w:type="dxa"/>
            <w:shd w:val="clear" w:color="auto" w:fill="auto"/>
            <w:vAlign w:val="center"/>
          </w:tcPr>
          <w:p w:rsidR="00DC4E77" w:rsidRPr="001640C4" w:rsidRDefault="00DC4E77" w:rsidP="00DC4E77">
            <w:pPr>
              <w:rPr>
                <w:rFonts w:cstheme="majorHAnsi"/>
                <w:sz w:val="20"/>
                <w:szCs w:val="20"/>
              </w:rPr>
            </w:pPr>
            <w:r w:rsidRPr="001640C4">
              <w:rPr>
                <w:rFonts w:cstheme="majorHAnsi"/>
                <w:color w:val="000000" w:themeColor="text1"/>
              </w:rPr>
              <w:t>Buxheti i Kosovës</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MF</w:t>
            </w:r>
          </w:p>
          <w:p w:rsidR="00DC4E77" w:rsidRPr="001640C4" w:rsidRDefault="00DC4E77" w:rsidP="00DC4E77">
            <w:pPr>
              <w:rPr>
                <w:rFonts w:cstheme="majorHAnsi"/>
                <w:color w:val="000000" w:themeColor="text1"/>
              </w:rPr>
            </w:pPr>
            <w:r w:rsidRPr="001640C4">
              <w:rPr>
                <w:rFonts w:cstheme="majorHAnsi"/>
                <w:color w:val="000000" w:themeColor="text1"/>
              </w:rPr>
              <w:t>Administrata Tatimore, MAP</w:t>
            </w:r>
          </w:p>
          <w:p w:rsidR="00DC4E77" w:rsidRPr="001640C4" w:rsidRDefault="00DC4E77" w:rsidP="00DC4E77">
            <w:pPr>
              <w:rPr>
                <w:rFonts w:cstheme="majorHAnsi"/>
                <w:sz w:val="20"/>
                <w:szCs w:val="20"/>
              </w:rPr>
            </w:pP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cstheme="majorHAnsi"/>
                <w:color w:val="000000" w:themeColor="text1"/>
              </w:rPr>
              <w:t>Tri sesione informuese të mbajtura</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rPr>
                <w:rFonts w:eastAsia="Times New Roman" w:cstheme="majorHAnsi"/>
                <w:b/>
                <w:i/>
                <w:sz w:val="20"/>
                <w:szCs w:val="20"/>
                <w:lang w:eastAsia="sq-AL"/>
              </w:rPr>
            </w:pPr>
          </w:p>
          <w:p w:rsidR="00DC4E77" w:rsidRPr="001640C4" w:rsidRDefault="00DC4E77" w:rsidP="00DC4E77">
            <w:pPr>
              <w:spacing w:before="120" w:after="120"/>
              <w:rPr>
                <w:rFonts w:eastAsia="Times New Roman" w:cstheme="majorHAnsi"/>
                <w:b/>
                <w:sz w:val="20"/>
                <w:szCs w:val="20"/>
                <w:lang w:eastAsia="sq-AL"/>
              </w:rPr>
            </w:pPr>
            <w:r w:rsidRPr="001640C4">
              <w:rPr>
                <w:rFonts w:eastAsia="Times New Roman" w:cstheme="majorHAnsi"/>
                <w:b/>
                <w:i/>
                <w:sz w:val="20"/>
                <w:szCs w:val="20"/>
                <w:lang w:eastAsia="sq-AL"/>
              </w:rPr>
              <w:t>Buxheti i përgjithshëm për Objektivin Specifik 3.1:</w:t>
            </w:r>
          </w:p>
        </w:tc>
        <w:tc>
          <w:tcPr>
            <w:tcW w:w="1161" w:type="dxa"/>
            <w:shd w:val="clear" w:color="auto" w:fill="F2F2F2"/>
            <w:vAlign w:val="center"/>
          </w:tcPr>
          <w:p w:rsidR="00DC4E77" w:rsidRPr="001640C4" w:rsidRDefault="00DC4E77" w:rsidP="00DC4E77">
            <w:pPr>
              <w:rPr>
                <w:rFonts w:eastAsia="Times New Roman" w:cstheme="majorHAnsi"/>
                <w:b/>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1,500</w:t>
            </w:r>
          </w:p>
        </w:tc>
        <w:tc>
          <w:tcPr>
            <w:tcW w:w="850"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1,500</w:t>
            </w:r>
          </w:p>
        </w:tc>
        <w:tc>
          <w:tcPr>
            <w:tcW w:w="1134"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2,000</w:t>
            </w:r>
          </w:p>
        </w:tc>
        <w:tc>
          <w:tcPr>
            <w:tcW w:w="1134" w:type="dxa"/>
            <w:shd w:val="clear" w:color="auto" w:fill="auto"/>
            <w:vAlign w:val="center"/>
          </w:tcPr>
          <w:p w:rsidR="00DC4E77" w:rsidRPr="001640C4" w:rsidRDefault="00DC4E77" w:rsidP="00DC4E77">
            <w:pPr>
              <w:rPr>
                <w:rFonts w:eastAsia="Times New Roman" w:cstheme="majorHAnsi"/>
                <w:b/>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b/>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b/>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b/>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1,500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1,500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D9D9D9"/>
            <w:vAlign w:val="center"/>
          </w:tcPr>
          <w:p w:rsidR="00DC4E77" w:rsidRPr="001640C4" w:rsidRDefault="00DC4E77" w:rsidP="00DC4E77">
            <w:pPr>
              <w:spacing w:before="120" w:after="120"/>
              <w:jc w:val="center"/>
              <w:rPr>
                <w:rFonts w:eastAsia="Times New Roman" w:cstheme="majorHAnsi"/>
                <w:b/>
                <w:sz w:val="24"/>
                <w:szCs w:val="20"/>
                <w:lang w:eastAsia="sq-AL"/>
              </w:rPr>
            </w:pPr>
          </w:p>
          <w:p w:rsidR="00DC4E77" w:rsidRPr="001640C4" w:rsidRDefault="00DC4E77" w:rsidP="00DC4E77">
            <w:pPr>
              <w:spacing w:before="120" w:after="120"/>
              <w:jc w:val="center"/>
              <w:rPr>
                <w:rFonts w:eastAsia="Times New Roman" w:cstheme="majorHAnsi"/>
                <w:b/>
                <w:sz w:val="24"/>
                <w:szCs w:val="20"/>
                <w:lang w:eastAsia="sq-AL"/>
              </w:rPr>
            </w:pPr>
            <w:r w:rsidRPr="001640C4">
              <w:rPr>
                <w:rFonts w:eastAsia="Times New Roman" w:cstheme="majorHAnsi"/>
                <w:b/>
                <w:sz w:val="24"/>
                <w:szCs w:val="20"/>
                <w:lang w:eastAsia="sq-AL"/>
              </w:rPr>
              <w:t>3.2</w:t>
            </w:r>
          </w:p>
          <w:p w:rsidR="00DC4E77" w:rsidRPr="001640C4" w:rsidRDefault="00DC4E77" w:rsidP="00DC4E77">
            <w:pPr>
              <w:spacing w:before="120" w:after="120"/>
              <w:jc w:val="center"/>
              <w:rPr>
                <w:rFonts w:eastAsia="Times New Roman" w:cstheme="majorHAnsi"/>
                <w:b/>
                <w:sz w:val="24"/>
                <w:szCs w:val="20"/>
                <w:lang w:eastAsia="sq-AL"/>
              </w:rPr>
            </w:pPr>
          </w:p>
        </w:tc>
        <w:tc>
          <w:tcPr>
            <w:tcW w:w="13608" w:type="dxa"/>
            <w:gridSpan w:val="10"/>
            <w:shd w:val="clear" w:color="auto" w:fill="D9D9D9"/>
            <w:vAlign w:val="center"/>
          </w:tcPr>
          <w:p w:rsidR="00DC4E77" w:rsidRPr="001640C4" w:rsidRDefault="00DC4E77" w:rsidP="00DC4E77">
            <w:pPr>
              <w:rPr>
                <w:rFonts w:eastAsia="Times New Roman" w:cstheme="majorHAnsi"/>
                <w:b/>
                <w:sz w:val="24"/>
                <w:szCs w:val="20"/>
                <w:lang w:eastAsia="sq-AL"/>
              </w:rPr>
            </w:pPr>
            <w:r w:rsidRPr="001640C4">
              <w:rPr>
                <w:rFonts w:eastAsia="Times New Roman" w:cstheme="majorHAnsi"/>
                <w:b/>
                <w:sz w:val="24"/>
                <w:szCs w:val="20"/>
                <w:lang w:eastAsia="sq-AL"/>
              </w:rPr>
              <w:t xml:space="preserve">Objektivi specifik: </w:t>
            </w:r>
            <w:r w:rsidRPr="001640C4">
              <w:rPr>
                <w:rFonts w:eastAsia="Times New Roman" w:cstheme="majorHAnsi"/>
                <w:b/>
                <w:color w:val="000000" w:themeColor="text1"/>
                <w:sz w:val="24"/>
              </w:rPr>
              <w:t>Përmirësimi i njohurive të institucioneve rreth mundësive (modeleve) ekzistuese për kontraktimin e OSHC-ve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b/>
                <w:sz w:val="20"/>
                <w:szCs w:val="20"/>
                <w:lang w:eastAsia="sq-AL"/>
              </w:rPr>
              <w:t xml:space="preserve">Treguesi: </w:t>
            </w:r>
            <w:r w:rsidRPr="001640C4">
              <w:rPr>
                <w:rFonts w:eastAsia="Times New Roman" w:cstheme="majorHAnsi"/>
                <w:sz w:val="20"/>
                <w:szCs w:val="20"/>
                <w:lang w:eastAsia="sq-AL"/>
              </w:rPr>
              <w:t>Numri i institucioneve qendrore dhe lokale është plotësuar dhe nevojitet vlerësimi për të identifikuar fushat ku OSHC-të mund të ofrojnë shërbime publike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3</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10</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14</w:t>
            </w:r>
          </w:p>
        </w:tc>
        <w:tc>
          <w:tcPr>
            <w:tcW w:w="4536" w:type="dxa"/>
            <w:gridSpan w:val="4"/>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 xml:space="preserve">Institucionet qendrore dhe lokale kanë kapacitete të mjaftueshme për fushat që OSHC-të mund të oftrojnë shërbime publike. </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2</w:t>
            </w:r>
          </w:p>
        </w:tc>
        <w:tc>
          <w:tcPr>
            <w:tcW w:w="3827"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b/>
                <w:sz w:val="20"/>
                <w:szCs w:val="20"/>
                <w:lang w:eastAsia="sq-AL"/>
              </w:rPr>
              <w:t xml:space="preserve">Treguesi: </w:t>
            </w:r>
            <w:r w:rsidRPr="001640C4">
              <w:rPr>
                <w:rFonts w:eastAsia="Times New Roman" w:cstheme="majorHAnsi"/>
                <w:sz w:val="20"/>
                <w:szCs w:val="20"/>
                <w:lang w:eastAsia="sq-AL"/>
              </w:rPr>
              <w:t>Numri i shërbyesve civil të trajnuar në fushën e kontraktimit të OSHC-ve në lidhje me modelet e ndryshme për ofrimin e shërbimeve publike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10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15</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30</w:t>
            </w:r>
          </w:p>
        </w:tc>
        <w:tc>
          <w:tcPr>
            <w:tcW w:w="4536" w:type="dxa"/>
            <w:gridSpan w:val="4"/>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Shërbyesit civil kanë kapacitete të mjaftueshme për modelet e ndryshme për ofrimin e shërbimeve publike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3</w:t>
            </w:r>
          </w:p>
        </w:tc>
        <w:tc>
          <w:tcPr>
            <w:tcW w:w="3827"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b/>
                <w:sz w:val="20"/>
                <w:szCs w:val="20"/>
                <w:lang w:eastAsia="sq-AL"/>
              </w:rPr>
              <w:t xml:space="preserve">Treguesi: </w:t>
            </w:r>
            <w:r w:rsidRPr="001640C4">
              <w:rPr>
                <w:rFonts w:cstheme="majorHAnsi"/>
                <w:color w:val="000000" w:themeColor="text1"/>
              </w:rPr>
              <w:t>Numri i Ministrive dhe komunave të cilat kanë kontraktuar OSHC për të ofruar shërbime publike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5</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10</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20</w:t>
            </w:r>
          </w:p>
        </w:tc>
        <w:tc>
          <w:tcPr>
            <w:tcW w:w="4536" w:type="dxa"/>
            <w:gridSpan w:val="4"/>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 xml:space="preserve">Ministritë dhe Komunat kanë kontraktuar OSHC për </w:t>
            </w:r>
            <w:r w:rsidRPr="001640C4">
              <w:rPr>
                <w:rFonts w:cstheme="majorHAnsi"/>
                <w:color w:val="000000" w:themeColor="text1"/>
              </w:rPr>
              <w:t>të ofruar shërbime publike</w:t>
            </w:r>
          </w:p>
        </w:tc>
      </w:tr>
      <w:tr w:rsidR="00DC4E77" w:rsidRPr="001640C4" w:rsidTr="00B901E3">
        <w:tc>
          <w:tcPr>
            <w:tcW w:w="709"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lastRenderedPageBreak/>
              <w:t>Nr.</w:t>
            </w:r>
          </w:p>
        </w:tc>
        <w:tc>
          <w:tcPr>
            <w:tcW w:w="3827"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Veprimi</w:t>
            </w:r>
          </w:p>
        </w:tc>
        <w:tc>
          <w:tcPr>
            <w:tcW w:w="1161"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 xml:space="preserve">Buxheti </w:t>
            </w:r>
          </w:p>
        </w:tc>
        <w:tc>
          <w:tcPr>
            <w:tcW w:w="1134"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Institucioni udhëheqës dhe mbështetës</w:t>
            </w:r>
          </w:p>
        </w:tc>
        <w:tc>
          <w:tcPr>
            <w:tcW w:w="19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DC4E77" w:rsidRPr="001640C4" w:rsidTr="00B901E3">
        <w:tc>
          <w:tcPr>
            <w:tcW w:w="709"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61"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2019</w:t>
            </w:r>
          </w:p>
        </w:tc>
        <w:tc>
          <w:tcPr>
            <w:tcW w:w="85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2020</w:t>
            </w:r>
          </w:p>
        </w:tc>
        <w:tc>
          <w:tcPr>
            <w:tcW w:w="1134"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2021</w:t>
            </w:r>
          </w:p>
        </w:tc>
        <w:tc>
          <w:tcPr>
            <w:tcW w:w="1134"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vMerge/>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3.2.1</w:t>
            </w:r>
          </w:p>
        </w:tc>
        <w:tc>
          <w:tcPr>
            <w:tcW w:w="3827" w:type="dxa"/>
            <w:vAlign w:val="center"/>
          </w:tcPr>
          <w:p w:rsidR="00DC4E77" w:rsidRPr="001640C4" w:rsidRDefault="00DC4E77" w:rsidP="00DC4E77">
            <w:pPr>
              <w:spacing w:before="120" w:after="120"/>
              <w:rPr>
                <w:rFonts w:eastAsia="Times New Roman" w:cstheme="majorHAnsi"/>
                <w:sz w:val="20"/>
                <w:szCs w:val="20"/>
                <w:lang w:eastAsia="sq-AL"/>
              </w:rPr>
            </w:pPr>
            <w:r w:rsidRPr="001640C4">
              <w:rPr>
                <w:rFonts w:cstheme="majorHAnsi"/>
                <w:color w:val="000000" w:themeColor="text1"/>
              </w:rPr>
              <w:t>Finalizimi i vlerësimit të nevojave për ofrimin e shërbimeve publike nga OSHC-të në fusha të ndryshme të punës</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3000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w:t>
            </w:r>
            <w:r w:rsidRPr="001640C4">
              <w:rPr>
                <w:rFonts w:cstheme="majorHAnsi"/>
                <w:color w:val="000000" w:themeColor="text1"/>
              </w:rPr>
              <w:br/>
              <w:t>Projekti i AT</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ZKM</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Të gjitha Ministritë e linjës, Komunat</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cstheme="majorHAnsi"/>
                <w:color w:val="000000" w:themeColor="text1"/>
              </w:rPr>
              <w:t>Vlerësimi i nevojave i formuluar për të vendosur standardet dhe procedurat për ofrimin e shërbimeve publike nga OSHC-të</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3.2.2</w:t>
            </w:r>
          </w:p>
        </w:tc>
        <w:tc>
          <w:tcPr>
            <w:tcW w:w="3827" w:type="dxa"/>
            <w:vAlign w:val="center"/>
          </w:tcPr>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sz w:val="20"/>
                <w:szCs w:val="20"/>
                <w:lang w:eastAsia="sq-AL"/>
              </w:rPr>
              <w:t>Dizajnimi dhe zhvillimi i një programi trajnues për shërbyesit civil për të mësuar rreth kornizës ligjore dhe modelet ekzistuese për kontraktimin e OSHC-ve në lidhje me ofrimin e shërbimeve publike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br/>
              <w:t>5000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br/>
              <w:t>3000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w:t>
            </w:r>
            <w:r w:rsidRPr="001640C4">
              <w:rPr>
                <w:rFonts w:cstheme="majorHAnsi"/>
                <w:color w:val="000000" w:themeColor="text1"/>
              </w:rPr>
              <w:br/>
              <w:t>Projekti i AT</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ZKM</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Të gjitha Ministritë e linjës, Komunat</w:t>
            </w: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 xml:space="preserve">Trajnimi është dizajnuar dhe zhvilluar për kornizën ligjore dhe modelet ekzistuese për kontraktimin e OSHC-ve </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Mbajtja e 6 sesioneve të trajnimeve për kontraktim të OSHC-ve</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3.2.3</w:t>
            </w:r>
          </w:p>
        </w:tc>
        <w:tc>
          <w:tcPr>
            <w:tcW w:w="3827" w:type="dxa"/>
            <w:vAlign w:val="center"/>
          </w:tcPr>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sz w:val="20"/>
                <w:szCs w:val="20"/>
                <w:lang w:eastAsia="sq-AL"/>
              </w:rPr>
              <w:t>Lansimi fushates për informim publik për OSHC-të rreth mundësive për të ndihmuar qeverinë të ofrojë shërbime publike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2019</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Buxheti i Kosovës,</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Projekti i AT</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ZKM</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Të gjitha Ministritë e linjës</w:t>
            </w: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 xml:space="preserve">Fushata e informimit publik e përgatitur </w:t>
            </w:r>
            <w:r w:rsidRPr="001640C4">
              <w:rPr>
                <w:rFonts w:eastAsia="Times New Roman" w:cstheme="majorHAnsi"/>
                <w:sz w:val="20"/>
                <w:szCs w:val="20"/>
                <w:lang w:eastAsia="sq-AL"/>
              </w:rPr>
              <w:tab/>
            </w:r>
            <w:r w:rsidRPr="001640C4">
              <w:rPr>
                <w:rFonts w:eastAsia="Times New Roman" w:cstheme="majorHAnsi"/>
                <w:sz w:val="20"/>
                <w:szCs w:val="20"/>
                <w:lang w:eastAsia="sq-AL"/>
              </w:rPr>
              <w:br/>
              <w:t>8 sesioneve të informimit publik të mbajtura</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rPr>
                <w:rFonts w:eastAsia="Times New Roman" w:cstheme="majorHAnsi"/>
                <w:b/>
                <w:i/>
                <w:sz w:val="20"/>
                <w:szCs w:val="20"/>
                <w:lang w:eastAsia="sq-AL"/>
              </w:rPr>
            </w:pPr>
          </w:p>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b/>
                <w:i/>
                <w:sz w:val="20"/>
                <w:szCs w:val="20"/>
                <w:lang w:eastAsia="sq-AL"/>
              </w:rPr>
              <w:t>Buxheti i përgjithshëm për Objektivin Specifik 3.2:</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cstheme="majorHAnsi"/>
                <w:b/>
                <w:sz w:val="20"/>
                <w:szCs w:val="20"/>
              </w:rPr>
              <w:t>5,000</w:t>
            </w:r>
          </w:p>
        </w:tc>
        <w:tc>
          <w:tcPr>
            <w:tcW w:w="850"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cstheme="majorHAnsi"/>
                <w:b/>
                <w:sz w:val="20"/>
                <w:szCs w:val="20"/>
              </w:rPr>
              <w:t>8,000</w:t>
            </w:r>
          </w:p>
        </w:tc>
        <w:tc>
          <w:tcPr>
            <w:tcW w:w="1134"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cstheme="majorHAnsi"/>
                <w:b/>
                <w:sz w:val="20"/>
                <w:szCs w:val="20"/>
              </w:rPr>
              <w:t>5,000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5,000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8,000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sz w:val="20"/>
                <w:szCs w:val="20"/>
              </w:rPr>
              <w:t>5,000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D9D9D9"/>
            <w:vAlign w:val="center"/>
          </w:tcPr>
          <w:p w:rsidR="00DC4E77" w:rsidRPr="001640C4" w:rsidRDefault="00DC4E77" w:rsidP="00DC4E77">
            <w:pPr>
              <w:spacing w:before="120" w:after="120"/>
              <w:jc w:val="center"/>
              <w:rPr>
                <w:rFonts w:eastAsia="Times New Roman" w:cstheme="majorHAnsi"/>
                <w:b/>
                <w:sz w:val="24"/>
                <w:szCs w:val="20"/>
                <w:lang w:eastAsia="sq-AL"/>
              </w:rPr>
            </w:pPr>
          </w:p>
          <w:p w:rsidR="00DC4E77" w:rsidRPr="001640C4" w:rsidRDefault="00DC4E77" w:rsidP="00DC4E77">
            <w:pPr>
              <w:spacing w:before="120" w:after="120"/>
              <w:jc w:val="center"/>
              <w:rPr>
                <w:rFonts w:eastAsia="Times New Roman" w:cstheme="majorHAnsi"/>
                <w:b/>
                <w:sz w:val="24"/>
                <w:szCs w:val="20"/>
                <w:lang w:eastAsia="sq-AL"/>
              </w:rPr>
            </w:pPr>
            <w:r w:rsidRPr="001640C4">
              <w:rPr>
                <w:rFonts w:eastAsia="Times New Roman" w:cstheme="majorHAnsi"/>
                <w:b/>
                <w:sz w:val="24"/>
                <w:szCs w:val="20"/>
                <w:lang w:eastAsia="sq-AL"/>
              </w:rPr>
              <w:t>3.3</w:t>
            </w:r>
          </w:p>
          <w:p w:rsidR="00DC4E77" w:rsidRPr="001640C4" w:rsidRDefault="00DC4E77" w:rsidP="00DC4E77">
            <w:pPr>
              <w:spacing w:before="120" w:after="120"/>
              <w:jc w:val="center"/>
              <w:rPr>
                <w:rFonts w:eastAsia="Times New Roman" w:cstheme="majorHAnsi"/>
                <w:b/>
                <w:sz w:val="24"/>
                <w:szCs w:val="20"/>
                <w:lang w:eastAsia="sq-AL"/>
              </w:rPr>
            </w:pPr>
          </w:p>
        </w:tc>
        <w:tc>
          <w:tcPr>
            <w:tcW w:w="13608" w:type="dxa"/>
            <w:gridSpan w:val="10"/>
            <w:shd w:val="clear" w:color="auto" w:fill="D9D9D9"/>
            <w:vAlign w:val="center"/>
          </w:tcPr>
          <w:p w:rsidR="00DC4E77" w:rsidRPr="001640C4" w:rsidRDefault="00DC4E77" w:rsidP="00DC4E77">
            <w:pPr>
              <w:rPr>
                <w:rFonts w:eastAsia="Times New Roman" w:cstheme="majorHAnsi"/>
                <w:sz w:val="24"/>
                <w:szCs w:val="20"/>
                <w:lang w:eastAsia="sq-AL"/>
              </w:rPr>
            </w:pPr>
            <w:r w:rsidRPr="001640C4">
              <w:rPr>
                <w:rFonts w:eastAsia="Times New Roman" w:cstheme="majorHAnsi"/>
                <w:b/>
                <w:sz w:val="24"/>
                <w:szCs w:val="20"/>
                <w:lang w:eastAsia="sq-AL"/>
              </w:rPr>
              <w:t xml:space="preserve">Objektivi specifik: </w:t>
            </w:r>
            <w:r w:rsidRPr="001640C4">
              <w:rPr>
                <w:rFonts w:cstheme="majorHAnsi"/>
                <w:b/>
                <w:color w:val="000000" w:themeColor="text1"/>
                <w:sz w:val="24"/>
              </w:rPr>
              <w:t>Mbledhje dhe publikim sistematik i informatave mbi potencialin e OshC-ve për te ofruar shërbime publike për institucionet publike</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rPr>
                <w:rFonts w:eastAsia="Times New Roman" w:cstheme="majorHAnsi"/>
                <w:sz w:val="20"/>
                <w:szCs w:val="20"/>
                <w:highlight w:val="yellow"/>
                <w:lang w:eastAsia="sq-AL"/>
              </w:rPr>
            </w:pPr>
            <w:r w:rsidRPr="001640C4">
              <w:rPr>
                <w:rFonts w:eastAsia="Times New Roman" w:cstheme="majorHAnsi"/>
                <w:b/>
                <w:sz w:val="20"/>
                <w:szCs w:val="20"/>
                <w:lang w:eastAsia="sq-AL"/>
              </w:rPr>
              <w:t>Treguesi</w:t>
            </w:r>
            <w:r w:rsidRPr="001640C4">
              <w:rPr>
                <w:rFonts w:eastAsia="Times New Roman" w:cstheme="majorHAnsi"/>
                <w:sz w:val="20"/>
                <w:szCs w:val="20"/>
                <w:lang w:eastAsia="sq-AL"/>
              </w:rPr>
              <w:t xml:space="preserve">: </w:t>
            </w:r>
            <w:r w:rsidRPr="001640C4">
              <w:rPr>
                <w:rFonts w:cstheme="majorHAnsi"/>
                <w:color w:val="000000" w:themeColor="text1"/>
              </w:rPr>
              <w:t>Përqindja e mbledhjes së të dhënave të plotësuar me informacionin për OSHC-të të cilat mund të ofrojnë shërbime publike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20 %</w:t>
            </w:r>
          </w:p>
        </w:tc>
        <w:tc>
          <w:tcPr>
            <w:tcW w:w="4536" w:type="dxa"/>
            <w:gridSpan w:val="4"/>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 xml:space="preserve">Të dhënat për OshC-të që ofrojnë shërbime të kompletuara dhe të publikuara. </w:t>
            </w:r>
          </w:p>
        </w:tc>
      </w:tr>
      <w:tr w:rsidR="00DC4E77" w:rsidRPr="001640C4" w:rsidTr="00B901E3">
        <w:tc>
          <w:tcPr>
            <w:tcW w:w="709"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Nr.</w:t>
            </w:r>
          </w:p>
        </w:tc>
        <w:tc>
          <w:tcPr>
            <w:tcW w:w="3827"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Veprimi</w:t>
            </w:r>
          </w:p>
        </w:tc>
        <w:tc>
          <w:tcPr>
            <w:tcW w:w="1161"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 xml:space="preserve">Buxheti </w:t>
            </w:r>
          </w:p>
        </w:tc>
        <w:tc>
          <w:tcPr>
            <w:tcW w:w="1134"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Institucioni udhëheqës dhe mbështetës</w:t>
            </w:r>
          </w:p>
        </w:tc>
        <w:tc>
          <w:tcPr>
            <w:tcW w:w="19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DC4E77" w:rsidRPr="001640C4" w:rsidTr="00B901E3">
        <w:tc>
          <w:tcPr>
            <w:tcW w:w="709"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61"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2019</w:t>
            </w:r>
          </w:p>
        </w:tc>
        <w:tc>
          <w:tcPr>
            <w:tcW w:w="85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2020</w:t>
            </w:r>
          </w:p>
        </w:tc>
        <w:tc>
          <w:tcPr>
            <w:tcW w:w="1134"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2021</w:t>
            </w:r>
          </w:p>
        </w:tc>
        <w:tc>
          <w:tcPr>
            <w:tcW w:w="1134"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vMerge/>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3..3.1</w:t>
            </w:r>
          </w:p>
        </w:tc>
        <w:tc>
          <w:tcPr>
            <w:tcW w:w="3827" w:type="dxa"/>
            <w:vAlign w:val="center"/>
          </w:tcPr>
          <w:p w:rsidR="00DC4E77" w:rsidRPr="001640C4" w:rsidRDefault="00DC4E77" w:rsidP="00DC4E77">
            <w:pPr>
              <w:spacing w:before="120" w:after="120"/>
              <w:rPr>
                <w:rFonts w:eastAsia="Times New Roman" w:cstheme="majorHAnsi"/>
                <w:sz w:val="20"/>
                <w:szCs w:val="20"/>
                <w:lang w:eastAsia="sq-AL"/>
              </w:rPr>
            </w:pPr>
            <w:r w:rsidRPr="001640C4">
              <w:rPr>
                <w:rFonts w:cstheme="majorHAnsi"/>
                <w:sz w:val="20"/>
                <w:szCs w:val="20"/>
              </w:rPr>
              <w:t>Krijimi i një baze të të dhënave me të gjithë informacionin e nevojshëm për OSHC-të të cilat ofrojnë shërbime publike dhe OSHC-të e mundshme të cilat mund të bëhen ofrues të shërbimeve publike</w:t>
            </w:r>
          </w:p>
        </w:tc>
        <w:tc>
          <w:tcPr>
            <w:tcW w:w="1161" w:type="dxa"/>
            <w:shd w:val="clear" w:color="auto" w:fill="auto"/>
            <w:vAlign w:val="center"/>
          </w:tcPr>
          <w:p w:rsidR="00DC4E77" w:rsidRPr="001640C4" w:rsidRDefault="00DC4E77" w:rsidP="00DC4E77">
            <w:pPr>
              <w:rPr>
                <w:rFonts w:eastAsia="Calibri" w:cstheme="majorHAnsi"/>
                <w:bCs/>
                <w:sz w:val="20"/>
                <w:szCs w:val="20"/>
              </w:rPr>
            </w:pPr>
            <w:r w:rsidRPr="001640C4">
              <w:rPr>
                <w:rFonts w:eastAsia="Calibri" w:cstheme="majorHAnsi"/>
                <w:bCs/>
                <w:sz w:val="20"/>
                <w:szCs w:val="20"/>
              </w:rPr>
              <w:t>2019</w:t>
            </w:r>
          </w:p>
          <w:p w:rsidR="00DC4E77" w:rsidRPr="001640C4" w:rsidRDefault="00DC4E77" w:rsidP="00DC4E77">
            <w:pPr>
              <w:rPr>
                <w:rFonts w:eastAsia="Times New Roman" w:cstheme="majorHAnsi"/>
                <w:sz w:val="20"/>
                <w:szCs w:val="20"/>
                <w:lang w:eastAsia="sq-AL"/>
              </w:rPr>
            </w:pPr>
            <w:r w:rsidRPr="001640C4">
              <w:rPr>
                <w:rFonts w:eastAsia="Calibri" w:cstheme="majorHAnsi"/>
                <w:bCs/>
                <w:sz w:val="20"/>
                <w:szCs w:val="20"/>
              </w:rPr>
              <w:t>2020</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5000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15000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 Donatorët</w:t>
            </w:r>
          </w:p>
        </w:tc>
        <w:tc>
          <w:tcPr>
            <w:tcW w:w="1276" w:type="dxa"/>
            <w:gridSpan w:val="2"/>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ZKM,</w:t>
            </w:r>
            <w:r w:rsidRPr="001640C4">
              <w:rPr>
                <w:rFonts w:eastAsia="Times New Roman" w:cstheme="majorHAnsi"/>
                <w:sz w:val="20"/>
                <w:szCs w:val="20"/>
                <w:lang w:eastAsia="sq-AL"/>
              </w:rPr>
              <w:tab/>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Të gjitha ministritë</w:t>
            </w: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Dizajni i databazës i kompletuar</w:t>
            </w:r>
            <w:r w:rsidRPr="001640C4">
              <w:rPr>
                <w:rFonts w:eastAsia="Times New Roman" w:cstheme="majorHAnsi"/>
                <w:sz w:val="20"/>
                <w:szCs w:val="20"/>
                <w:lang w:eastAsia="sq-AL"/>
              </w:rPr>
              <w:br/>
              <w:t>Databaza e të dhënave është lansuar</w:t>
            </w:r>
            <w:r w:rsidRPr="001640C4">
              <w:rPr>
                <w:rFonts w:eastAsia="Times New Roman" w:cstheme="majorHAnsi"/>
                <w:sz w:val="20"/>
                <w:szCs w:val="20"/>
                <w:lang w:eastAsia="sq-AL"/>
              </w:rPr>
              <w:tab/>
              <w:t>Të gjitha OSHC-të janë regjistruar si ofrues të mundshëm të shërbimeve publike</w:t>
            </w:r>
          </w:p>
        </w:tc>
        <w:tc>
          <w:tcPr>
            <w:tcW w:w="1330" w:type="dxa"/>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rPr>
                <w:rFonts w:eastAsia="Times New Roman" w:cstheme="majorHAnsi"/>
                <w:b/>
                <w:i/>
                <w:sz w:val="20"/>
                <w:szCs w:val="20"/>
                <w:lang w:eastAsia="sq-AL"/>
              </w:rPr>
            </w:pPr>
          </w:p>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b/>
                <w:i/>
                <w:sz w:val="20"/>
                <w:szCs w:val="20"/>
                <w:lang w:eastAsia="sq-AL"/>
              </w:rPr>
              <w:t>Buxheti i përgjithshëm për Objektivin Specifik 3.3:</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5,000</w:t>
            </w:r>
          </w:p>
        </w:tc>
        <w:tc>
          <w:tcPr>
            <w:tcW w:w="850"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1,000</w:t>
            </w:r>
          </w:p>
        </w:tc>
        <w:tc>
          <w:tcPr>
            <w:tcW w:w="1134"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15,000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5,000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15,000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D9D9D9"/>
            <w:vAlign w:val="center"/>
          </w:tcPr>
          <w:p w:rsidR="00DC4E77" w:rsidRPr="001640C4" w:rsidRDefault="00DC4E77" w:rsidP="00DC4E77">
            <w:pPr>
              <w:spacing w:before="120" w:after="120"/>
              <w:jc w:val="center"/>
              <w:rPr>
                <w:rFonts w:eastAsia="Times New Roman" w:cstheme="majorHAnsi"/>
                <w:b/>
                <w:sz w:val="24"/>
                <w:szCs w:val="20"/>
                <w:lang w:eastAsia="sq-AL"/>
              </w:rPr>
            </w:pPr>
          </w:p>
          <w:p w:rsidR="00DC4E77" w:rsidRPr="001640C4" w:rsidRDefault="00DC4E77" w:rsidP="00DC4E77">
            <w:pPr>
              <w:spacing w:before="120" w:after="120"/>
              <w:jc w:val="center"/>
              <w:rPr>
                <w:rFonts w:eastAsia="Times New Roman" w:cstheme="majorHAnsi"/>
                <w:b/>
                <w:sz w:val="24"/>
                <w:szCs w:val="20"/>
                <w:lang w:eastAsia="sq-AL"/>
              </w:rPr>
            </w:pPr>
            <w:r w:rsidRPr="001640C4">
              <w:rPr>
                <w:rFonts w:eastAsia="Times New Roman" w:cstheme="majorHAnsi"/>
                <w:b/>
                <w:sz w:val="24"/>
                <w:szCs w:val="20"/>
                <w:lang w:eastAsia="sq-AL"/>
              </w:rPr>
              <w:t>3.4</w:t>
            </w:r>
          </w:p>
          <w:p w:rsidR="00DC4E77" w:rsidRPr="001640C4" w:rsidRDefault="00DC4E77" w:rsidP="00DC4E77">
            <w:pPr>
              <w:spacing w:before="120" w:after="120"/>
              <w:jc w:val="center"/>
              <w:rPr>
                <w:rFonts w:eastAsia="Times New Roman" w:cstheme="majorHAnsi"/>
                <w:b/>
                <w:sz w:val="24"/>
                <w:szCs w:val="20"/>
                <w:lang w:eastAsia="sq-AL"/>
              </w:rPr>
            </w:pPr>
          </w:p>
        </w:tc>
        <w:tc>
          <w:tcPr>
            <w:tcW w:w="13608" w:type="dxa"/>
            <w:gridSpan w:val="10"/>
            <w:shd w:val="clear" w:color="auto" w:fill="D9D9D9"/>
            <w:vAlign w:val="center"/>
          </w:tcPr>
          <w:p w:rsidR="00DC4E77" w:rsidRPr="001640C4" w:rsidRDefault="00DC4E77" w:rsidP="00DC4E77">
            <w:pPr>
              <w:rPr>
                <w:rFonts w:eastAsia="Times New Roman" w:cstheme="majorHAnsi"/>
                <w:sz w:val="24"/>
                <w:szCs w:val="20"/>
                <w:lang w:eastAsia="sq-AL"/>
              </w:rPr>
            </w:pPr>
            <w:r w:rsidRPr="001640C4">
              <w:rPr>
                <w:rFonts w:eastAsia="Times New Roman" w:cstheme="majorHAnsi"/>
                <w:b/>
                <w:sz w:val="24"/>
                <w:szCs w:val="20"/>
                <w:lang w:eastAsia="sq-AL"/>
              </w:rPr>
              <w:t xml:space="preserve">Objektivi specifik: </w:t>
            </w:r>
            <w:r w:rsidRPr="001640C4">
              <w:rPr>
                <w:rFonts w:cstheme="majorHAnsi"/>
                <w:b/>
                <w:color w:val="000000" w:themeColor="text1"/>
                <w:sz w:val="24"/>
              </w:rPr>
              <w:t>Përmirësimi i legjislacionit që rregullon standardet dhe procedurat për ofrimin e shërbimeve publike nga OSHC-të</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rPr>
                <w:rFonts w:eastAsia="Times New Roman" w:cstheme="majorHAnsi"/>
                <w:sz w:val="20"/>
                <w:szCs w:val="20"/>
                <w:highlight w:val="yellow"/>
                <w:lang w:eastAsia="sq-AL"/>
              </w:rPr>
            </w:pPr>
            <w:r w:rsidRPr="001640C4">
              <w:rPr>
                <w:rFonts w:eastAsia="Times New Roman" w:cstheme="majorHAnsi"/>
                <w:b/>
                <w:sz w:val="20"/>
                <w:szCs w:val="20"/>
                <w:lang w:eastAsia="sq-AL"/>
              </w:rPr>
              <w:t>Treguesi</w:t>
            </w:r>
            <w:r w:rsidRPr="001640C4">
              <w:rPr>
                <w:rFonts w:eastAsia="Times New Roman" w:cstheme="majorHAnsi"/>
                <w:sz w:val="20"/>
                <w:szCs w:val="20"/>
                <w:lang w:eastAsia="sq-AL"/>
              </w:rPr>
              <w:t xml:space="preserve">: </w:t>
            </w:r>
            <w:r w:rsidRPr="001640C4">
              <w:rPr>
                <w:rFonts w:cstheme="majorHAnsi"/>
                <w:color w:val="000000" w:themeColor="text1"/>
              </w:rPr>
              <w:t>Legjislacioni i cili rregullon standardet dhe procedurat për ofrimin e shërbimeve publike nga OSHC-të është ndryshuar</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cstheme="majorHAnsi"/>
                <w:color w:val="000000" w:themeColor="text1"/>
              </w:rPr>
              <w:t>Qartësimi dhe përgatitja e ligjeve përkatëse (në bazë të analizës ligjore të zhvilluar) dhe janë qartësuar</w:t>
            </w: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cstheme="majorHAnsi"/>
                <w:color w:val="000000" w:themeColor="text1"/>
                <w:sz w:val="20"/>
              </w:rPr>
              <w:t>Zbatimi i ndryshimeve të nevojshme të ligjeve përkatëse</w:t>
            </w:r>
          </w:p>
        </w:tc>
        <w:tc>
          <w:tcPr>
            <w:tcW w:w="4536" w:type="dxa"/>
            <w:gridSpan w:val="4"/>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Legjislacioni i cili rregullon standardet dhe procedurat për ofrimin e shërbimeve publike nga OSHC-të në fuqi.</w:t>
            </w:r>
          </w:p>
        </w:tc>
      </w:tr>
      <w:tr w:rsidR="00DC4E77" w:rsidRPr="001640C4" w:rsidTr="00B901E3">
        <w:trPr>
          <w:trHeight w:val="4498"/>
        </w:trPr>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lastRenderedPageBreak/>
              <w:t>2</w:t>
            </w:r>
          </w:p>
        </w:tc>
        <w:tc>
          <w:tcPr>
            <w:tcW w:w="3827"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Treguesi</w:t>
            </w:r>
            <w:r w:rsidRPr="001640C4">
              <w:rPr>
                <w:rFonts w:eastAsia="Times New Roman" w:cstheme="majorHAnsi"/>
                <w:sz w:val="20"/>
                <w:szCs w:val="20"/>
                <w:lang w:eastAsia="sq-AL"/>
              </w:rPr>
              <w:t>:</w:t>
            </w:r>
            <w:r w:rsidRPr="001640C4">
              <w:rPr>
                <w:rFonts w:cstheme="majorHAnsi"/>
                <w:color w:val="000000" w:themeColor="text1"/>
              </w:rPr>
              <w:t xml:space="preserve"> Personeli përkatës i ministrive dhe komunave e përdorin Doracakun Online me udhëzimet për kontraktimin e OSHC-ve për të ofruar shërbime në bazë të kornizës ligjore të ndryshuar</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Nuk ka udhëzime të qarta për kontraktimin e OSHC-ve për ofrimin e shërbimeve publike</w:t>
            </w:r>
          </w:p>
        </w:tc>
        <w:tc>
          <w:tcPr>
            <w:tcW w:w="1134" w:type="dxa"/>
            <w:shd w:val="clear" w:color="auto" w:fill="auto"/>
            <w:vAlign w:val="center"/>
          </w:tcPr>
          <w:p w:rsidR="00DC4E77" w:rsidRPr="001640C4" w:rsidRDefault="00DC4E77" w:rsidP="00DC4E77">
            <w:pPr>
              <w:rPr>
                <w:rFonts w:cstheme="majorHAnsi"/>
                <w:color w:val="000000" w:themeColor="text1"/>
                <w:sz w:val="20"/>
              </w:rPr>
            </w:pPr>
            <w:r w:rsidRPr="001640C4">
              <w:rPr>
                <w:rFonts w:cstheme="majorHAnsi"/>
                <w:color w:val="000000" w:themeColor="text1"/>
                <w:sz w:val="20"/>
              </w:rPr>
              <w:t>Manuali me udhëzime për kontraktimin e OSHC-ve për ofrimin e shërbimeve publike i përgatitur dhe shpërndarë</w:t>
            </w:r>
          </w:p>
        </w:tc>
        <w:tc>
          <w:tcPr>
            <w:tcW w:w="4536" w:type="dxa"/>
            <w:gridSpan w:val="4"/>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Manuali me udhëzime për kontraktimin e OSHC-ve për ofrimin e shërbimeve publike i shfrytëzeshëm.</w:t>
            </w:r>
          </w:p>
        </w:tc>
      </w:tr>
      <w:tr w:rsidR="00DC4E77" w:rsidRPr="001640C4" w:rsidTr="00B901E3">
        <w:tc>
          <w:tcPr>
            <w:tcW w:w="709"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Nr.</w:t>
            </w:r>
          </w:p>
        </w:tc>
        <w:tc>
          <w:tcPr>
            <w:tcW w:w="3827"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Veprimi</w:t>
            </w:r>
          </w:p>
        </w:tc>
        <w:tc>
          <w:tcPr>
            <w:tcW w:w="1161"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 xml:space="preserve">Buxheti </w:t>
            </w:r>
          </w:p>
        </w:tc>
        <w:tc>
          <w:tcPr>
            <w:tcW w:w="1134"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Institucioni udhëheqës dhe mbështetës</w:t>
            </w:r>
          </w:p>
        </w:tc>
        <w:tc>
          <w:tcPr>
            <w:tcW w:w="19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DC4E77" w:rsidRPr="001640C4" w:rsidTr="00B901E3">
        <w:tc>
          <w:tcPr>
            <w:tcW w:w="709"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61"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2019</w:t>
            </w:r>
          </w:p>
        </w:tc>
        <w:tc>
          <w:tcPr>
            <w:tcW w:w="85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2020</w:t>
            </w:r>
          </w:p>
        </w:tc>
        <w:tc>
          <w:tcPr>
            <w:tcW w:w="1134"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2021</w:t>
            </w:r>
          </w:p>
        </w:tc>
        <w:tc>
          <w:tcPr>
            <w:tcW w:w="1134"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vMerge/>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3..4.1</w:t>
            </w:r>
          </w:p>
        </w:tc>
        <w:tc>
          <w:tcPr>
            <w:tcW w:w="3827" w:type="dxa"/>
            <w:vAlign w:val="center"/>
          </w:tcPr>
          <w:p w:rsidR="00DC4E77" w:rsidRPr="001640C4" w:rsidRDefault="00DC4E77" w:rsidP="00DC4E77">
            <w:pPr>
              <w:spacing w:before="120" w:after="120"/>
              <w:rPr>
                <w:rFonts w:eastAsia="Times New Roman" w:cstheme="majorHAnsi"/>
                <w:sz w:val="20"/>
                <w:szCs w:val="20"/>
                <w:lang w:eastAsia="sq-AL"/>
              </w:rPr>
            </w:pPr>
            <w:r w:rsidRPr="001640C4">
              <w:rPr>
                <w:rFonts w:cstheme="majorHAnsi"/>
                <w:color w:val="000000" w:themeColor="text1"/>
              </w:rPr>
              <w:t>Krijimi i standardeve, procedurave dhe kritereve për rregullimin e ofrimit të shërbimeve publike nga OSHC-të</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2021</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4000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Donatorët</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ZKM</w:t>
            </w:r>
            <w:r w:rsidRPr="001640C4">
              <w:rPr>
                <w:rFonts w:cstheme="majorHAnsi"/>
                <w:color w:val="000000" w:themeColor="text1"/>
              </w:rPr>
              <w:br/>
              <w:t>Të gjitha ministritë relevante</w:t>
            </w:r>
          </w:p>
        </w:tc>
        <w:tc>
          <w:tcPr>
            <w:tcW w:w="1930" w:type="dxa"/>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cstheme="majorHAnsi"/>
                <w:color w:val="000000" w:themeColor="text1"/>
              </w:rPr>
              <w:t>Standardet dhe Procedurat janë hartuar dhe miratuar</w:t>
            </w:r>
          </w:p>
        </w:tc>
        <w:tc>
          <w:tcPr>
            <w:tcW w:w="1330" w:type="dxa"/>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3.4.2.</w:t>
            </w:r>
          </w:p>
        </w:tc>
        <w:tc>
          <w:tcPr>
            <w:tcW w:w="3827" w:type="dxa"/>
            <w:shd w:val="clear" w:color="auto" w:fill="auto"/>
            <w:vAlign w:val="center"/>
          </w:tcPr>
          <w:p w:rsidR="00DC4E77" w:rsidRPr="001640C4" w:rsidRDefault="00DC4E77" w:rsidP="00DC4E77">
            <w:pPr>
              <w:rPr>
                <w:rFonts w:cstheme="majorHAnsi"/>
                <w:b/>
                <w:color w:val="000000" w:themeColor="text1"/>
              </w:rPr>
            </w:pPr>
            <w:r w:rsidRPr="001640C4">
              <w:rPr>
                <w:rFonts w:cstheme="majorHAnsi"/>
                <w:color w:val="000000" w:themeColor="text1"/>
              </w:rPr>
              <w:t>Përgatitja e Manuali Online me udhëzime për kontraktimin e OSHC-ve për ofrimin e shërbimeve publike, në bazë të kornizës ligjore të ndryshuar</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5000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Donatorët</w:t>
            </w:r>
          </w:p>
        </w:tc>
        <w:tc>
          <w:tcPr>
            <w:tcW w:w="1276" w:type="dxa"/>
            <w:gridSpan w:val="2"/>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ZKM</w:t>
            </w:r>
            <w:r w:rsidRPr="001640C4">
              <w:rPr>
                <w:rFonts w:cstheme="majorHAnsi"/>
                <w:color w:val="000000" w:themeColor="text1"/>
              </w:rPr>
              <w:br/>
              <w:t>Të gjitha ministritë relevante</w:t>
            </w:r>
          </w:p>
        </w:tc>
        <w:tc>
          <w:tcPr>
            <w:tcW w:w="1930" w:type="dxa"/>
            <w:shd w:val="clear" w:color="auto" w:fill="auto"/>
            <w:vAlign w:val="center"/>
          </w:tcPr>
          <w:p w:rsidR="00DC4E77" w:rsidRPr="001640C4" w:rsidRDefault="00DC4E77" w:rsidP="00DC4E77">
            <w:pPr>
              <w:jc w:val="left"/>
              <w:rPr>
                <w:rFonts w:cstheme="majorHAnsi"/>
                <w:color w:val="000000" w:themeColor="text1"/>
              </w:rPr>
            </w:pPr>
            <w:r w:rsidRPr="001640C4">
              <w:rPr>
                <w:rFonts w:cstheme="majorHAnsi"/>
                <w:color w:val="000000" w:themeColor="text1"/>
              </w:rPr>
              <w:t xml:space="preserve">Doracaku me udhëzime për kontraktimin e OSHC-ve për ofrimin e shërbimeve publike është përgatitur dhe shpërndarë, në bazë të kornizës </w:t>
            </w:r>
            <w:r w:rsidRPr="001640C4">
              <w:rPr>
                <w:rFonts w:cstheme="majorHAnsi"/>
                <w:color w:val="000000" w:themeColor="text1"/>
              </w:rPr>
              <w:lastRenderedPageBreak/>
              <w:t>ligjore të ndryshuar</w:t>
            </w:r>
          </w:p>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Manuali i publikuar në uebfaqe</w:t>
            </w: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rPr>
                <w:rFonts w:eastAsia="Times New Roman" w:cstheme="majorHAnsi"/>
                <w:b/>
                <w:i/>
                <w:sz w:val="20"/>
                <w:szCs w:val="20"/>
                <w:lang w:eastAsia="sq-AL"/>
              </w:rPr>
            </w:pPr>
          </w:p>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b/>
                <w:i/>
                <w:sz w:val="20"/>
                <w:szCs w:val="20"/>
                <w:lang w:eastAsia="sq-AL"/>
              </w:rPr>
              <w:t>Buxheti i përgjithshëm për Objektivin Specifik 3.3:</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1,000</w:t>
            </w:r>
          </w:p>
        </w:tc>
        <w:tc>
          <w:tcPr>
            <w:tcW w:w="850"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4,000</w:t>
            </w:r>
          </w:p>
        </w:tc>
        <w:tc>
          <w:tcPr>
            <w:tcW w:w="1134"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5,000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rPr>
          <w:trHeight w:val="720"/>
        </w:trPr>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4,000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5,000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Nr.</w:t>
            </w:r>
          </w:p>
        </w:tc>
        <w:tc>
          <w:tcPr>
            <w:tcW w:w="3827" w:type="dxa"/>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Objektivat strategjike dhe specifike, treguesit dhe veprimet</w:t>
            </w:r>
          </w:p>
        </w:tc>
        <w:tc>
          <w:tcPr>
            <w:tcW w:w="2127" w:type="dxa"/>
            <w:gridSpan w:val="2"/>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Vlera bazë </w:t>
            </w:r>
          </w:p>
        </w:tc>
        <w:tc>
          <w:tcPr>
            <w:tcW w:w="1984" w:type="dxa"/>
            <w:gridSpan w:val="2"/>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Objektivi i përkohshëm [2019]</w:t>
            </w:r>
          </w:p>
        </w:tc>
        <w:tc>
          <w:tcPr>
            <w:tcW w:w="1134" w:type="dxa"/>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Synimi i vitit të fundit [2021] </w:t>
            </w:r>
          </w:p>
        </w:tc>
        <w:tc>
          <w:tcPr>
            <w:tcW w:w="4536" w:type="dxa"/>
            <w:gridSpan w:val="4"/>
            <w:shd w:val="clear" w:color="auto" w:fill="BDD6EE"/>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Rezultati </w:t>
            </w:r>
          </w:p>
        </w:tc>
      </w:tr>
      <w:tr w:rsidR="00DC4E77" w:rsidRPr="001640C4" w:rsidTr="00B901E3">
        <w:tc>
          <w:tcPr>
            <w:tcW w:w="709" w:type="dxa"/>
            <w:shd w:val="clear" w:color="auto" w:fill="BFBFBF"/>
            <w:vAlign w:val="center"/>
          </w:tcPr>
          <w:p w:rsidR="00DC4E77" w:rsidRPr="001640C4" w:rsidRDefault="00DC4E77" w:rsidP="00DC4E77">
            <w:pPr>
              <w:spacing w:before="120" w:after="120"/>
              <w:jc w:val="center"/>
              <w:rPr>
                <w:rFonts w:eastAsia="Times New Roman" w:cstheme="majorHAnsi"/>
                <w:b/>
                <w:sz w:val="20"/>
                <w:szCs w:val="20"/>
                <w:lang w:eastAsia="sq-AL"/>
              </w:rPr>
            </w:pPr>
          </w:p>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b/>
                <w:sz w:val="20"/>
                <w:szCs w:val="20"/>
                <w:lang w:eastAsia="sq-AL"/>
              </w:rPr>
              <w:t>4.</w:t>
            </w:r>
          </w:p>
        </w:tc>
        <w:tc>
          <w:tcPr>
            <w:tcW w:w="13608" w:type="dxa"/>
            <w:gridSpan w:val="10"/>
            <w:tcBorders>
              <w:right w:val="single" w:sz="4" w:space="0" w:color="auto"/>
            </w:tcBorders>
            <w:shd w:val="clear" w:color="auto" w:fill="BFBFBF"/>
            <w:vAlign w:val="center"/>
          </w:tcPr>
          <w:p w:rsidR="00DC4E77" w:rsidRPr="001640C4" w:rsidRDefault="00DC4E77" w:rsidP="00DC4E77">
            <w:pPr>
              <w:rPr>
                <w:rFonts w:eastAsia="Times New Roman" w:cstheme="majorHAnsi"/>
                <w:b/>
                <w:sz w:val="32"/>
                <w:szCs w:val="20"/>
                <w:lang w:eastAsia="sq-AL"/>
              </w:rPr>
            </w:pPr>
          </w:p>
          <w:p w:rsidR="00DC4E77" w:rsidRPr="001640C4" w:rsidRDefault="00DC4E77" w:rsidP="00DC4E77">
            <w:pPr>
              <w:rPr>
                <w:rFonts w:eastAsia="Times New Roman" w:cstheme="majorHAnsi"/>
                <w:b/>
                <w:sz w:val="32"/>
                <w:szCs w:val="20"/>
                <w:lang w:eastAsia="sq-AL"/>
              </w:rPr>
            </w:pPr>
            <w:r w:rsidRPr="001640C4">
              <w:rPr>
                <w:rFonts w:eastAsia="Times New Roman" w:cstheme="majorHAnsi"/>
                <w:b/>
                <w:sz w:val="32"/>
                <w:szCs w:val="20"/>
                <w:lang w:eastAsia="sq-AL"/>
              </w:rPr>
              <w:t>Objektivi strategjik: Rritja dhe promovimi i vullnetarizmit në programet me interes publik</w:t>
            </w:r>
          </w:p>
          <w:p w:rsidR="00DC4E77" w:rsidRPr="001640C4" w:rsidRDefault="00DC4E77" w:rsidP="00DC4E77">
            <w:pPr>
              <w:rPr>
                <w:rFonts w:eastAsia="Times New Roman" w:cstheme="majorHAnsi"/>
                <w:b/>
                <w:sz w:val="20"/>
                <w:szCs w:val="20"/>
                <w:lang w:eastAsia="sq-AL"/>
              </w:rPr>
            </w:pPr>
          </w:p>
        </w:tc>
      </w:tr>
      <w:tr w:rsidR="00653E8F" w:rsidRPr="001640C4" w:rsidTr="00A07751">
        <w:trPr>
          <w:trHeight w:val="788"/>
        </w:trPr>
        <w:tc>
          <w:tcPr>
            <w:tcW w:w="709" w:type="dxa"/>
            <w:shd w:val="clear" w:color="auto" w:fill="auto"/>
            <w:vAlign w:val="center"/>
          </w:tcPr>
          <w:p w:rsidR="00653E8F" w:rsidRPr="001640C4" w:rsidRDefault="00653E8F" w:rsidP="00653E8F">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653E8F" w:rsidRPr="001640C4" w:rsidRDefault="00653E8F" w:rsidP="00653E8F">
            <w:pPr>
              <w:jc w:val="left"/>
              <w:rPr>
                <w:rFonts w:eastAsia="Times New Roman"/>
                <w:b/>
                <w:sz w:val="20"/>
                <w:szCs w:val="20"/>
                <w:lang w:eastAsia="sq-AL"/>
              </w:rPr>
            </w:pPr>
            <w:r w:rsidRPr="001640C4">
              <w:rPr>
                <w:rFonts w:eastAsia="Times New Roman"/>
                <w:b/>
                <w:sz w:val="20"/>
                <w:szCs w:val="20"/>
                <w:lang w:eastAsia="sq-AL"/>
              </w:rPr>
              <w:t xml:space="preserve">Indicator: </w:t>
            </w:r>
            <w:r w:rsidRPr="001640C4">
              <w:rPr>
                <w:color w:val="000000"/>
              </w:rPr>
              <w:t>Numri i vullnetarëve të përfshirë në OShC</w:t>
            </w:r>
            <w:r w:rsidRPr="001640C4">
              <w:rPr>
                <w:rFonts w:eastAsia="Times New Roman"/>
                <w:sz w:val="20"/>
                <w:szCs w:val="20"/>
                <w:lang w:eastAsia="sq-AL"/>
              </w:rPr>
              <w:t xml:space="preserve"> </w:t>
            </w:r>
          </w:p>
        </w:tc>
        <w:tc>
          <w:tcPr>
            <w:tcW w:w="2127" w:type="dxa"/>
            <w:gridSpan w:val="2"/>
            <w:shd w:val="clear" w:color="auto" w:fill="auto"/>
          </w:tcPr>
          <w:p w:rsidR="00653E8F" w:rsidRPr="001640C4" w:rsidRDefault="00802C32" w:rsidP="00653E8F">
            <w:pPr>
              <w:rPr>
                <w:rFonts w:eastAsia="Times New Roman"/>
                <w:sz w:val="20"/>
                <w:szCs w:val="20"/>
                <w:lang w:eastAsia="sq-AL"/>
              </w:rPr>
            </w:pPr>
            <w:r w:rsidRPr="001640C4">
              <w:rPr>
                <w:color w:val="000000"/>
              </w:rPr>
              <w:t>Numri i vullnetarëve është rritur në OShC</w:t>
            </w:r>
          </w:p>
        </w:tc>
        <w:tc>
          <w:tcPr>
            <w:tcW w:w="1984" w:type="dxa"/>
            <w:gridSpan w:val="2"/>
            <w:shd w:val="clear" w:color="auto" w:fill="auto"/>
          </w:tcPr>
          <w:p w:rsidR="00653E8F" w:rsidRPr="001640C4" w:rsidRDefault="00653E8F" w:rsidP="00653E8F">
            <w:pPr>
              <w:jc w:val="center"/>
              <w:rPr>
                <w:rFonts w:eastAsia="Times New Roman"/>
                <w:sz w:val="20"/>
                <w:szCs w:val="20"/>
                <w:lang w:eastAsia="sq-AL"/>
              </w:rPr>
            </w:pPr>
            <w:r w:rsidRPr="001640C4">
              <w:rPr>
                <w:color w:val="000000"/>
              </w:rPr>
              <w:t xml:space="preserve">5 % </w:t>
            </w:r>
            <w:r w:rsidR="00802C32" w:rsidRPr="001640C4">
              <w:rPr>
                <w:color w:val="000000"/>
              </w:rPr>
              <w:t xml:space="preserve">rritje e pjesëmarrjës së vullnetarëve në OShC </w:t>
            </w:r>
          </w:p>
        </w:tc>
        <w:tc>
          <w:tcPr>
            <w:tcW w:w="1134" w:type="dxa"/>
            <w:shd w:val="clear" w:color="auto" w:fill="auto"/>
          </w:tcPr>
          <w:p w:rsidR="00653E8F" w:rsidRPr="001640C4" w:rsidRDefault="00802C32" w:rsidP="00653E8F">
            <w:pPr>
              <w:jc w:val="center"/>
              <w:rPr>
                <w:rFonts w:eastAsia="Times New Roman"/>
                <w:sz w:val="20"/>
                <w:szCs w:val="20"/>
                <w:lang w:eastAsia="sq-AL"/>
              </w:rPr>
            </w:pPr>
            <w:r w:rsidRPr="001640C4">
              <w:rPr>
                <w:color w:val="000000"/>
              </w:rPr>
              <w:t>10 % rritje e pjesëmarrjës së vullnetarëve në OShC</w:t>
            </w:r>
          </w:p>
        </w:tc>
        <w:tc>
          <w:tcPr>
            <w:tcW w:w="4536" w:type="dxa"/>
            <w:gridSpan w:val="4"/>
            <w:shd w:val="clear" w:color="auto" w:fill="auto"/>
            <w:vAlign w:val="center"/>
          </w:tcPr>
          <w:p w:rsidR="00653E8F" w:rsidRPr="001640C4" w:rsidRDefault="00802C32" w:rsidP="00802C32">
            <w:pPr>
              <w:jc w:val="left"/>
              <w:rPr>
                <w:rFonts w:eastAsia="Times New Roman"/>
                <w:sz w:val="20"/>
                <w:szCs w:val="20"/>
                <w:lang w:eastAsia="sq-AL"/>
              </w:rPr>
            </w:pPr>
            <w:r w:rsidRPr="001640C4">
              <w:rPr>
                <w:rFonts w:eastAsia="Times New Roman"/>
                <w:sz w:val="20"/>
                <w:szCs w:val="20"/>
                <w:lang w:eastAsia="sq-AL"/>
              </w:rPr>
              <w:t>Programet e OShC-ve me interes publik janë më të qëndrueshme si rezultat i rritjes së numrit të vullnetarëve të përfshirë</w:t>
            </w:r>
          </w:p>
        </w:tc>
      </w:tr>
      <w:tr w:rsidR="00DC4E77" w:rsidRPr="001640C4" w:rsidTr="00B901E3">
        <w:tc>
          <w:tcPr>
            <w:tcW w:w="709" w:type="dxa"/>
            <w:shd w:val="clear" w:color="auto" w:fill="D9D9D9"/>
            <w:vAlign w:val="center"/>
          </w:tcPr>
          <w:p w:rsidR="00DC4E77" w:rsidRPr="001640C4" w:rsidRDefault="00DC4E77" w:rsidP="00DC4E77">
            <w:pPr>
              <w:spacing w:before="120" w:after="120"/>
              <w:jc w:val="center"/>
              <w:rPr>
                <w:rFonts w:eastAsia="Times New Roman" w:cstheme="majorHAnsi"/>
                <w:b/>
                <w:sz w:val="24"/>
                <w:szCs w:val="20"/>
                <w:lang w:eastAsia="sq-AL"/>
              </w:rPr>
            </w:pPr>
          </w:p>
          <w:p w:rsidR="00DC4E77" w:rsidRPr="001640C4" w:rsidRDefault="00DC4E77" w:rsidP="00DC4E77">
            <w:pPr>
              <w:spacing w:before="120" w:after="120"/>
              <w:jc w:val="center"/>
              <w:rPr>
                <w:rFonts w:eastAsia="Times New Roman" w:cstheme="majorHAnsi"/>
                <w:b/>
                <w:sz w:val="24"/>
                <w:szCs w:val="20"/>
                <w:lang w:eastAsia="sq-AL"/>
              </w:rPr>
            </w:pPr>
            <w:r w:rsidRPr="001640C4">
              <w:rPr>
                <w:rFonts w:eastAsia="Times New Roman" w:cstheme="majorHAnsi"/>
                <w:b/>
                <w:sz w:val="24"/>
                <w:szCs w:val="20"/>
                <w:lang w:eastAsia="sq-AL"/>
              </w:rPr>
              <w:t>4.1</w:t>
            </w:r>
          </w:p>
          <w:p w:rsidR="00DC4E77" w:rsidRPr="001640C4" w:rsidRDefault="00DC4E77" w:rsidP="00DC4E77">
            <w:pPr>
              <w:spacing w:before="120" w:after="120"/>
              <w:jc w:val="center"/>
              <w:rPr>
                <w:rFonts w:eastAsia="Times New Roman" w:cstheme="majorHAnsi"/>
                <w:b/>
                <w:sz w:val="24"/>
                <w:szCs w:val="20"/>
                <w:lang w:eastAsia="sq-AL"/>
              </w:rPr>
            </w:pPr>
          </w:p>
        </w:tc>
        <w:tc>
          <w:tcPr>
            <w:tcW w:w="13608" w:type="dxa"/>
            <w:gridSpan w:val="10"/>
            <w:shd w:val="clear" w:color="auto" w:fill="D9D9D9"/>
            <w:vAlign w:val="center"/>
          </w:tcPr>
          <w:p w:rsidR="00DC4E77" w:rsidRPr="001640C4" w:rsidRDefault="00DC4E77" w:rsidP="00DC4E77">
            <w:pPr>
              <w:spacing w:before="100" w:beforeAutospacing="1" w:after="100" w:afterAutospacing="1"/>
              <w:rPr>
                <w:rFonts w:eastAsia="Times New Roman" w:cstheme="majorHAnsi"/>
                <w:sz w:val="24"/>
                <w:szCs w:val="20"/>
                <w:lang w:eastAsia="sq-AL"/>
              </w:rPr>
            </w:pPr>
            <w:r w:rsidRPr="001640C4">
              <w:rPr>
                <w:rFonts w:eastAsia="Times New Roman" w:cstheme="majorHAnsi"/>
                <w:b/>
                <w:sz w:val="24"/>
                <w:szCs w:val="20"/>
                <w:lang w:eastAsia="sq-AL"/>
              </w:rPr>
              <w:t>Objektivi specifik:</w:t>
            </w:r>
            <w:r w:rsidRPr="001640C4">
              <w:rPr>
                <w:rFonts w:eastAsia="Times New Roman" w:cstheme="majorHAnsi"/>
                <w:sz w:val="24"/>
                <w:szCs w:val="20"/>
                <w:lang w:eastAsia="sq-AL"/>
              </w:rPr>
              <w:t xml:space="preserve"> </w:t>
            </w:r>
            <w:r w:rsidRPr="001640C4">
              <w:rPr>
                <w:rFonts w:eastAsia="Times New Roman" w:cstheme="majorHAnsi"/>
                <w:b/>
                <w:color w:val="000000" w:themeColor="text1"/>
                <w:sz w:val="24"/>
              </w:rPr>
              <w:t>Krijimi i një kornize gjithëpërfshirëse ligjore dhe institucionale për të ndihmuar në zhvillimin e vullnetarizmit</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b/>
                <w:sz w:val="20"/>
                <w:szCs w:val="20"/>
                <w:lang w:eastAsia="sq-AL"/>
              </w:rPr>
              <w:t xml:space="preserve">Treguesi: </w:t>
            </w:r>
            <w:r w:rsidRPr="001640C4">
              <w:rPr>
                <w:rFonts w:cstheme="majorHAnsi"/>
                <w:color w:val="000000" w:themeColor="text1"/>
              </w:rPr>
              <w:t>Korniza ligjore dhe institucionale gjithëpërfshirëse për mbështetjen e zhvillimit të vullnetarizmit është miratuar</w:t>
            </w:r>
          </w:p>
        </w:tc>
        <w:tc>
          <w:tcPr>
            <w:tcW w:w="2127" w:type="dxa"/>
            <w:gridSpan w:val="2"/>
            <w:shd w:val="clear" w:color="auto" w:fill="auto"/>
            <w:vAlign w:val="center"/>
          </w:tcPr>
          <w:p w:rsidR="00DC4E77" w:rsidRPr="001640C4" w:rsidRDefault="00FE49CC" w:rsidP="00FE49CC">
            <w:pPr>
              <w:jc w:val="left"/>
              <w:rPr>
                <w:rFonts w:eastAsia="Times New Roman" w:cstheme="majorHAnsi"/>
                <w:sz w:val="20"/>
                <w:szCs w:val="20"/>
                <w:lang w:eastAsia="sq-AL"/>
              </w:rPr>
            </w:pPr>
            <w:r w:rsidRPr="001640C4">
              <w:rPr>
                <w:rFonts w:eastAsia="Times New Roman" w:cstheme="majorHAnsi"/>
                <w:sz w:val="20"/>
                <w:szCs w:val="20"/>
                <w:lang w:eastAsia="sq-AL"/>
              </w:rPr>
              <w:t>Kuadri ligjor kufizues për rregullimin dhe promovimin e vullnetarizmit</w:t>
            </w:r>
          </w:p>
        </w:tc>
        <w:tc>
          <w:tcPr>
            <w:tcW w:w="1984" w:type="dxa"/>
            <w:gridSpan w:val="2"/>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 xml:space="preserve">Korniza ligjore për Vullnetarizëm e miratuar duke siguruar qasje integrale për rregullimin e vullnetarizmit dhe </w:t>
            </w:r>
            <w:r w:rsidRPr="001640C4">
              <w:rPr>
                <w:rFonts w:eastAsia="Times New Roman" w:cstheme="majorHAnsi"/>
                <w:sz w:val="20"/>
                <w:szCs w:val="20"/>
                <w:lang w:eastAsia="sq-AL"/>
              </w:rPr>
              <w:lastRenderedPageBreak/>
              <w:t>përcaktimin e përgjegjësive të qarta institucionale në këtë fushë</w:t>
            </w:r>
          </w:p>
        </w:tc>
        <w:tc>
          <w:tcPr>
            <w:tcW w:w="1134" w:type="dxa"/>
            <w:shd w:val="clear" w:color="auto" w:fill="auto"/>
            <w:vAlign w:val="center"/>
          </w:tcPr>
          <w:p w:rsidR="00DC4E77" w:rsidRPr="001640C4" w:rsidRDefault="00FE49CC" w:rsidP="00FE49CC">
            <w:pPr>
              <w:jc w:val="left"/>
              <w:rPr>
                <w:rFonts w:eastAsia="Times New Roman" w:cstheme="majorHAnsi"/>
                <w:sz w:val="20"/>
                <w:szCs w:val="20"/>
                <w:lang w:eastAsia="sq-AL"/>
              </w:rPr>
            </w:pPr>
            <w:r w:rsidRPr="001640C4">
              <w:rPr>
                <w:rFonts w:eastAsia="Times New Roman" w:cstheme="majorHAnsi"/>
                <w:sz w:val="20"/>
                <w:szCs w:val="20"/>
                <w:lang w:eastAsia="sq-AL"/>
              </w:rPr>
              <w:lastRenderedPageBreak/>
              <w:t xml:space="preserve">Kuadri ligjor dhe institucional për mbështetjen e zhvillimit </w:t>
            </w:r>
            <w:r w:rsidRPr="001640C4">
              <w:rPr>
                <w:rFonts w:eastAsia="Times New Roman" w:cstheme="majorHAnsi"/>
                <w:sz w:val="20"/>
                <w:szCs w:val="20"/>
                <w:lang w:eastAsia="sq-AL"/>
              </w:rPr>
              <w:lastRenderedPageBreak/>
              <w:t>të vullnetarizmit plotësisht funksional</w:t>
            </w:r>
          </w:p>
        </w:tc>
        <w:tc>
          <w:tcPr>
            <w:tcW w:w="4536" w:type="dxa"/>
            <w:gridSpan w:val="4"/>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lastRenderedPageBreak/>
              <w:t>Korniza ligjore për vullnetarizmin është miratuar për të siguruar qasjen e integruar të vullnetarizmit dhe përcaktimin e qartë të përgjegjësive institucionale në këtë fushë</w:t>
            </w:r>
          </w:p>
          <w:p w:rsidR="00DC4E77" w:rsidRPr="001640C4" w:rsidRDefault="00DC4E77" w:rsidP="00DC4E77">
            <w:pPr>
              <w:rPr>
                <w:rFonts w:cstheme="majorHAnsi"/>
                <w:color w:val="000000" w:themeColor="text1"/>
              </w:rPr>
            </w:pPr>
          </w:p>
          <w:p w:rsidR="00DC4E77" w:rsidRPr="001640C4" w:rsidRDefault="00DC4E77" w:rsidP="00DC4E77">
            <w:pPr>
              <w:rPr>
                <w:rFonts w:cstheme="majorHAnsi"/>
                <w:color w:val="000000" w:themeColor="text1"/>
              </w:rPr>
            </w:pPr>
            <w:r w:rsidRPr="001640C4">
              <w:rPr>
                <w:rFonts w:cstheme="majorHAnsi"/>
                <w:color w:val="000000" w:themeColor="text1"/>
              </w:rPr>
              <w:lastRenderedPageBreak/>
              <w:t>Korniza ligjore dhe institucional për mbështetjen e zhvillimit të vullnetarizmit plotësisht funksional</w:t>
            </w:r>
          </w:p>
          <w:p w:rsidR="00FE49CC" w:rsidRPr="001640C4" w:rsidRDefault="00FE49CC" w:rsidP="00DC4E77">
            <w:pPr>
              <w:rPr>
                <w:rFonts w:cstheme="majorHAnsi"/>
                <w:color w:val="000000" w:themeColor="text1"/>
              </w:rPr>
            </w:pPr>
            <w:r w:rsidRPr="001640C4">
              <w:rPr>
                <w:rFonts w:cstheme="majorHAnsi"/>
                <w:color w:val="000000" w:themeColor="text1"/>
              </w:rPr>
              <w:t>Perceptimi i OSHC-ve se kuadri ligjor është stimulues për promovimin e vullnetarizmit (30%)</w:t>
            </w:r>
          </w:p>
        </w:tc>
      </w:tr>
      <w:tr w:rsidR="00DC4E77" w:rsidRPr="001640C4" w:rsidTr="00B901E3">
        <w:tc>
          <w:tcPr>
            <w:tcW w:w="709"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lastRenderedPageBreak/>
              <w:t>Nr.</w:t>
            </w:r>
          </w:p>
        </w:tc>
        <w:tc>
          <w:tcPr>
            <w:tcW w:w="3827"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 xml:space="preserve">Veprimi </w:t>
            </w:r>
          </w:p>
        </w:tc>
        <w:tc>
          <w:tcPr>
            <w:tcW w:w="1161"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Buxheti</w:t>
            </w:r>
          </w:p>
        </w:tc>
        <w:tc>
          <w:tcPr>
            <w:tcW w:w="1134"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Institucioni udhëheqës dhe mbështetës</w:t>
            </w:r>
          </w:p>
        </w:tc>
        <w:tc>
          <w:tcPr>
            <w:tcW w:w="19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DC4E77" w:rsidRPr="001640C4" w:rsidTr="00B901E3">
        <w:tc>
          <w:tcPr>
            <w:tcW w:w="709"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61"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2019</w:t>
            </w:r>
          </w:p>
        </w:tc>
        <w:tc>
          <w:tcPr>
            <w:tcW w:w="85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2020</w:t>
            </w:r>
          </w:p>
        </w:tc>
        <w:tc>
          <w:tcPr>
            <w:tcW w:w="1134"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2021</w:t>
            </w:r>
          </w:p>
        </w:tc>
        <w:tc>
          <w:tcPr>
            <w:tcW w:w="1134"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vMerge/>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4.1.1</w:t>
            </w:r>
          </w:p>
        </w:tc>
        <w:tc>
          <w:tcPr>
            <w:tcW w:w="3827" w:type="dxa"/>
            <w:shd w:val="clear" w:color="auto" w:fill="auto"/>
            <w:vAlign w:val="center"/>
          </w:tcPr>
          <w:p w:rsidR="00DC4E77" w:rsidRPr="001640C4" w:rsidRDefault="00DC4E77" w:rsidP="00DC4E77">
            <w:pPr>
              <w:rPr>
                <w:rFonts w:cstheme="majorHAnsi"/>
                <w:b/>
                <w:color w:val="000000" w:themeColor="text1"/>
              </w:rPr>
            </w:pPr>
            <w:r w:rsidRPr="001640C4">
              <w:rPr>
                <w:rFonts w:cstheme="majorHAnsi"/>
                <w:color w:val="000000" w:themeColor="text1"/>
              </w:rPr>
              <w:t xml:space="preserve">Të hartohet dhe miratohet Koncept Dokumenti mbi Vullnetarizmin </w:t>
            </w:r>
          </w:p>
          <w:p w:rsidR="00DC4E77" w:rsidRPr="001640C4" w:rsidRDefault="00DC4E77" w:rsidP="00DC4E77">
            <w:pPr>
              <w:rPr>
                <w:rFonts w:cstheme="majorHAnsi"/>
                <w:b/>
                <w:color w:val="000000" w:themeColor="text1"/>
              </w:rPr>
            </w:pPr>
          </w:p>
          <w:p w:rsidR="00DC4E77" w:rsidRPr="001640C4" w:rsidRDefault="00DC4E77" w:rsidP="00DC4E77">
            <w:pPr>
              <w:spacing w:before="120" w:after="120"/>
              <w:rPr>
                <w:rFonts w:eastAsia="Times New Roman" w:cstheme="majorHAnsi"/>
                <w:sz w:val="20"/>
                <w:szCs w:val="20"/>
                <w:lang w:eastAsia="sq-AL"/>
              </w:rPr>
            </w:pP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2020</w:t>
            </w:r>
          </w:p>
        </w:tc>
        <w:tc>
          <w:tcPr>
            <w:tcW w:w="966" w:type="dxa"/>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1000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Buxheti i Kosovës</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 xml:space="preserve">Donatorët </w:t>
            </w:r>
          </w:p>
        </w:tc>
        <w:tc>
          <w:tcPr>
            <w:tcW w:w="1276" w:type="dxa"/>
            <w:gridSpan w:val="2"/>
            <w:tcBorders>
              <w:top w:val="single" w:sz="4" w:space="0" w:color="auto"/>
              <w:left w:val="nil"/>
              <w:bottom w:val="single" w:sz="4" w:space="0" w:color="auto"/>
              <w:right w:val="nil"/>
            </w:tcBorders>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ZKM</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MF</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AT</w:t>
            </w:r>
          </w:p>
        </w:tc>
        <w:tc>
          <w:tcPr>
            <w:tcW w:w="1930" w:type="dxa"/>
            <w:shd w:val="clear" w:color="auto" w:fill="auto"/>
            <w:vAlign w:val="center"/>
          </w:tcPr>
          <w:p w:rsidR="00DC4E77" w:rsidRPr="001640C4" w:rsidRDefault="00DC4E77" w:rsidP="00DC4E77">
            <w:pPr>
              <w:jc w:val="left"/>
              <w:rPr>
                <w:rFonts w:cstheme="majorHAnsi"/>
                <w:color w:val="000000" w:themeColor="text1"/>
              </w:rPr>
            </w:pPr>
            <w:r w:rsidRPr="001640C4">
              <w:rPr>
                <w:rFonts w:cstheme="majorHAnsi"/>
                <w:color w:val="000000" w:themeColor="text1"/>
              </w:rPr>
              <w:t>Koncept dokumenti për rregullimin dhe promovimin e vullnetarizmit i përgatitur</w:t>
            </w:r>
          </w:p>
          <w:p w:rsidR="00DC4E77" w:rsidRPr="001640C4" w:rsidRDefault="00DC4E77" w:rsidP="00DC4E77">
            <w:pPr>
              <w:jc w:val="left"/>
              <w:rPr>
                <w:rFonts w:cstheme="majorHAnsi"/>
                <w:color w:val="000000" w:themeColor="text1"/>
              </w:rPr>
            </w:pPr>
            <w:r w:rsidRPr="001640C4">
              <w:rPr>
                <w:rFonts w:cstheme="majorHAnsi"/>
                <w:color w:val="000000" w:themeColor="text1"/>
              </w:rPr>
              <w:t>Rekomandimet e koncept dokumentit mbi vullnetarizmin dhe masat të tjera të nevojshme të miratuara</w:t>
            </w:r>
          </w:p>
          <w:p w:rsidR="00DC4E77" w:rsidRPr="001640C4" w:rsidRDefault="00DC4E77" w:rsidP="00DC4E77">
            <w:pPr>
              <w:rPr>
                <w:rFonts w:cstheme="majorHAnsi"/>
                <w:color w:val="000000" w:themeColor="text1"/>
              </w:rPr>
            </w:pPr>
            <w:r w:rsidRPr="001640C4">
              <w:rPr>
                <w:rFonts w:cstheme="majorHAnsi"/>
                <w:color w:val="000000" w:themeColor="text1"/>
              </w:rPr>
              <w:t>Rekomandimet e koncept dokumentit janë miratuar duke siguruar zbatimin e qëndrueshëm</w:t>
            </w:r>
          </w:p>
          <w:p w:rsidR="00DC4E77" w:rsidRPr="001640C4" w:rsidRDefault="00DC4E77" w:rsidP="00DC4E77">
            <w:pPr>
              <w:rPr>
                <w:rFonts w:cstheme="majorHAnsi"/>
                <w:color w:val="000000" w:themeColor="text1"/>
              </w:rPr>
            </w:pPr>
          </w:p>
          <w:p w:rsidR="00DC4E77" w:rsidRPr="001640C4" w:rsidRDefault="00DC4E77" w:rsidP="00DC4E77">
            <w:pPr>
              <w:rPr>
                <w:rFonts w:eastAsia="Times New Roman" w:cstheme="majorHAnsi"/>
                <w:sz w:val="20"/>
                <w:szCs w:val="20"/>
                <w:lang w:eastAsia="sq-AL"/>
              </w:rPr>
            </w:pPr>
          </w:p>
        </w:tc>
        <w:tc>
          <w:tcPr>
            <w:tcW w:w="1330" w:type="dxa"/>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 xml:space="preserve">Vendimi për hartimin e Koncept Dokumentit </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4.1.2</w:t>
            </w:r>
          </w:p>
        </w:tc>
        <w:tc>
          <w:tcPr>
            <w:tcW w:w="3827" w:type="dxa"/>
            <w:shd w:val="clear" w:color="auto" w:fill="auto"/>
            <w:vAlign w:val="center"/>
          </w:tcPr>
          <w:p w:rsidR="00DC4E77" w:rsidRPr="001640C4" w:rsidRDefault="00DC4E77" w:rsidP="00DC4E77">
            <w:pPr>
              <w:rPr>
                <w:rFonts w:cstheme="majorHAnsi"/>
                <w:sz w:val="20"/>
                <w:szCs w:val="20"/>
              </w:rPr>
            </w:pPr>
          </w:p>
          <w:p w:rsidR="00DC4E77" w:rsidRPr="001640C4" w:rsidRDefault="00DC4E77" w:rsidP="00DC4E77">
            <w:pPr>
              <w:rPr>
                <w:rFonts w:cstheme="majorHAnsi"/>
                <w:sz w:val="20"/>
                <w:szCs w:val="20"/>
              </w:rPr>
            </w:pPr>
            <w:r w:rsidRPr="001640C4">
              <w:rPr>
                <w:rFonts w:cstheme="majorHAnsi"/>
                <w:color w:val="000000" w:themeColor="text1"/>
              </w:rPr>
              <w:t>Implementimi i rekomandimeve nga Koncept dokumenti</w:t>
            </w:r>
          </w:p>
          <w:p w:rsidR="00DC4E77" w:rsidRPr="001640C4" w:rsidRDefault="00DC4E77" w:rsidP="00DC4E77">
            <w:pPr>
              <w:rPr>
                <w:rFonts w:cstheme="majorHAnsi"/>
                <w:sz w:val="20"/>
                <w:szCs w:val="20"/>
              </w:rPr>
            </w:pP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2021</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5000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Buxheti i Kosovës</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 xml:space="preserve">Donatorët </w:t>
            </w:r>
          </w:p>
        </w:tc>
        <w:tc>
          <w:tcPr>
            <w:tcW w:w="1276" w:type="dxa"/>
            <w:gridSpan w:val="2"/>
            <w:tcBorders>
              <w:top w:val="single" w:sz="4" w:space="0" w:color="auto"/>
              <w:left w:val="nil"/>
              <w:bottom w:val="single" w:sz="4" w:space="0" w:color="auto"/>
              <w:right w:val="nil"/>
            </w:tcBorders>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ZKM</w:t>
            </w:r>
          </w:p>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MF</w:t>
            </w:r>
          </w:p>
        </w:tc>
        <w:tc>
          <w:tcPr>
            <w:tcW w:w="193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 xml:space="preserve">Koncept dokumenti për rregullimin dhe promovimin e </w:t>
            </w:r>
            <w:r w:rsidRPr="001640C4">
              <w:rPr>
                <w:rFonts w:cstheme="majorHAnsi"/>
                <w:color w:val="000000" w:themeColor="text1"/>
              </w:rPr>
              <w:lastRenderedPageBreak/>
              <w:t>vullnetarizmit i përgatitur</w:t>
            </w:r>
          </w:p>
          <w:p w:rsidR="00DC4E77" w:rsidRPr="001640C4" w:rsidRDefault="00DC4E77" w:rsidP="00DC4E77">
            <w:pPr>
              <w:rPr>
                <w:rFonts w:cstheme="majorHAnsi"/>
                <w:color w:val="000000" w:themeColor="text1"/>
              </w:rPr>
            </w:pPr>
          </w:p>
          <w:p w:rsidR="00DC4E77" w:rsidRPr="001640C4" w:rsidRDefault="00DC4E77" w:rsidP="00DC4E77">
            <w:pPr>
              <w:rPr>
                <w:rFonts w:cstheme="majorHAnsi"/>
                <w:color w:val="000000" w:themeColor="text1"/>
              </w:rPr>
            </w:pPr>
            <w:r w:rsidRPr="001640C4">
              <w:rPr>
                <w:rFonts w:cstheme="majorHAnsi"/>
                <w:color w:val="000000" w:themeColor="text1"/>
              </w:rPr>
              <w:t>Rekomandimet e koncept dokumentit mbi vullnetarizmin dhe masat të tjera të nevojshme të miratuara</w:t>
            </w:r>
          </w:p>
          <w:p w:rsidR="00DC4E77" w:rsidRPr="001640C4" w:rsidRDefault="00DC4E77" w:rsidP="00DC4E77">
            <w:pPr>
              <w:rPr>
                <w:rFonts w:cstheme="majorHAnsi"/>
                <w:color w:val="000000" w:themeColor="text1"/>
              </w:rPr>
            </w:pPr>
            <w:r w:rsidRPr="001640C4">
              <w:rPr>
                <w:rFonts w:cstheme="majorHAnsi"/>
                <w:color w:val="000000" w:themeColor="text1"/>
              </w:rPr>
              <w:t>Rekomandimet e koncept dokumentit janë miratuar duke siguruar zbatimin e qëndrueshëm</w:t>
            </w:r>
          </w:p>
          <w:p w:rsidR="00DC4E77" w:rsidRPr="001640C4" w:rsidRDefault="00DC4E77" w:rsidP="00DC4E77">
            <w:pPr>
              <w:rPr>
                <w:rFonts w:cstheme="majorHAnsi"/>
                <w:color w:val="000000" w:themeColor="text1"/>
              </w:rPr>
            </w:pPr>
          </w:p>
          <w:p w:rsidR="00DC4E77" w:rsidRPr="001640C4" w:rsidRDefault="00DC4E77" w:rsidP="00DC4E77">
            <w:pPr>
              <w:rPr>
                <w:rFonts w:eastAsia="Times New Roman" w:cstheme="majorHAnsi"/>
                <w:sz w:val="20"/>
                <w:szCs w:val="20"/>
                <w:lang w:eastAsia="sq-AL"/>
              </w:rPr>
            </w:pPr>
          </w:p>
        </w:tc>
        <w:tc>
          <w:tcPr>
            <w:tcW w:w="1330" w:type="dxa"/>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rPr>
                <w:rFonts w:eastAsia="Times New Roman" w:cstheme="majorHAnsi"/>
                <w:b/>
                <w:i/>
                <w:sz w:val="20"/>
                <w:szCs w:val="20"/>
                <w:lang w:eastAsia="sq-AL"/>
              </w:rPr>
            </w:pPr>
          </w:p>
          <w:p w:rsidR="00DC4E77" w:rsidRPr="001640C4" w:rsidRDefault="00DC4E77" w:rsidP="00DC4E77">
            <w:pPr>
              <w:spacing w:before="120" w:after="120"/>
              <w:rPr>
                <w:rFonts w:eastAsia="Times New Roman" w:cstheme="majorHAnsi"/>
                <w:b/>
                <w:sz w:val="20"/>
                <w:szCs w:val="20"/>
                <w:lang w:eastAsia="sq-AL"/>
              </w:rPr>
            </w:pPr>
            <w:r w:rsidRPr="001640C4">
              <w:rPr>
                <w:rFonts w:eastAsia="Times New Roman" w:cstheme="majorHAnsi"/>
                <w:b/>
                <w:i/>
                <w:sz w:val="20"/>
                <w:szCs w:val="20"/>
                <w:lang w:eastAsia="sq-AL"/>
              </w:rPr>
              <w:t>Buxheti i përgjithshëm për Objektivin Specifik 4.1:</w:t>
            </w:r>
          </w:p>
        </w:tc>
        <w:tc>
          <w:tcPr>
            <w:tcW w:w="1161" w:type="dxa"/>
            <w:shd w:val="clear" w:color="auto" w:fill="F2F2F2"/>
            <w:vAlign w:val="center"/>
          </w:tcPr>
          <w:p w:rsidR="00DC4E77" w:rsidRPr="001640C4" w:rsidRDefault="00DC4E77" w:rsidP="00DC4E77">
            <w:pPr>
              <w:rPr>
                <w:rFonts w:eastAsia="Times New Roman" w:cstheme="majorHAnsi"/>
                <w:b/>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2,000</w:t>
            </w:r>
          </w:p>
        </w:tc>
        <w:tc>
          <w:tcPr>
            <w:tcW w:w="850"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1,000</w:t>
            </w:r>
          </w:p>
        </w:tc>
        <w:tc>
          <w:tcPr>
            <w:tcW w:w="1134"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5,000</w:t>
            </w:r>
          </w:p>
        </w:tc>
        <w:tc>
          <w:tcPr>
            <w:tcW w:w="1134" w:type="dxa"/>
            <w:shd w:val="clear" w:color="auto" w:fill="auto"/>
            <w:vAlign w:val="center"/>
          </w:tcPr>
          <w:p w:rsidR="00DC4E77" w:rsidRPr="001640C4" w:rsidRDefault="00DC4E77" w:rsidP="00DC4E77">
            <w:pPr>
              <w:rPr>
                <w:rFonts w:eastAsia="Times New Roman" w:cstheme="majorHAnsi"/>
                <w:b/>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b/>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b/>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b/>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cstheme="majorHAnsi"/>
              </w:rPr>
            </w:pPr>
            <w:r w:rsidRPr="001640C4">
              <w:rPr>
                <w:rFonts w:cstheme="majorHAnsi"/>
              </w:rPr>
              <w:t>2,000</w:t>
            </w:r>
          </w:p>
        </w:tc>
        <w:tc>
          <w:tcPr>
            <w:tcW w:w="850" w:type="dxa"/>
            <w:shd w:val="clear" w:color="auto" w:fill="auto"/>
            <w:vAlign w:val="center"/>
          </w:tcPr>
          <w:p w:rsidR="00DC4E77" w:rsidRPr="001640C4" w:rsidRDefault="00DC4E77" w:rsidP="00DC4E77">
            <w:pPr>
              <w:rPr>
                <w:rFonts w:cstheme="majorHAnsi"/>
              </w:rPr>
            </w:pPr>
            <w:r w:rsidRPr="001640C4">
              <w:rPr>
                <w:rFonts w:cstheme="majorHAnsi"/>
              </w:rPr>
              <w:t>1,000</w:t>
            </w:r>
          </w:p>
        </w:tc>
        <w:tc>
          <w:tcPr>
            <w:tcW w:w="1134" w:type="dxa"/>
            <w:shd w:val="clear" w:color="auto" w:fill="auto"/>
            <w:vAlign w:val="center"/>
          </w:tcPr>
          <w:p w:rsidR="00DC4E77" w:rsidRPr="001640C4" w:rsidRDefault="00DC4E77" w:rsidP="00DC4E77">
            <w:pPr>
              <w:rPr>
                <w:rFonts w:cstheme="majorHAnsi"/>
              </w:rPr>
            </w:pPr>
            <w:r w:rsidRPr="001640C4">
              <w:rPr>
                <w:rFonts w:cstheme="majorHAnsi"/>
              </w:rPr>
              <w:t>5,000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D9D9D9"/>
            <w:vAlign w:val="center"/>
          </w:tcPr>
          <w:p w:rsidR="00DC4E77" w:rsidRPr="001640C4" w:rsidRDefault="00DC4E77" w:rsidP="00DC4E77">
            <w:pPr>
              <w:spacing w:before="120" w:after="120"/>
              <w:rPr>
                <w:rFonts w:eastAsia="Times New Roman" w:cstheme="majorHAnsi"/>
                <w:b/>
                <w:sz w:val="20"/>
                <w:szCs w:val="20"/>
                <w:lang w:eastAsia="sq-AL"/>
              </w:rPr>
            </w:pPr>
          </w:p>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4.2</w:t>
            </w:r>
          </w:p>
          <w:p w:rsidR="00DC4E77" w:rsidRPr="001640C4" w:rsidRDefault="00DC4E77" w:rsidP="00DC4E77">
            <w:pPr>
              <w:spacing w:before="120" w:after="120"/>
              <w:jc w:val="center"/>
              <w:rPr>
                <w:rFonts w:eastAsia="Times New Roman" w:cstheme="majorHAnsi"/>
                <w:b/>
                <w:sz w:val="20"/>
                <w:szCs w:val="20"/>
                <w:lang w:eastAsia="sq-AL"/>
              </w:rPr>
            </w:pPr>
          </w:p>
        </w:tc>
        <w:tc>
          <w:tcPr>
            <w:tcW w:w="13608" w:type="dxa"/>
            <w:gridSpan w:val="10"/>
            <w:shd w:val="clear" w:color="auto" w:fill="D9D9D9"/>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b/>
                <w:sz w:val="20"/>
                <w:szCs w:val="20"/>
                <w:lang w:eastAsia="sq-AL"/>
              </w:rPr>
              <w:t xml:space="preserve">Objektivi specifik: </w:t>
            </w:r>
            <w:r w:rsidRPr="001640C4">
              <w:rPr>
                <w:rFonts w:eastAsia="Times New Roman" w:cstheme="majorHAnsi"/>
                <w:b/>
                <w:color w:val="000000" w:themeColor="text1"/>
              </w:rPr>
              <w:t>Zhvillimi i kapaciteteve të OSHC-ve për të rekrutuar, angazhuar dhe menaxhuar vullnetarët</w:t>
            </w:r>
            <w:r w:rsidRPr="001640C4">
              <w:rPr>
                <w:rFonts w:eastAsia="Times New Roman" w:cstheme="majorHAnsi"/>
                <w:color w:val="000000" w:themeColor="text1"/>
              </w:rPr>
              <w:t xml:space="preserve">  </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b/>
                <w:sz w:val="20"/>
                <w:szCs w:val="20"/>
                <w:lang w:eastAsia="sq-AL"/>
              </w:rPr>
              <w:t xml:space="preserve">Treguesi: </w:t>
            </w:r>
            <w:r w:rsidRPr="001640C4">
              <w:rPr>
                <w:rFonts w:cstheme="majorHAnsi"/>
                <w:color w:val="000000" w:themeColor="text1"/>
              </w:rPr>
              <w:t>Skema e granteve e zhvilluar për financimin e aktiviteteve për zhvillimin e kapaciteteve të OSHC-ve për menaxhimin efektiv të vullnetarëve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4536" w:type="dxa"/>
            <w:gridSpan w:val="4"/>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Disa OShC veprojnë si qendra burimore vullnetare për të ofruar trajnime për menaxhimin efektiv të vullnetarizmit</w:t>
            </w: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2</w:t>
            </w:r>
          </w:p>
        </w:tc>
        <w:tc>
          <w:tcPr>
            <w:tcW w:w="3827" w:type="dxa"/>
            <w:shd w:val="clear" w:color="auto" w:fill="auto"/>
            <w:vAlign w:val="center"/>
          </w:tcPr>
          <w:p w:rsidR="00DC4E77" w:rsidRPr="001640C4" w:rsidRDefault="00DC4E77" w:rsidP="00DC4E77">
            <w:pPr>
              <w:rPr>
                <w:rFonts w:eastAsia="Times New Roman" w:cstheme="majorHAnsi"/>
                <w:b/>
                <w:sz w:val="20"/>
                <w:szCs w:val="20"/>
                <w:lang w:eastAsia="sq-AL"/>
              </w:rPr>
            </w:pPr>
            <w:r w:rsidRPr="001640C4">
              <w:rPr>
                <w:rFonts w:eastAsia="Times New Roman" w:cstheme="majorHAnsi"/>
                <w:b/>
                <w:sz w:val="20"/>
                <w:szCs w:val="20"/>
                <w:lang w:eastAsia="sq-AL"/>
              </w:rPr>
              <w:t xml:space="preserve">Treguesi: </w:t>
            </w:r>
            <w:r w:rsidRPr="001640C4">
              <w:rPr>
                <w:rFonts w:cstheme="majorHAnsi"/>
                <w:color w:val="000000" w:themeColor="text1"/>
              </w:rPr>
              <w:t>Zhvillimi i një Manuali me udhëzime për angazhimin dhe menaxhimin e vullnetarëve</w:t>
            </w: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984"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4536" w:type="dxa"/>
            <w:gridSpan w:val="4"/>
            <w:shd w:val="clear" w:color="auto" w:fill="auto"/>
            <w:vAlign w:val="center"/>
          </w:tcPr>
          <w:p w:rsidR="00DC4E77" w:rsidRPr="001640C4" w:rsidRDefault="00DC4E77" w:rsidP="00DC4E77">
            <w:pPr>
              <w:jc w:val="left"/>
              <w:rPr>
                <w:rFonts w:eastAsia="Times New Roman" w:cstheme="majorHAnsi"/>
                <w:sz w:val="20"/>
                <w:szCs w:val="20"/>
                <w:lang w:eastAsia="sq-AL"/>
              </w:rPr>
            </w:pPr>
            <w:r w:rsidRPr="001640C4">
              <w:rPr>
                <w:rFonts w:eastAsia="Times New Roman" w:cstheme="majorHAnsi"/>
                <w:sz w:val="20"/>
                <w:szCs w:val="20"/>
                <w:lang w:eastAsia="sq-AL"/>
              </w:rPr>
              <w:t>Manuali me udhëzime për angazhimin e vullnetarëve i përgatitur dhe shpërndarë, bazuar në kornizën ligjore të ndryshuar</w:t>
            </w:r>
          </w:p>
        </w:tc>
      </w:tr>
      <w:tr w:rsidR="00DC4E77" w:rsidRPr="001640C4" w:rsidTr="00B901E3">
        <w:tc>
          <w:tcPr>
            <w:tcW w:w="709"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lastRenderedPageBreak/>
              <w:t>Nr.</w:t>
            </w:r>
          </w:p>
        </w:tc>
        <w:tc>
          <w:tcPr>
            <w:tcW w:w="3827"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Veprimi</w:t>
            </w:r>
          </w:p>
        </w:tc>
        <w:tc>
          <w:tcPr>
            <w:tcW w:w="1161"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 xml:space="preserve">Buxheti </w:t>
            </w:r>
          </w:p>
        </w:tc>
        <w:tc>
          <w:tcPr>
            <w:tcW w:w="1134"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Institucioni udhëheqës dhe mbështetës</w:t>
            </w:r>
          </w:p>
        </w:tc>
        <w:tc>
          <w:tcPr>
            <w:tcW w:w="19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DC4E77" w:rsidRPr="001640C4" w:rsidTr="00B901E3">
        <w:tc>
          <w:tcPr>
            <w:tcW w:w="709"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61"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2019</w:t>
            </w:r>
          </w:p>
        </w:tc>
        <w:tc>
          <w:tcPr>
            <w:tcW w:w="85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2020</w:t>
            </w:r>
          </w:p>
        </w:tc>
        <w:tc>
          <w:tcPr>
            <w:tcW w:w="1134"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2021</w:t>
            </w:r>
          </w:p>
        </w:tc>
        <w:tc>
          <w:tcPr>
            <w:tcW w:w="1134"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vMerge/>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4.2.1</w:t>
            </w:r>
          </w:p>
        </w:tc>
        <w:tc>
          <w:tcPr>
            <w:tcW w:w="3827" w:type="dxa"/>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r w:rsidRPr="001640C4">
              <w:rPr>
                <w:rFonts w:cstheme="majorHAnsi"/>
                <w:color w:val="000000" w:themeColor="text1"/>
              </w:rPr>
              <w:t>Lansimi i një skeme të granteve për financimin e aktiviteteve për zhvillimin e kapaciteteve për OSHC-të për menaxhimin efektiv të vullnetarëve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2021</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20.000</w:t>
            </w:r>
          </w:p>
        </w:tc>
        <w:tc>
          <w:tcPr>
            <w:tcW w:w="1134"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 xml:space="preserve">Donatorët </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Buxheti i Kosovës</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ZKM</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MKRS, MPMS, MF</w:t>
            </w:r>
          </w:p>
        </w:tc>
        <w:tc>
          <w:tcPr>
            <w:tcW w:w="1930" w:type="dxa"/>
            <w:shd w:val="clear" w:color="auto" w:fill="auto"/>
            <w:vAlign w:val="center"/>
          </w:tcPr>
          <w:p w:rsidR="00DC4E77" w:rsidRPr="001640C4" w:rsidRDefault="00DC4E77" w:rsidP="00DC4E77">
            <w:pPr>
              <w:jc w:val="left"/>
              <w:rPr>
                <w:rFonts w:cstheme="majorHAnsi"/>
                <w:color w:val="000000" w:themeColor="text1"/>
              </w:rPr>
            </w:pPr>
            <w:r w:rsidRPr="001640C4">
              <w:rPr>
                <w:rFonts w:cstheme="majorHAnsi"/>
                <w:color w:val="000000" w:themeColor="text1"/>
              </w:rPr>
              <w:t xml:space="preserve"> Skema e granteve e publikuar dhe 4-5 OShC të kontraktuara për të ofruar programe trajnimi për menaxhimin efektiv të vullnetarëve në komunitetet e tyre lokale</w:t>
            </w:r>
          </w:p>
          <w:p w:rsidR="00DC4E77" w:rsidRPr="001640C4" w:rsidRDefault="00DC4E77" w:rsidP="00DC4E77">
            <w:pPr>
              <w:jc w:val="left"/>
              <w:rPr>
                <w:rFonts w:eastAsia="Times New Roman" w:cstheme="majorHAnsi"/>
                <w:sz w:val="20"/>
                <w:szCs w:val="20"/>
                <w:lang w:eastAsia="sq-AL"/>
              </w:rPr>
            </w:pPr>
            <w:r w:rsidRPr="001640C4">
              <w:rPr>
                <w:rFonts w:cstheme="majorHAnsi"/>
                <w:color w:val="000000" w:themeColor="text1"/>
              </w:rPr>
              <w:t>Ligjet e nevojshme të ndryshuara; Gazeta zyrtarw; faqet e internetit të ZQM-ZKM; Raportet mbi zbatimin e strategjisë</w:t>
            </w:r>
          </w:p>
        </w:tc>
        <w:tc>
          <w:tcPr>
            <w:tcW w:w="1330" w:type="dxa"/>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4.2.2</w:t>
            </w:r>
          </w:p>
        </w:tc>
        <w:tc>
          <w:tcPr>
            <w:tcW w:w="3827" w:type="dxa"/>
            <w:shd w:val="clear" w:color="auto" w:fill="auto"/>
            <w:vAlign w:val="center"/>
          </w:tcPr>
          <w:p w:rsidR="00DC4E77" w:rsidRPr="001640C4" w:rsidRDefault="00DC4E77" w:rsidP="00DC4E77">
            <w:pPr>
              <w:spacing w:before="120" w:after="120"/>
              <w:rPr>
                <w:rFonts w:eastAsia="Times New Roman" w:cstheme="majorHAnsi"/>
                <w:sz w:val="20"/>
                <w:szCs w:val="20"/>
                <w:lang w:eastAsia="sq-AL"/>
              </w:rPr>
            </w:pPr>
            <w:r w:rsidRPr="001640C4">
              <w:rPr>
                <w:rFonts w:cstheme="majorHAnsi"/>
                <w:color w:val="000000" w:themeColor="text1"/>
              </w:rPr>
              <w:t>Përgatitja e një Manuali me udhëzime për rekrutimin dhe menaxhimin e vullnetarëve</w:t>
            </w:r>
          </w:p>
        </w:tc>
        <w:tc>
          <w:tcPr>
            <w:tcW w:w="1161"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2021</w:t>
            </w: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5.000 EUR</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 xml:space="preserve">Donatorët, </w:t>
            </w:r>
          </w:p>
        </w:tc>
        <w:tc>
          <w:tcPr>
            <w:tcW w:w="1276" w:type="dxa"/>
            <w:gridSpan w:val="2"/>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ZKM</w:t>
            </w:r>
          </w:p>
          <w:p w:rsidR="00DC4E77" w:rsidRPr="001640C4" w:rsidRDefault="00DC4E77" w:rsidP="00DC4E77">
            <w:pPr>
              <w:rPr>
                <w:rFonts w:eastAsia="Times New Roman" w:cstheme="majorHAnsi"/>
                <w:sz w:val="20"/>
                <w:szCs w:val="20"/>
                <w:lang w:eastAsia="sq-AL"/>
              </w:rPr>
            </w:pPr>
            <w:r w:rsidRPr="001640C4">
              <w:rPr>
                <w:rFonts w:cstheme="majorHAnsi"/>
                <w:color w:val="000000" w:themeColor="text1"/>
              </w:rPr>
              <w:t>Të gjitha ministritë relevante</w:t>
            </w:r>
          </w:p>
        </w:tc>
        <w:tc>
          <w:tcPr>
            <w:tcW w:w="1930" w:type="dxa"/>
            <w:shd w:val="clear" w:color="auto" w:fill="auto"/>
            <w:vAlign w:val="center"/>
          </w:tcPr>
          <w:p w:rsidR="00DC4E77" w:rsidRPr="001640C4" w:rsidRDefault="00DC4E77" w:rsidP="00DC4E77">
            <w:pPr>
              <w:rPr>
                <w:rFonts w:cstheme="majorHAnsi"/>
                <w:color w:val="000000" w:themeColor="text1"/>
              </w:rPr>
            </w:pPr>
            <w:r w:rsidRPr="001640C4">
              <w:rPr>
                <w:rFonts w:cstheme="majorHAnsi"/>
                <w:color w:val="000000" w:themeColor="text1"/>
              </w:rPr>
              <w:t>Manuali me udhëzimet për angazhimin e vullnetarëve i përgatitur dhe shpërndarë, në bazë të ndryshimeve të kornizës ligjore</w:t>
            </w:r>
          </w:p>
          <w:p w:rsidR="00DC4E77" w:rsidRPr="001640C4" w:rsidRDefault="00DC4E77" w:rsidP="00DC4E77">
            <w:pPr>
              <w:rPr>
                <w:rFonts w:cstheme="majorHAnsi"/>
                <w:color w:val="000000" w:themeColor="text1"/>
              </w:rPr>
            </w:pPr>
            <w:r w:rsidRPr="001640C4">
              <w:rPr>
                <w:rFonts w:cstheme="majorHAnsi"/>
                <w:color w:val="000000" w:themeColor="text1"/>
              </w:rPr>
              <w:t>Manuali i publikuar në ueb faqen e ZQM/ZKM-së</w:t>
            </w:r>
          </w:p>
          <w:p w:rsidR="00DC4E77" w:rsidRPr="001640C4" w:rsidRDefault="00DC4E77" w:rsidP="00DC4E77">
            <w:pPr>
              <w:rPr>
                <w:rFonts w:eastAsia="Times New Roman" w:cstheme="majorHAnsi"/>
                <w:sz w:val="20"/>
                <w:szCs w:val="20"/>
                <w:lang w:eastAsia="sq-AL"/>
              </w:rPr>
            </w:pPr>
          </w:p>
        </w:tc>
        <w:tc>
          <w:tcPr>
            <w:tcW w:w="1330" w:type="dxa"/>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rPr>
                <w:rFonts w:eastAsia="Times New Roman" w:cstheme="majorHAnsi"/>
                <w:b/>
                <w:i/>
                <w:sz w:val="20"/>
                <w:szCs w:val="20"/>
                <w:lang w:eastAsia="sq-AL"/>
              </w:rPr>
            </w:pPr>
          </w:p>
          <w:p w:rsidR="00DC4E77" w:rsidRPr="001640C4" w:rsidRDefault="00DC4E77" w:rsidP="00DC4E77">
            <w:pPr>
              <w:spacing w:before="120" w:after="120"/>
              <w:rPr>
                <w:rFonts w:eastAsia="Times New Roman" w:cstheme="majorHAnsi"/>
                <w:sz w:val="20"/>
                <w:szCs w:val="20"/>
                <w:lang w:eastAsia="sq-AL"/>
              </w:rPr>
            </w:pPr>
            <w:r w:rsidRPr="001640C4">
              <w:rPr>
                <w:rFonts w:eastAsia="Times New Roman" w:cstheme="majorHAnsi"/>
                <w:b/>
                <w:i/>
                <w:sz w:val="20"/>
                <w:szCs w:val="20"/>
                <w:lang w:eastAsia="sq-AL"/>
              </w:rPr>
              <w:t>Buxheti i përgjithshëm për Objektivin Specifik 4.2:</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5,000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auto"/>
            <w:vAlign w:val="center"/>
          </w:tcPr>
          <w:p w:rsidR="00DC4E77" w:rsidRPr="001640C4" w:rsidRDefault="00DC4E77" w:rsidP="00DC4E77">
            <w:pPr>
              <w:spacing w:before="120" w:after="120"/>
              <w:jc w:val="center"/>
              <w:rPr>
                <w:rFonts w:eastAsia="Times New Roman" w:cstheme="majorHAnsi"/>
                <w:sz w:val="20"/>
                <w:szCs w:val="20"/>
                <w:lang w:eastAsia="sq-AL"/>
              </w:rPr>
            </w:pPr>
          </w:p>
        </w:tc>
        <w:tc>
          <w:tcPr>
            <w:tcW w:w="3827" w:type="dxa"/>
            <w:shd w:val="clear" w:color="auto" w:fill="auto"/>
            <w:vAlign w:val="center"/>
          </w:tcPr>
          <w:p w:rsidR="00DC4E77" w:rsidRPr="001640C4" w:rsidRDefault="00DC4E77" w:rsidP="00DC4E7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5,000</w:t>
            </w:r>
          </w:p>
        </w:tc>
        <w:tc>
          <w:tcPr>
            <w:tcW w:w="850"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0</w:t>
            </w:r>
          </w:p>
        </w:tc>
        <w:tc>
          <w:tcPr>
            <w:tcW w:w="1134"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276" w:type="dxa"/>
            <w:gridSpan w:val="2"/>
            <w:shd w:val="clear" w:color="auto" w:fill="F2F2F2"/>
            <w:vAlign w:val="center"/>
          </w:tcPr>
          <w:p w:rsidR="00DC4E77" w:rsidRPr="001640C4" w:rsidRDefault="00DC4E77" w:rsidP="00DC4E77">
            <w:pPr>
              <w:rPr>
                <w:rFonts w:eastAsia="Times New Roman" w:cstheme="majorHAnsi"/>
                <w:sz w:val="20"/>
                <w:szCs w:val="20"/>
                <w:lang w:eastAsia="sq-AL"/>
              </w:rPr>
            </w:pPr>
          </w:p>
        </w:tc>
        <w:tc>
          <w:tcPr>
            <w:tcW w:w="1930" w:type="dxa"/>
            <w:shd w:val="clear" w:color="auto" w:fill="F2F2F2"/>
            <w:vAlign w:val="center"/>
          </w:tcPr>
          <w:p w:rsidR="00DC4E77" w:rsidRPr="001640C4" w:rsidRDefault="00DC4E77" w:rsidP="00DC4E77">
            <w:pPr>
              <w:rPr>
                <w:rFonts w:eastAsia="Times New Roman" w:cstheme="majorHAnsi"/>
                <w:sz w:val="20"/>
                <w:szCs w:val="20"/>
                <w:lang w:eastAsia="sq-AL"/>
              </w:rPr>
            </w:pPr>
          </w:p>
        </w:tc>
        <w:tc>
          <w:tcPr>
            <w:tcW w:w="1330" w:type="dxa"/>
            <w:shd w:val="clear" w:color="auto" w:fill="F2F2F2"/>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shd w:val="clear" w:color="auto" w:fill="D9D9D9"/>
            <w:vAlign w:val="center"/>
          </w:tcPr>
          <w:p w:rsidR="00DC4E77" w:rsidRPr="001640C4" w:rsidRDefault="00DC4E77" w:rsidP="00DC4E77">
            <w:pPr>
              <w:spacing w:before="120" w:after="120"/>
              <w:jc w:val="center"/>
              <w:rPr>
                <w:rFonts w:eastAsia="Times New Roman" w:cstheme="majorHAnsi"/>
                <w:b/>
                <w:sz w:val="20"/>
                <w:szCs w:val="20"/>
                <w:lang w:eastAsia="sq-AL"/>
              </w:rPr>
            </w:pPr>
          </w:p>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4.3</w:t>
            </w:r>
          </w:p>
          <w:p w:rsidR="00DC4E77" w:rsidRPr="001640C4" w:rsidRDefault="00DC4E77" w:rsidP="00DC4E77">
            <w:pPr>
              <w:spacing w:before="120" w:after="120"/>
              <w:jc w:val="center"/>
              <w:rPr>
                <w:rFonts w:eastAsia="Times New Roman" w:cstheme="majorHAnsi"/>
                <w:b/>
                <w:sz w:val="20"/>
                <w:szCs w:val="20"/>
                <w:lang w:eastAsia="sq-AL"/>
              </w:rPr>
            </w:pPr>
          </w:p>
        </w:tc>
        <w:tc>
          <w:tcPr>
            <w:tcW w:w="13608" w:type="dxa"/>
            <w:gridSpan w:val="10"/>
            <w:shd w:val="clear" w:color="auto" w:fill="D9D9D9"/>
            <w:vAlign w:val="center"/>
          </w:tcPr>
          <w:p w:rsidR="00DC4E77" w:rsidRPr="001640C4" w:rsidRDefault="00DC4E77" w:rsidP="00DC4E77">
            <w:pPr>
              <w:rPr>
                <w:rFonts w:eastAsia="Times New Roman" w:cstheme="majorHAnsi"/>
                <w:sz w:val="24"/>
                <w:szCs w:val="20"/>
                <w:lang w:eastAsia="sq-AL"/>
              </w:rPr>
            </w:pPr>
            <w:r w:rsidRPr="001640C4">
              <w:rPr>
                <w:rFonts w:eastAsia="Times New Roman" w:cstheme="majorHAnsi"/>
                <w:b/>
                <w:sz w:val="24"/>
                <w:szCs w:val="20"/>
                <w:lang w:eastAsia="sq-AL"/>
              </w:rPr>
              <w:t>Objektivispecifik: Rritja e ndërgjegjësimit të qytetarëve për mundësitë dhe vlerat e vullnetarizmit</w:t>
            </w:r>
          </w:p>
        </w:tc>
      </w:tr>
      <w:tr w:rsidR="00DC4E77" w:rsidRPr="001640C4" w:rsidTr="00B901E3">
        <w:trPr>
          <w:cantSplit/>
        </w:trPr>
        <w:tc>
          <w:tcPr>
            <w:tcW w:w="709" w:type="dxa"/>
            <w:shd w:val="clear" w:color="auto" w:fill="auto"/>
            <w:vAlign w:val="center"/>
          </w:tcPr>
          <w:p w:rsidR="00DC4E77" w:rsidRPr="001640C4" w:rsidRDefault="00DC4E77" w:rsidP="00DC4E77">
            <w:pPr>
              <w:spacing w:before="120" w:after="120"/>
              <w:jc w:val="center"/>
              <w:rPr>
                <w:rFonts w:eastAsia="Times New Roman" w:cstheme="majorHAnsi"/>
                <w:b/>
                <w:sz w:val="20"/>
                <w:szCs w:val="20"/>
                <w:lang w:eastAsia="sq-AL"/>
              </w:rPr>
            </w:pPr>
            <w:r w:rsidRPr="001640C4">
              <w:rPr>
                <w:rFonts w:eastAsia="Times New Roman" w:cstheme="majorHAnsi"/>
                <w:b/>
                <w:sz w:val="20"/>
                <w:szCs w:val="20"/>
                <w:lang w:eastAsia="sq-AL"/>
              </w:rPr>
              <w:t>1</w:t>
            </w:r>
          </w:p>
        </w:tc>
        <w:tc>
          <w:tcPr>
            <w:tcW w:w="3827" w:type="dxa"/>
            <w:shd w:val="clear" w:color="auto" w:fill="auto"/>
            <w:vAlign w:val="center"/>
          </w:tcPr>
          <w:p w:rsidR="00DC4E77" w:rsidRPr="001640C4" w:rsidRDefault="00DC4E77" w:rsidP="00DC4E77">
            <w:pPr>
              <w:rPr>
                <w:rFonts w:eastAsia="Times New Roman" w:cstheme="majorHAnsi"/>
                <w:sz w:val="20"/>
                <w:szCs w:val="20"/>
                <w:lang w:eastAsia="sq-AL"/>
              </w:rPr>
            </w:pPr>
            <w:r w:rsidRPr="001640C4">
              <w:rPr>
                <w:rFonts w:eastAsia="Times New Roman" w:cstheme="majorHAnsi"/>
                <w:b/>
                <w:sz w:val="20"/>
                <w:szCs w:val="20"/>
                <w:lang w:eastAsia="sq-AL"/>
              </w:rPr>
              <w:t xml:space="preserve">Treguesi:  </w:t>
            </w:r>
            <w:r w:rsidRPr="001640C4">
              <w:rPr>
                <w:rFonts w:cstheme="majorHAnsi"/>
                <w:color w:val="000000" w:themeColor="text1"/>
              </w:rPr>
              <w:t>Përqindja e qytetarëve të njoftuar për mundësitë dhe vlerat e vullnetarizmit</w:t>
            </w:r>
          </w:p>
          <w:p w:rsidR="00DC4E77" w:rsidRPr="001640C4" w:rsidRDefault="00DC4E77" w:rsidP="00DC4E77">
            <w:pPr>
              <w:rPr>
                <w:rFonts w:eastAsia="Times New Roman" w:cstheme="majorHAnsi"/>
                <w:sz w:val="20"/>
                <w:szCs w:val="20"/>
                <w:lang w:eastAsia="sq-AL"/>
              </w:rPr>
            </w:pPr>
          </w:p>
          <w:p w:rsidR="00DC4E77" w:rsidRPr="001640C4" w:rsidRDefault="00DC4E77" w:rsidP="00DC4E77">
            <w:pPr>
              <w:rPr>
                <w:rFonts w:eastAsia="Times New Roman" w:cstheme="majorHAnsi"/>
                <w:sz w:val="20"/>
                <w:szCs w:val="20"/>
                <w:lang w:eastAsia="sq-AL"/>
              </w:rPr>
            </w:pPr>
          </w:p>
        </w:tc>
        <w:tc>
          <w:tcPr>
            <w:tcW w:w="2127" w:type="dxa"/>
            <w:gridSpan w:val="2"/>
            <w:shd w:val="clear" w:color="auto" w:fill="auto"/>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sz w:val="20"/>
                <w:szCs w:val="20"/>
                <w:lang w:eastAsia="sq-AL"/>
              </w:rPr>
              <w:t>0</w:t>
            </w:r>
          </w:p>
        </w:tc>
        <w:tc>
          <w:tcPr>
            <w:tcW w:w="1984" w:type="dxa"/>
            <w:gridSpan w:val="2"/>
            <w:shd w:val="clear" w:color="auto" w:fill="auto"/>
            <w:vAlign w:val="center"/>
          </w:tcPr>
          <w:p w:rsidR="00DC4E77" w:rsidRPr="001640C4" w:rsidRDefault="00DC4E77" w:rsidP="00DC4E77">
            <w:pPr>
              <w:rPr>
                <w:rFonts w:cstheme="majorHAnsi"/>
                <w:color w:val="000000" w:themeColor="text1"/>
              </w:rPr>
            </w:pPr>
          </w:p>
          <w:p w:rsidR="00DC4E77" w:rsidRPr="001640C4" w:rsidRDefault="00DC4E77" w:rsidP="00DC4E77">
            <w:pPr>
              <w:rPr>
                <w:rFonts w:cstheme="majorHAnsi"/>
                <w:color w:val="000000" w:themeColor="text1"/>
              </w:rPr>
            </w:pPr>
            <w:r w:rsidRPr="001640C4">
              <w:rPr>
                <w:rFonts w:cstheme="majorHAnsi"/>
                <w:color w:val="000000" w:themeColor="text1"/>
              </w:rPr>
              <w:t>% e qytetarëve që e konfirmojnë qëndrimin pozitiv kundrejt vullnetarizmit dhe përfshirjes në aktivitete vullnetare</w:t>
            </w:r>
          </w:p>
          <w:p w:rsidR="00DC4E77" w:rsidRPr="001640C4" w:rsidRDefault="00DC4E77" w:rsidP="00DC4E77">
            <w:pPr>
              <w:rPr>
                <w:rFonts w:cstheme="majorHAnsi"/>
                <w:color w:val="000000" w:themeColor="text1"/>
              </w:rPr>
            </w:pPr>
          </w:p>
        </w:tc>
        <w:tc>
          <w:tcPr>
            <w:tcW w:w="1843" w:type="dxa"/>
            <w:gridSpan w:val="2"/>
            <w:shd w:val="clear" w:color="auto" w:fill="auto"/>
            <w:vAlign w:val="center"/>
          </w:tcPr>
          <w:p w:rsidR="00DC4E77" w:rsidRPr="001640C4" w:rsidRDefault="00DC4E77" w:rsidP="00DC4E77">
            <w:pPr>
              <w:rPr>
                <w:rFonts w:cstheme="majorHAnsi"/>
                <w:color w:val="000000" w:themeColor="text1"/>
              </w:rPr>
            </w:pPr>
          </w:p>
          <w:p w:rsidR="00DC4E77" w:rsidRPr="001640C4" w:rsidRDefault="00DC4E77" w:rsidP="00DC4E77">
            <w:pPr>
              <w:rPr>
                <w:rFonts w:cstheme="majorHAnsi"/>
                <w:color w:val="000000" w:themeColor="text1"/>
              </w:rPr>
            </w:pPr>
            <w:r w:rsidRPr="001640C4">
              <w:rPr>
                <w:rFonts w:cstheme="majorHAnsi"/>
                <w:color w:val="000000" w:themeColor="text1"/>
              </w:rPr>
              <w:t>% e qytetarëve që e konfirmojnë qëndrimin pozitiv kundrejt vullnetarizmit dhe përfshirjes në aktivitete vullnetare</w:t>
            </w:r>
          </w:p>
          <w:p w:rsidR="00DC4E77" w:rsidRPr="001640C4" w:rsidRDefault="00DC4E77" w:rsidP="00DC4E77">
            <w:pPr>
              <w:rPr>
                <w:rFonts w:cstheme="majorHAnsi"/>
                <w:color w:val="000000" w:themeColor="text1"/>
              </w:rPr>
            </w:pPr>
          </w:p>
        </w:tc>
        <w:tc>
          <w:tcPr>
            <w:tcW w:w="3827" w:type="dxa"/>
            <w:gridSpan w:val="3"/>
            <w:shd w:val="clear" w:color="auto" w:fill="auto"/>
            <w:vAlign w:val="center"/>
          </w:tcPr>
          <w:p w:rsidR="00DC4E77" w:rsidRPr="001640C4" w:rsidRDefault="00DC4E77" w:rsidP="00DC4E77">
            <w:pPr>
              <w:rPr>
                <w:rFonts w:eastAsia="Times New Roman" w:cstheme="majorHAnsi"/>
                <w:sz w:val="20"/>
                <w:szCs w:val="20"/>
                <w:lang w:eastAsia="sq-AL"/>
              </w:rPr>
            </w:pPr>
          </w:p>
        </w:tc>
      </w:tr>
      <w:tr w:rsidR="00DC4E77" w:rsidRPr="001640C4" w:rsidTr="00B901E3">
        <w:tc>
          <w:tcPr>
            <w:tcW w:w="709"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Nr.</w:t>
            </w:r>
          </w:p>
        </w:tc>
        <w:tc>
          <w:tcPr>
            <w:tcW w:w="3827"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Veprimi</w:t>
            </w:r>
          </w:p>
        </w:tc>
        <w:tc>
          <w:tcPr>
            <w:tcW w:w="1161"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Afati i fundit</w:t>
            </w:r>
          </w:p>
        </w:tc>
        <w:tc>
          <w:tcPr>
            <w:tcW w:w="2950" w:type="dxa"/>
            <w:gridSpan w:val="3"/>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 xml:space="preserve">Buxheti </w:t>
            </w:r>
          </w:p>
        </w:tc>
        <w:tc>
          <w:tcPr>
            <w:tcW w:w="1134" w:type="dxa"/>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Burimi i financimit</w:t>
            </w:r>
          </w:p>
        </w:tc>
        <w:tc>
          <w:tcPr>
            <w:tcW w:w="1276" w:type="dxa"/>
            <w:gridSpan w:val="2"/>
            <w:vMerge w:val="restart"/>
            <w:shd w:val="clear" w:color="auto" w:fill="D9D9D9"/>
            <w:vAlign w:val="center"/>
          </w:tcPr>
          <w:p w:rsidR="00DC4E77" w:rsidRPr="001640C4" w:rsidRDefault="00DC4E77" w:rsidP="00DC4E77">
            <w:pPr>
              <w:jc w:val="center"/>
              <w:rPr>
                <w:rFonts w:eastAsia="Times New Roman" w:cstheme="majorHAnsi"/>
                <w:sz w:val="20"/>
                <w:szCs w:val="20"/>
                <w:lang w:eastAsia="sq-AL"/>
              </w:rPr>
            </w:pPr>
            <w:r w:rsidRPr="001640C4">
              <w:rPr>
                <w:rFonts w:eastAsia="Times New Roman" w:cstheme="majorHAnsi"/>
                <w:b/>
                <w:sz w:val="20"/>
                <w:szCs w:val="20"/>
                <w:lang w:eastAsia="sq-AL"/>
              </w:rPr>
              <w:t>Institucioni udhëheqës dhe mbështetës</w:t>
            </w:r>
          </w:p>
        </w:tc>
        <w:tc>
          <w:tcPr>
            <w:tcW w:w="19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Produkti (Output)</w:t>
            </w:r>
          </w:p>
        </w:tc>
        <w:tc>
          <w:tcPr>
            <w:tcW w:w="1330" w:type="dxa"/>
            <w:vMerge w:val="restart"/>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Referenca në dokumente</w:t>
            </w:r>
          </w:p>
        </w:tc>
      </w:tr>
      <w:tr w:rsidR="00DC4E77" w:rsidRPr="001640C4" w:rsidTr="00B901E3">
        <w:tc>
          <w:tcPr>
            <w:tcW w:w="709"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3827" w:type="dxa"/>
            <w:vMerge/>
            <w:shd w:val="clear" w:color="auto" w:fill="auto"/>
            <w:vAlign w:val="center"/>
          </w:tcPr>
          <w:p w:rsidR="00DC4E77" w:rsidRPr="001640C4" w:rsidRDefault="00DC4E77" w:rsidP="00DC4E77">
            <w:pPr>
              <w:jc w:val="center"/>
              <w:rPr>
                <w:rFonts w:eastAsia="Times New Roman" w:cstheme="majorHAnsi"/>
                <w:sz w:val="20"/>
                <w:szCs w:val="20"/>
                <w:lang w:eastAsia="sq-AL"/>
              </w:rPr>
            </w:pPr>
          </w:p>
        </w:tc>
        <w:tc>
          <w:tcPr>
            <w:tcW w:w="1161"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966"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2019</w:t>
            </w:r>
          </w:p>
        </w:tc>
        <w:tc>
          <w:tcPr>
            <w:tcW w:w="850"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2020</w:t>
            </w:r>
          </w:p>
        </w:tc>
        <w:tc>
          <w:tcPr>
            <w:tcW w:w="1134" w:type="dxa"/>
            <w:shd w:val="clear" w:color="auto" w:fill="D9D9D9"/>
            <w:vAlign w:val="center"/>
          </w:tcPr>
          <w:p w:rsidR="00DC4E77" w:rsidRPr="001640C4" w:rsidRDefault="00DC4E77" w:rsidP="00DC4E77">
            <w:pPr>
              <w:jc w:val="center"/>
              <w:rPr>
                <w:rFonts w:eastAsia="Times New Roman" w:cstheme="majorHAnsi"/>
                <w:b/>
                <w:sz w:val="20"/>
                <w:szCs w:val="20"/>
                <w:lang w:eastAsia="sq-AL"/>
              </w:rPr>
            </w:pPr>
            <w:r w:rsidRPr="001640C4">
              <w:rPr>
                <w:rFonts w:eastAsia="Times New Roman" w:cstheme="majorHAnsi"/>
                <w:b/>
                <w:sz w:val="20"/>
                <w:szCs w:val="20"/>
                <w:lang w:eastAsia="sq-AL"/>
              </w:rPr>
              <w:t>2021</w:t>
            </w:r>
          </w:p>
        </w:tc>
        <w:tc>
          <w:tcPr>
            <w:tcW w:w="1134"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276" w:type="dxa"/>
            <w:gridSpan w:val="2"/>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930" w:type="dxa"/>
            <w:vMerge/>
            <w:shd w:val="clear" w:color="auto" w:fill="auto"/>
            <w:vAlign w:val="center"/>
          </w:tcPr>
          <w:p w:rsidR="00DC4E77" w:rsidRPr="001640C4" w:rsidRDefault="00DC4E77" w:rsidP="00DC4E77">
            <w:pPr>
              <w:rPr>
                <w:rFonts w:eastAsia="Times New Roman" w:cstheme="majorHAnsi"/>
                <w:sz w:val="20"/>
                <w:szCs w:val="20"/>
                <w:lang w:eastAsia="sq-AL"/>
              </w:rPr>
            </w:pPr>
          </w:p>
        </w:tc>
        <w:tc>
          <w:tcPr>
            <w:tcW w:w="1330" w:type="dxa"/>
            <w:vMerge/>
            <w:shd w:val="clear" w:color="auto" w:fill="auto"/>
            <w:vAlign w:val="center"/>
          </w:tcPr>
          <w:p w:rsidR="00DC4E77" w:rsidRPr="001640C4" w:rsidRDefault="00DC4E77" w:rsidP="00DC4E77">
            <w:pPr>
              <w:rPr>
                <w:rFonts w:eastAsia="Times New Roman" w:cstheme="majorHAnsi"/>
                <w:sz w:val="20"/>
                <w:szCs w:val="20"/>
                <w:lang w:eastAsia="sq-AL"/>
              </w:rPr>
            </w:pPr>
          </w:p>
        </w:tc>
      </w:tr>
      <w:tr w:rsidR="002842E7" w:rsidRPr="001640C4" w:rsidTr="00B901E3">
        <w:tc>
          <w:tcPr>
            <w:tcW w:w="709" w:type="dxa"/>
            <w:shd w:val="clear" w:color="auto" w:fill="auto"/>
            <w:vAlign w:val="center"/>
          </w:tcPr>
          <w:p w:rsidR="002842E7" w:rsidRPr="001640C4" w:rsidRDefault="002842E7" w:rsidP="002842E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t>4.3.1</w:t>
            </w:r>
          </w:p>
        </w:tc>
        <w:tc>
          <w:tcPr>
            <w:tcW w:w="3827" w:type="dxa"/>
            <w:shd w:val="clear" w:color="auto" w:fill="auto"/>
            <w:vAlign w:val="center"/>
          </w:tcPr>
          <w:p w:rsidR="002842E7" w:rsidRPr="001640C4" w:rsidRDefault="002842E7" w:rsidP="002842E7">
            <w:pPr>
              <w:spacing w:before="120" w:after="120"/>
              <w:rPr>
                <w:rFonts w:eastAsia="Times New Roman" w:cstheme="majorHAnsi"/>
                <w:sz w:val="20"/>
                <w:szCs w:val="20"/>
                <w:lang w:eastAsia="sq-AL"/>
              </w:rPr>
            </w:pPr>
            <w:r w:rsidRPr="001640C4">
              <w:rPr>
                <w:rFonts w:cstheme="majorHAnsi"/>
                <w:color w:val="000000" w:themeColor="text1"/>
              </w:rPr>
              <w:t>Zhvillimi i një fushate për ngritjen e njohurive për vullnetarizmin dhe rolin e tij në përmirësimin e mirëqenies së publikut</w:t>
            </w:r>
          </w:p>
        </w:tc>
        <w:tc>
          <w:tcPr>
            <w:tcW w:w="1161"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eastAsia="Times New Roman" w:cstheme="majorHAnsi"/>
                <w:sz w:val="20"/>
                <w:szCs w:val="20"/>
                <w:lang w:eastAsia="sq-AL"/>
              </w:rPr>
              <w:t>202</w:t>
            </w:r>
            <w:r>
              <w:rPr>
                <w:rFonts w:eastAsia="Times New Roman" w:cstheme="majorHAnsi"/>
                <w:sz w:val="20"/>
                <w:szCs w:val="20"/>
                <w:lang w:eastAsia="sq-AL"/>
              </w:rPr>
              <w:t>1</w:t>
            </w:r>
            <w:bookmarkStart w:id="47" w:name="_GoBack"/>
            <w:bookmarkEnd w:id="47"/>
          </w:p>
        </w:tc>
        <w:tc>
          <w:tcPr>
            <w:tcW w:w="966" w:type="dxa"/>
            <w:shd w:val="clear" w:color="auto" w:fill="auto"/>
            <w:vAlign w:val="center"/>
          </w:tcPr>
          <w:p w:rsidR="002842E7" w:rsidRPr="001640C4" w:rsidRDefault="002842E7" w:rsidP="002842E7">
            <w:pPr>
              <w:rPr>
                <w:rFonts w:eastAsia="Times New Roman" w:cstheme="majorHAnsi"/>
                <w:sz w:val="20"/>
                <w:szCs w:val="20"/>
                <w:lang w:eastAsia="sq-AL"/>
              </w:rPr>
            </w:pPr>
          </w:p>
        </w:tc>
        <w:tc>
          <w:tcPr>
            <w:tcW w:w="850" w:type="dxa"/>
            <w:shd w:val="clear" w:color="auto" w:fill="auto"/>
            <w:vAlign w:val="center"/>
          </w:tcPr>
          <w:p w:rsidR="002842E7" w:rsidRPr="001640C4" w:rsidRDefault="002842E7" w:rsidP="002842E7">
            <w:pPr>
              <w:rPr>
                <w:rFonts w:eastAsia="Times New Roman" w:cstheme="majorHAnsi"/>
                <w:sz w:val="20"/>
                <w:szCs w:val="20"/>
                <w:lang w:eastAsia="sq-AL"/>
              </w:rPr>
            </w:pPr>
          </w:p>
        </w:tc>
        <w:tc>
          <w:tcPr>
            <w:tcW w:w="1134"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eastAsia="Times New Roman" w:cstheme="majorHAnsi"/>
                <w:sz w:val="20"/>
                <w:szCs w:val="20"/>
                <w:lang w:eastAsia="sq-AL"/>
              </w:rPr>
              <w:t>7000</w:t>
            </w:r>
          </w:p>
        </w:tc>
        <w:tc>
          <w:tcPr>
            <w:tcW w:w="1134"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cstheme="majorHAnsi"/>
                <w:color w:val="000000" w:themeColor="text1"/>
              </w:rPr>
              <w:t>Buxheti i Kosovës, BE</w:t>
            </w:r>
          </w:p>
        </w:tc>
        <w:tc>
          <w:tcPr>
            <w:tcW w:w="1276" w:type="dxa"/>
            <w:gridSpan w:val="2"/>
            <w:shd w:val="clear" w:color="auto" w:fill="auto"/>
            <w:vAlign w:val="center"/>
          </w:tcPr>
          <w:p w:rsidR="002842E7" w:rsidRPr="001640C4" w:rsidRDefault="002842E7" w:rsidP="002842E7">
            <w:pPr>
              <w:rPr>
                <w:rFonts w:cstheme="majorHAnsi"/>
                <w:color w:val="000000" w:themeColor="text1"/>
              </w:rPr>
            </w:pPr>
          </w:p>
          <w:p w:rsidR="002842E7" w:rsidRPr="001640C4" w:rsidRDefault="002842E7" w:rsidP="002842E7">
            <w:pPr>
              <w:rPr>
                <w:rFonts w:cstheme="majorHAnsi"/>
                <w:color w:val="000000" w:themeColor="text1"/>
              </w:rPr>
            </w:pPr>
            <w:r w:rsidRPr="001640C4">
              <w:rPr>
                <w:rFonts w:cstheme="majorHAnsi"/>
                <w:color w:val="000000" w:themeColor="text1"/>
              </w:rPr>
              <w:t>ZQM/ZKM</w:t>
            </w:r>
          </w:p>
          <w:p w:rsidR="002842E7" w:rsidRPr="001640C4" w:rsidRDefault="002842E7" w:rsidP="002842E7">
            <w:pPr>
              <w:rPr>
                <w:rFonts w:eastAsia="Times New Roman" w:cstheme="majorHAnsi"/>
                <w:sz w:val="20"/>
                <w:szCs w:val="20"/>
                <w:lang w:eastAsia="sq-AL"/>
              </w:rPr>
            </w:pPr>
            <w:r w:rsidRPr="001640C4">
              <w:rPr>
                <w:rFonts w:cstheme="majorHAnsi"/>
                <w:color w:val="000000" w:themeColor="text1"/>
              </w:rPr>
              <w:t>AT, Ministritë e linjës</w:t>
            </w:r>
          </w:p>
        </w:tc>
        <w:tc>
          <w:tcPr>
            <w:tcW w:w="1930" w:type="dxa"/>
            <w:shd w:val="clear" w:color="auto" w:fill="auto"/>
            <w:vAlign w:val="center"/>
          </w:tcPr>
          <w:p w:rsidR="002842E7" w:rsidRPr="001640C4" w:rsidRDefault="002842E7" w:rsidP="002842E7">
            <w:pPr>
              <w:rPr>
                <w:rFonts w:cstheme="majorHAnsi"/>
                <w:color w:val="000000" w:themeColor="text1"/>
              </w:rPr>
            </w:pPr>
            <w:r w:rsidRPr="001640C4">
              <w:rPr>
                <w:rFonts w:cstheme="majorHAnsi"/>
                <w:color w:val="000000" w:themeColor="text1"/>
              </w:rPr>
              <w:t xml:space="preserve">Video spoti për rëndësinë e vullnetarizmit i përgatitur dhe i transmetuar në media </w:t>
            </w:r>
          </w:p>
          <w:p w:rsidR="002842E7" w:rsidRPr="001640C4" w:rsidRDefault="002842E7" w:rsidP="002842E7">
            <w:pPr>
              <w:rPr>
                <w:rFonts w:cstheme="majorHAnsi"/>
                <w:color w:val="000000" w:themeColor="text1"/>
              </w:rPr>
            </w:pPr>
            <w:r w:rsidRPr="001640C4">
              <w:rPr>
                <w:rFonts w:cstheme="majorHAnsi"/>
                <w:color w:val="000000" w:themeColor="text1"/>
              </w:rPr>
              <w:t>Fletushkat rreth asaj se si mund të organizohet vullnetarizmi i përgatitur dhe shpërndarë</w:t>
            </w:r>
          </w:p>
        </w:tc>
        <w:tc>
          <w:tcPr>
            <w:tcW w:w="1330" w:type="dxa"/>
            <w:vAlign w:val="center"/>
          </w:tcPr>
          <w:p w:rsidR="002842E7" w:rsidRPr="001640C4" w:rsidRDefault="002842E7" w:rsidP="002842E7">
            <w:pPr>
              <w:rPr>
                <w:rFonts w:eastAsia="Times New Roman" w:cstheme="majorHAnsi"/>
                <w:sz w:val="20"/>
                <w:szCs w:val="20"/>
                <w:lang w:eastAsia="sq-AL"/>
              </w:rPr>
            </w:pPr>
          </w:p>
        </w:tc>
      </w:tr>
      <w:tr w:rsidR="002842E7" w:rsidRPr="001640C4" w:rsidTr="00B901E3">
        <w:tc>
          <w:tcPr>
            <w:tcW w:w="709" w:type="dxa"/>
            <w:shd w:val="clear" w:color="auto" w:fill="auto"/>
            <w:vAlign w:val="center"/>
          </w:tcPr>
          <w:p w:rsidR="002842E7" w:rsidRPr="001640C4" w:rsidRDefault="002842E7" w:rsidP="002842E7">
            <w:pPr>
              <w:spacing w:before="120" w:after="120"/>
              <w:jc w:val="center"/>
              <w:rPr>
                <w:rFonts w:eastAsia="Times New Roman" w:cstheme="majorHAnsi"/>
                <w:sz w:val="20"/>
                <w:szCs w:val="20"/>
                <w:lang w:eastAsia="sq-AL"/>
              </w:rPr>
            </w:pPr>
            <w:r w:rsidRPr="001640C4">
              <w:rPr>
                <w:rFonts w:eastAsia="Times New Roman" w:cstheme="majorHAnsi"/>
                <w:sz w:val="20"/>
                <w:szCs w:val="20"/>
                <w:lang w:eastAsia="sq-AL"/>
              </w:rPr>
              <w:lastRenderedPageBreak/>
              <w:t>4.3.2</w:t>
            </w:r>
          </w:p>
        </w:tc>
        <w:tc>
          <w:tcPr>
            <w:tcW w:w="3827" w:type="dxa"/>
            <w:shd w:val="clear" w:color="auto" w:fill="auto"/>
            <w:vAlign w:val="center"/>
          </w:tcPr>
          <w:p w:rsidR="002842E7" w:rsidRPr="001640C4" w:rsidRDefault="002842E7" w:rsidP="002842E7">
            <w:pPr>
              <w:spacing w:before="120" w:after="120"/>
              <w:rPr>
                <w:rFonts w:eastAsia="Times New Roman" w:cstheme="majorHAnsi"/>
                <w:sz w:val="20"/>
                <w:szCs w:val="20"/>
                <w:lang w:eastAsia="sq-AL"/>
              </w:rPr>
            </w:pPr>
            <w:r w:rsidRPr="001640C4">
              <w:rPr>
                <w:rFonts w:cstheme="majorHAnsi"/>
                <w:color w:val="000000" w:themeColor="text1"/>
              </w:rPr>
              <w:t>Përmirësimi i regjistrit Online për vullnetarët e rinj të regjistruar</w:t>
            </w:r>
          </w:p>
        </w:tc>
        <w:tc>
          <w:tcPr>
            <w:tcW w:w="1161" w:type="dxa"/>
            <w:shd w:val="clear" w:color="auto" w:fill="auto"/>
            <w:vAlign w:val="center"/>
          </w:tcPr>
          <w:p w:rsidR="002842E7" w:rsidRPr="001640C4" w:rsidRDefault="002842E7" w:rsidP="002842E7">
            <w:pPr>
              <w:rPr>
                <w:rFonts w:eastAsia="Times New Roman" w:cstheme="majorHAnsi"/>
                <w:sz w:val="20"/>
                <w:szCs w:val="20"/>
                <w:lang w:eastAsia="sq-AL"/>
              </w:rPr>
            </w:pPr>
          </w:p>
        </w:tc>
        <w:tc>
          <w:tcPr>
            <w:tcW w:w="966" w:type="dxa"/>
            <w:shd w:val="clear" w:color="auto" w:fill="auto"/>
            <w:vAlign w:val="center"/>
          </w:tcPr>
          <w:p w:rsidR="002842E7" w:rsidRPr="001640C4" w:rsidRDefault="002842E7" w:rsidP="002842E7">
            <w:pPr>
              <w:rPr>
                <w:rFonts w:eastAsia="Times New Roman" w:cstheme="majorHAnsi"/>
                <w:sz w:val="20"/>
                <w:szCs w:val="20"/>
                <w:lang w:eastAsia="sq-AL"/>
              </w:rPr>
            </w:pPr>
          </w:p>
        </w:tc>
        <w:tc>
          <w:tcPr>
            <w:tcW w:w="850"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eastAsia="Times New Roman" w:cstheme="majorHAnsi"/>
                <w:sz w:val="20"/>
                <w:szCs w:val="20"/>
                <w:lang w:eastAsia="sq-AL"/>
              </w:rPr>
              <w:t>3000</w:t>
            </w:r>
          </w:p>
        </w:tc>
        <w:tc>
          <w:tcPr>
            <w:tcW w:w="1134"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eastAsia="Times New Roman" w:cstheme="majorHAnsi"/>
                <w:sz w:val="20"/>
                <w:szCs w:val="20"/>
                <w:lang w:eastAsia="sq-AL"/>
              </w:rPr>
              <w:t>2000</w:t>
            </w:r>
          </w:p>
        </w:tc>
        <w:tc>
          <w:tcPr>
            <w:tcW w:w="1134"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cstheme="majorHAnsi"/>
                <w:color w:val="000000" w:themeColor="text1"/>
              </w:rPr>
              <w:t>Buxheti i Kosovës, BE</w:t>
            </w:r>
          </w:p>
        </w:tc>
        <w:tc>
          <w:tcPr>
            <w:tcW w:w="1276" w:type="dxa"/>
            <w:gridSpan w:val="2"/>
            <w:shd w:val="clear" w:color="auto" w:fill="auto"/>
            <w:vAlign w:val="center"/>
          </w:tcPr>
          <w:p w:rsidR="002842E7" w:rsidRPr="001640C4" w:rsidRDefault="002842E7" w:rsidP="002842E7">
            <w:pPr>
              <w:rPr>
                <w:rFonts w:cstheme="majorHAnsi"/>
                <w:color w:val="000000" w:themeColor="text1"/>
              </w:rPr>
            </w:pPr>
            <w:r w:rsidRPr="001640C4">
              <w:rPr>
                <w:rFonts w:cstheme="majorHAnsi"/>
                <w:color w:val="000000" w:themeColor="text1"/>
              </w:rPr>
              <w:t>ZQM/ZKM</w:t>
            </w:r>
          </w:p>
          <w:p w:rsidR="002842E7" w:rsidRPr="001640C4" w:rsidRDefault="002842E7" w:rsidP="002842E7">
            <w:pPr>
              <w:rPr>
                <w:rFonts w:cstheme="majorHAnsi"/>
                <w:color w:val="000000" w:themeColor="text1"/>
              </w:rPr>
            </w:pPr>
          </w:p>
          <w:p w:rsidR="002842E7" w:rsidRPr="001640C4" w:rsidRDefault="002842E7" w:rsidP="002842E7">
            <w:pPr>
              <w:rPr>
                <w:rFonts w:cstheme="majorHAnsi"/>
                <w:color w:val="000000" w:themeColor="text1"/>
              </w:rPr>
            </w:pPr>
            <w:r w:rsidRPr="001640C4">
              <w:rPr>
                <w:rFonts w:cstheme="majorHAnsi"/>
                <w:color w:val="000000" w:themeColor="text1"/>
              </w:rPr>
              <w:t>MKRS</w:t>
            </w:r>
          </w:p>
          <w:p w:rsidR="002842E7" w:rsidRPr="001640C4" w:rsidRDefault="002842E7" w:rsidP="002842E7">
            <w:pPr>
              <w:rPr>
                <w:rFonts w:eastAsia="Times New Roman" w:cstheme="majorHAnsi"/>
                <w:sz w:val="20"/>
                <w:szCs w:val="20"/>
                <w:lang w:eastAsia="sq-AL"/>
              </w:rPr>
            </w:pPr>
            <w:r w:rsidRPr="001640C4">
              <w:rPr>
                <w:rFonts w:cstheme="majorHAnsi"/>
                <w:color w:val="000000" w:themeColor="text1"/>
              </w:rPr>
              <w:t>MAP, ZQM</w:t>
            </w:r>
          </w:p>
        </w:tc>
        <w:tc>
          <w:tcPr>
            <w:tcW w:w="1930" w:type="dxa"/>
            <w:shd w:val="clear" w:color="auto" w:fill="auto"/>
            <w:vAlign w:val="center"/>
          </w:tcPr>
          <w:p w:rsidR="002842E7" w:rsidRPr="001640C4" w:rsidRDefault="002842E7" w:rsidP="002842E7">
            <w:pPr>
              <w:rPr>
                <w:rFonts w:cstheme="majorHAnsi"/>
                <w:color w:val="000000" w:themeColor="text1"/>
              </w:rPr>
            </w:pPr>
            <w:r w:rsidRPr="001640C4">
              <w:rPr>
                <w:rFonts w:cstheme="majorHAnsi"/>
                <w:color w:val="000000" w:themeColor="text1"/>
              </w:rPr>
              <w:t>Regjistri Online i përmirësuar</w:t>
            </w:r>
          </w:p>
          <w:p w:rsidR="002842E7" w:rsidRPr="001640C4" w:rsidRDefault="002842E7" w:rsidP="002842E7">
            <w:pPr>
              <w:rPr>
                <w:rFonts w:cstheme="majorHAnsi"/>
                <w:color w:val="000000" w:themeColor="text1"/>
              </w:rPr>
            </w:pPr>
          </w:p>
          <w:p w:rsidR="002842E7" w:rsidRPr="001640C4" w:rsidRDefault="002842E7" w:rsidP="002842E7">
            <w:pPr>
              <w:rPr>
                <w:rFonts w:eastAsia="Times New Roman" w:cstheme="majorHAnsi"/>
                <w:sz w:val="20"/>
                <w:szCs w:val="20"/>
                <w:lang w:eastAsia="sq-AL"/>
              </w:rPr>
            </w:pPr>
            <w:r w:rsidRPr="001640C4">
              <w:rPr>
                <w:rFonts w:cstheme="majorHAnsi"/>
                <w:color w:val="000000" w:themeColor="text1"/>
              </w:rPr>
              <w:t>Regjistri Online i përmirësuar dhe tërësisht në përdorim</w:t>
            </w:r>
          </w:p>
        </w:tc>
        <w:tc>
          <w:tcPr>
            <w:tcW w:w="1330" w:type="dxa"/>
            <w:vAlign w:val="center"/>
          </w:tcPr>
          <w:p w:rsidR="002842E7" w:rsidRPr="001640C4" w:rsidRDefault="002842E7" w:rsidP="002842E7">
            <w:pPr>
              <w:rPr>
                <w:rFonts w:eastAsia="Times New Roman" w:cstheme="majorHAnsi"/>
                <w:sz w:val="20"/>
                <w:szCs w:val="20"/>
                <w:lang w:eastAsia="sq-AL"/>
              </w:rPr>
            </w:pPr>
          </w:p>
        </w:tc>
      </w:tr>
      <w:tr w:rsidR="002842E7" w:rsidRPr="001640C4" w:rsidTr="00B901E3">
        <w:tc>
          <w:tcPr>
            <w:tcW w:w="709" w:type="dxa"/>
            <w:shd w:val="clear" w:color="auto" w:fill="auto"/>
            <w:vAlign w:val="center"/>
          </w:tcPr>
          <w:p w:rsidR="002842E7" w:rsidRPr="001640C4" w:rsidRDefault="002842E7" w:rsidP="002842E7">
            <w:pPr>
              <w:spacing w:before="120" w:after="120"/>
              <w:jc w:val="center"/>
              <w:rPr>
                <w:rFonts w:eastAsia="Times New Roman" w:cstheme="majorHAnsi"/>
                <w:sz w:val="20"/>
                <w:szCs w:val="20"/>
                <w:lang w:eastAsia="sq-AL"/>
              </w:rPr>
            </w:pPr>
          </w:p>
        </w:tc>
        <w:tc>
          <w:tcPr>
            <w:tcW w:w="3827" w:type="dxa"/>
            <w:shd w:val="clear" w:color="auto" w:fill="auto"/>
            <w:vAlign w:val="center"/>
          </w:tcPr>
          <w:p w:rsidR="002842E7" w:rsidRPr="001640C4" w:rsidRDefault="002842E7" w:rsidP="002842E7">
            <w:pPr>
              <w:spacing w:before="120" w:after="120"/>
              <w:rPr>
                <w:rFonts w:eastAsia="Times New Roman" w:cstheme="majorHAnsi"/>
                <w:b/>
                <w:i/>
                <w:sz w:val="20"/>
                <w:szCs w:val="20"/>
                <w:lang w:eastAsia="sq-AL"/>
              </w:rPr>
            </w:pPr>
          </w:p>
          <w:p w:rsidR="002842E7" w:rsidRPr="001640C4" w:rsidRDefault="002842E7" w:rsidP="002842E7">
            <w:pPr>
              <w:spacing w:before="120" w:after="120"/>
              <w:rPr>
                <w:rFonts w:eastAsia="Times New Roman" w:cstheme="majorHAnsi"/>
                <w:sz w:val="20"/>
                <w:szCs w:val="20"/>
                <w:lang w:eastAsia="sq-AL"/>
              </w:rPr>
            </w:pPr>
            <w:r w:rsidRPr="001640C4">
              <w:rPr>
                <w:rFonts w:eastAsia="Times New Roman" w:cstheme="majorHAnsi"/>
                <w:b/>
                <w:i/>
                <w:sz w:val="20"/>
                <w:szCs w:val="20"/>
                <w:lang w:eastAsia="sq-AL"/>
              </w:rPr>
              <w:t>Buxheti i përgjithshëm për Objektivin Specifik 4.3:</w:t>
            </w:r>
          </w:p>
        </w:tc>
        <w:tc>
          <w:tcPr>
            <w:tcW w:w="1161" w:type="dxa"/>
            <w:shd w:val="clear" w:color="auto" w:fill="F2F2F2"/>
            <w:vAlign w:val="center"/>
          </w:tcPr>
          <w:p w:rsidR="002842E7" w:rsidRPr="001640C4" w:rsidRDefault="002842E7" w:rsidP="002842E7">
            <w:pPr>
              <w:rPr>
                <w:rFonts w:eastAsia="Times New Roman" w:cstheme="majorHAnsi"/>
                <w:sz w:val="20"/>
                <w:szCs w:val="20"/>
                <w:lang w:eastAsia="sq-AL"/>
              </w:rPr>
            </w:pPr>
          </w:p>
        </w:tc>
        <w:tc>
          <w:tcPr>
            <w:tcW w:w="966"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cstheme="majorHAnsi"/>
                <w:sz w:val="20"/>
                <w:szCs w:val="20"/>
              </w:rPr>
              <w:t>0</w:t>
            </w:r>
          </w:p>
        </w:tc>
        <w:tc>
          <w:tcPr>
            <w:tcW w:w="850"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cstheme="majorHAnsi"/>
                <w:sz w:val="20"/>
                <w:szCs w:val="20"/>
              </w:rPr>
              <w:t>3,000</w:t>
            </w:r>
          </w:p>
        </w:tc>
        <w:tc>
          <w:tcPr>
            <w:tcW w:w="1134"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cstheme="majorHAnsi"/>
                <w:sz w:val="20"/>
                <w:szCs w:val="20"/>
              </w:rPr>
              <w:t>9,000</w:t>
            </w:r>
          </w:p>
        </w:tc>
        <w:tc>
          <w:tcPr>
            <w:tcW w:w="1134" w:type="dxa"/>
            <w:shd w:val="clear" w:color="auto" w:fill="F2F2F2"/>
            <w:vAlign w:val="center"/>
          </w:tcPr>
          <w:p w:rsidR="002842E7" w:rsidRPr="001640C4" w:rsidRDefault="002842E7" w:rsidP="002842E7">
            <w:pPr>
              <w:rPr>
                <w:rFonts w:eastAsia="Times New Roman" w:cstheme="majorHAnsi"/>
                <w:sz w:val="20"/>
                <w:szCs w:val="20"/>
                <w:lang w:eastAsia="sq-AL"/>
              </w:rPr>
            </w:pPr>
          </w:p>
        </w:tc>
        <w:tc>
          <w:tcPr>
            <w:tcW w:w="1276" w:type="dxa"/>
            <w:gridSpan w:val="2"/>
            <w:shd w:val="clear" w:color="auto" w:fill="F2F2F2"/>
            <w:vAlign w:val="center"/>
          </w:tcPr>
          <w:p w:rsidR="002842E7" w:rsidRPr="001640C4" w:rsidRDefault="002842E7" w:rsidP="002842E7">
            <w:pPr>
              <w:rPr>
                <w:rFonts w:eastAsia="Times New Roman" w:cstheme="majorHAnsi"/>
                <w:sz w:val="20"/>
                <w:szCs w:val="20"/>
                <w:lang w:eastAsia="sq-AL"/>
              </w:rPr>
            </w:pPr>
          </w:p>
        </w:tc>
        <w:tc>
          <w:tcPr>
            <w:tcW w:w="1930" w:type="dxa"/>
            <w:shd w:val="clear" w:color="auto" w:fill="F2F2F2"/>
            <w:vAlign w:val="center"/>
          </w:tcPr>
          <w:p w:rsidR="002842E7" w:rsidRPr="001640C4" w:rsidRDefault="002842E7" w:rsidP="002842E7">
            <w:pPr>
              <w:rPr>
                <w:rFonts w:eastAsia="Times New Roman" w:cstheme="majorHAnsi"/>
                <w:sz w:val="20"/>
                <w:szCs w:val="20"/>
                <w:lang w:eastAsia="sq-AL"/>
              </w:rPr>
            </w:pPr>
          </w:p>
        </w:tc>
        <w:tc>
          <w:tcPr>
            <w:tcW w:w="1330" w:type="dxa"/>
            <w:shd w:val="clear" w:color="auto" w:fill="F2F2F2"/>
            <w:vAlign w:val="center"/>
          </w:tcPr>
          <w:p w:rsidR="002842E7" w:rsidRPr="001640C4" w:rsidRDefault="002842E7" w:rsidP="002842E7">
            <w:pPr>
              <w:rPr>
                <w:rFonts w:eastAsia="Times New Roman" w:cstheme="majorHAnsi"/>
                <w:sz w:val="20"/>
                <w:szCs w:val="20"/>
                <w:lang w:eastAsia="sq-AL"/>
              </w:rPr>
            </w:pPr>
          </w:p>
        </w:tc>
      </w:tr>
      <w:tr w:rsidR="002842E7" w:rsidRPr="001640C4" w:rsidTr="00B901E3">
        <w:tc>
          <w:tcPr>
            <w:tcW w:w="709" w:type="dxa"/>
            <w:shd w:val="clear" w:color="auto" w:fill="auto"/>
            <w:vAlign w:val="center"/>
          </w:tcPr>
          <w:p w:rsidR="002842E7" w:rsidRPr="001640C4" w:rsidRDefault="002842E7" w:rsidP="002842E7">
            <w:pPr>
              <w:spacing w:before="120" w:after="120"/>
              <w:jc w:val="center"/>
              <w:rPr>
                <w:rFonts w:eastAsia="Times New Roman" w:cstheme="majorHAnsi"/>
                <w:sz w:val="20"/>
                <w:szCs w:val="20"/>
                <w:lang w:eastAsia="sq-AL"/>
              </w:rPr>
            </w:pPr>
          </w:p>
        </w:tc>
        <w:tc>
          <w:tcPr>
            <w:tcW w:w="3827" w:type="dxa"/>
            <w:shd w:val="clear" w:color="auto" w:fill="auto"/>
            <w:vAlign w:val="center"/>
          </w:tcPr>
          <w:p w:rsidR="002842E7" w:rsidRPr="001640C4" w:rsidRDefault="002842E7" w:rsidP="002842E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shd w:val="clear" w:color="auto" w:fill="F2F2F2"/>
            <w:vAlign w:val="center"/>
          </w:tcPr>
          <w:p w:rsidR="002842E7" w:rsidRPr="001640C4" w:rsidRDefault="002842E7" w:rsidP="002842E7">
            <w:pPr>
              <w:rPr>
                <w:rFonts w:eastAsia="Times New Roman" w:cstheme="majorHAnsi"/>
                <w:sz w:val="20"/>
                <w:szCs w:val="20"/>
                <w:lang w:eastAsia="sq-AL"/>
              </w:rPr>
            </w:pPr>
          </w:p>
        </w:tc>
        <w:tc>
          <w:tcPr>
            <w:tcW w:w="966"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cstheme="majorHAnsi"/>
                <w:sz w:val="20"/>
                <w:szCs w:val="20"/>
              </w:rPr>
              <w:t>0</w:t>
            </w:r>
          </w:p>
        </w:tc>
        <w:tc>
          <w:tcPr>
            <w:tcW w:w="850"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cstheme="majorHAnsi"/>
                <w:sz w:val="20"/>
                <w:szCs w:val="20"/>
              </w:rPr>
              <w:t>0</w:t>
            </w:r>
          </w:p>
        </w:tc>
        <w:tc>
          <w:tcPr>
            <w:tcW w:w="1134"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cstheme="majorHAnsi"/>
                <w:sz w:val="20"/>
                <w:szCs w:val="20"/>
              </w:rPr>
              <w:t>0</w:t>
            </w:r>
          </w:p>
        </w:tc>
        <w:tc>
          <w:tcPr>
            <w:tcW w:w="1134" w:type="dxa"/>
            <w:shd w:val="clear" w:color="auto" w:fill="F2F2F2"/>
            <w:vAlign w:val="center"/>
          </w:tcPr>
          <w:p w:rsidR="002842E7" w:rsidRPr="001640C4" w:rsidRDefault="002842E7" w:rsidP="002842E7">
            <w:pPr>
              <w:rPr>
                <w:rFonts w:eastAsia="Times New Roman" w:cstheme="majorHAnsi"/>
                <w:sz w:val="20"/>
                <w:szCs w:val="20"/>
                <w:lang w:eastAsia="sq-AL"/>
              </w:rPr>
            </w:pPr>
          </w:p>
        </w:tc>
        <w:tc>
          <w:tcPr>
            <w:tcW w:w="1276" w:type="dxa"/>
            <w:gridSpan w:val="2"/>
            <w:shd w:val="clear" w:color="auto" w:fill="F2F2F2"/>
            <w:vAlign w:val="center"/>
          </w:tcPr>
          <w:p w:rsidR="002842E7" w:rsidRPr="001640C4" w:rsidRDefault="002842E7" w:rsidP="002842E7">
            <w:pPr>
              <w:rPr>
                <w:rFonts w:eastAsia="Times New Roman" w:cstheme="majorHAnsi"/>
                <w:sz w:val="20"/>
                <w:szCs w:val="20"/>
                <w:lang w:eastAsia="sq-AL"/>
              </w:rPr>
            </w:pPr>
          </w:p>
        </w:tc>
        <w:tc>
          <w:tcPr>
            <w:tcW w:w="1930" w:type="dxa"/>
            <w:shd w:val="clear" w:color="auto" w:fill="F2F2F2"/>
            <w:vAlign w:val="center"/>
          </w:tcPr>
          <w:p w:rsidR="002842E7" w:rsidRPr="001640C4" w:rsidRDefault="002842E7" w:rsidP="002842E7">
            <w:pPr>
              <w:rPr>
                <w:rFonts w:eastAsia="Times New Roman" w:cstheme="majorHAnsi"/>
                <w:sz w:val="20"/>
                <w:szCs w:val="20"/>
                <w:lang w:eastAsia="sq-AL"/>
              </w:rPr>
            </w:pPr>
          </w:p>
        </w:tc>
        <w:tc>
          <w:tcPr>
            <w:tcW w:w="1330" w:type="dxa"/>
            <w:shd w:val="clear" w:color="auto" w:fill="F2F2F2"/>
            <w:vAlign w:val="center"/>
          </w:tcPr>
          <w:p w:rsidR="002842E7" w:rsidRPr="001640C4" w:rsidRDefault="002842E7" w:rsidP="002842E7">
            <w:pPr>
              <w:rPr>
                <w:rFonts w:eastAsia="Times New Roman" w:cstheme="majorHAnsi"/>
                <w:sz w:val="20"/>
                <w:szCs w:val="20"/>
                <w:lang w:eastAsia="sq-AL"/>
              </w:rPr>
            </w:pPr>
          </w:p>
        </w:tc>
      </w:tr>
      <w:tr w:rsidR="002842E7" w:rsidRPr="001640C4" w:rsidTr="00B901E3">
        <w:tc>
          <w:tcPr>
            <w:tcW w:w="709" w:type="dxa"/>
            <w:shd w:val="clear" w:color="auto" w:fill="auto"/>
            <w:vAlign w:val="center"/>
          </w:tcPr>
          <w:p w:rsidR="002842E7" w:rsidRPr="001640C4" w:rsidRDefault="002842E7" w:rsidP="002842E7">
            <w:pPr>
              <w:spacing w:before="120" w:after="120"/>
              <w:jc w:val="center"/>
              <w:rPr>
                <w:rFonts w:eastAsia="Times New Roman" w:cstheme="majorHAnsi"/>
                <w:sz w:val="20"/>
                <w:szCs w:val="20"/>
                <w:lang w:eastAsia="sq-AL"/>
              </w:rPr>
            </w:pPr>
          </w:p>
        </w:tc>
        <w:tc>
          <w:tcPr>
            <w:tcW w:w="3827" w:type="dxa"/>
            <w:shd w:val="clear" w:color="auto" w:fill="auto"/>
            <w:vAlign w:val="center"/>
          </w:tcPr>
          <w:p w:rsidR="002842E7" w:rsidRPr="001640C4" w:rsidRDefault="002842E7" w:rsidP="002842E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shd w:val="clear" w:color="auto" w:fill="F2F2F2"/>
            <w:vAlign w:val="center"/>
          </w:tcPr>
          <w:p w:rsidR="002842E7" w:rsidRPr="001640C4" w:rsidRDefault="002842E7" w:rsidP="002842E7">
            <w:pPr>
              <w:rPr>
                <w:rFonts w:eastAsia="Times New Roman" w:cstheme="majorHAnsi"/>
                <w:sz w:val="20"/>
                <w:szCs w:val="20"/>
                <w:lang w:eastAsia="sq-AL"/>
              </w:rPr>
            </w:pPr>
          </w:p>
        </w:tc>
        <w:tc>
          <w:tcPr>
            <w:tcW w:w="966"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cstheme="majorHAnsi"/>
                <w:sz w:val="20"/>
                <w:szCs w:val="20"/>
              </w:rPr>
              <w:t>0</w:t>
            </w:r>
          </w:p>
        </w:tc>
        <w:tc>
          <w:tcPr>
            <w:tcW w:w="850"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cstheme="majorHAnsi"/>
                <w:sz w:val="20"/>
                <w:szCs w:val="20"/>
              </w:rPr>
              <w:t>3,000</w:t>
            </w:r>
          </w:p>
        </w:tc>
        <w:tc>
          <w:tcPr>
            <w:tcW w:w="1134" w:type="dxa"/>
            <w:shd w:val="clear" w:color="auto" w:fill="auto"/>
            <w:vAlign w:val="center"/>
          </w:tcPr>
          <w:p w:rsidR="002842E7" w:rsidRPr="001640C4" w:rsidRDefault="002842E7" w:rsidP="002842E7">
            <w:pPr>
              <w:rPr>
                <w:rFonts w:eastAsia="Times New Roman" w:cstheme="majorHAnsi"/>
                <w:sz w:val="20"/>
                <w:szCs w:val="20"/>
                <w:lang w:eastAsia="sq-AL"/>
              </w:rPr>
            </w:pPr>
            <w:r w:rsidRPr="001640C4">
              <w:rPr>
                <w:rFonts w:cstheme="majorHAnsi"/>
                <w:sz w:val="20"/>
                <w:szCs w:val="20"/>
              </w:rPr>
              <w:t>9,000</w:t>
            </w:r>
          </w:p>
        </w:tc>
        <w:tc>
          <w:tcPr>
            <w:tcW w:w="1134" w:type="dxa"/>
            <w:shd w:val="clear" w:color="auto" w:fill="F2F2F2"/>
            <w:vAlign w:val="center"/>
          </w:tcPr>
          <w:p w:rsidR="002842E7" w:rsidRPr="001640C4" w:rsidRDefault="002842E7" w:rsidP="002842E7">
            <w:pPr>
              <w:rPr>
                <w:rFonts w:eastAsia="Times New Roman" w:cstheme="majorHAnsi"/>
                <w:sz w:val="20"/>
                <w:szCs w:val="20"/>
                <w:lang w:eastAsia="sq-AL"/>
              </w:rPr>
            </w:pPr>
          </w:p>
        </w:tc>
        <w:tc>
          <w:tcPr>
            <w:tcW w:w="1276" w:type="dxa"/>
            <w:gridSpan w:val="2"/>
            <w:shd w:val="clear" w:color="auto" w:fill="F2F2F2"/>
            <w:vAlign w:val="center"/>
          </w:tcPr>
          <w:p w:rsidR="002842E7" w:rsidRPr="001640C4" w:rsidRDefault="002842E7" w:rsidP="002842E7">
            <w:pPr>
              <w:rPr>
                <w:rFonts w:eastAsia="Times New Roman" w:cstheme="majorHAnsi"/>
                <w:sz w:val="20"/>
                <w:szCs w:val="20"/>
                <w:lang w:eastAsia="sq-AL"/>
              </w:rPr>
            </w:pPr>
          </w:p>
        </w:tc>
        <w:tc>
          <w:tcPr>
            <w:tcW w:w="1930" w:type="dxa"/>
            <w:shd w:val="clear" w:color="auto" w:fill="F2F2F2"/>
            <w:vAlign w:val="center"/>
          </w:tcPr>
          <w:p w:rsidR="002842E7" w:rsidRPr="001640C4" w:rsidRDefault="002842E7" w:rsidP="002842E7">
            <w:pPr>
              <w:rPr>
                <w:rFonts w:eastAsia="Times New Roman" w:cstheme="majorHAnsi"/>
                <w:sz w:val="20"/>
                <w:szCs w:val="20"/>
                <w:lang w:eastAsia="sq-AL"/>
              </w:rPr>
            </w:pPr>
          </w:p>
        </w:tc>
        <w:tc>
          <w:tcPr>
            <w:tcW w:w="1330" w:type="dxa"/>
            <w:shd w:val="clear" w:color="auto" w:fill="F2F2F2"/>
            <w:vAlign w:val="center"/>
          </w:tcPr>
          <w:p w:rsidR="002842E7" w:rsidRPr="001640C4" w:rsidRDefault="002842E7" w:rsidP="002842E7">
            <w:pPr>
              <w:rPr>
                <w:rFonts w:eastAsia="Times New Roman" w:cstheme="majorHAnsi"/>
                <w:sz w:val="20"/>
                <w:szCs w:val="20"/>
                <w:lang w:eastAsia="sq-AL"/>
              </w:rPr>
            </w:pPr>
          </w:p>
        </w:tc>
      </w:tr>
      <w:tr w:rsidR="002842E7" w:rsidRPr="001640C4" w:rsidTr="00B901E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spacing w:before="120" w:after="120"/>
              <w:jc w:val="center"/>
              <w:rPr>
                <w:rFonts w:eastAsia="Times New Roman" w:cstheme="majorHAnsi"/>
                <w:b/>
                <w:sz w:val="20"/>
                <w:szCs w:val="20"/>
                <w:lang w:eastAsia="sq-AL"/>
              </w:rPr>
            </w:pP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spacing w:before="120" w:after="120"/>
              <w:jc w:val="right"/>
              <w:rPr>
                <w:rFonts w:eastAsia="Times New Roman" w:cstheme="majorHAnsi"/>
                <w:b/>
                <w:i/>
                <w:sz w:val="20"/>
                <w:szCs w:val="20"/>
                <w:lang w:eastAsia="sq-AL"/>
              </w:rPr>
            </w:pPr>
            <w:r w:rsidRPr="001640C4">
              <w:rPr>
                <w:rFonts w:eastAsia="Times New Roman" w:cstheme="majorHAnsi"/>
                <w:b/>
                <w:i/>
                <w:sz w:val="20"/>
                <w:szCs w:val="20"/>
                <w:lang w:eastAsia="sq-AL"/>
              </w:rPr>
              <w:t xml:space="preserve"> Buxheti i përgjithshëm për Planin e Veprimit sipas viteve:</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b/>
                <w:sz w:val="20"/>
                <w:szCs w:val="20"/>
                <w:lang w:eastAsia="sq-AL"/>
              </w:rPr>
            </w:pP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b/>
                <w:sz w:val="20"/>
                <w:szCs w:val="20"/>
                <w:lang w:eastAsia="sq-AL"/>
              </w:rPr>
            </w:pPr>
            <w:r w:rsidRPr="001640C4">
              <w:rPr>
                <w:rFonts w:eastAsia="Times New Roman" w:cstheme="majorHAnsi"/>
                <w:b/>
                <w:sz w:val="20"/>
                <w:szCs w:val="20"/>
                <w:lang w:eastAsia="sq-AL"/>
              </w:rPr>
              <w:t>59,500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Calibri Light"/>
                <w:b/>
                <w:sz w:val="20"/>
                <w:szCs w:val="20"/>
                <w:lang w:eastAsia="sq-AL"/>
              </w:rPr>
            </w:pPr>
            <w:r w:rsidRPr="001640C4">
              <w:rPr>
                <w:rFonts w:eastAsia="Times New Roman" w:cs="Calibri Light"/>
                <w:b/>
                <w:sz w:val="20"/>
                <w:szCs w:val="20"/>
                <w:lang w:eastAsia="sq-AL"/>
              </w:rPr>
              <w:t>65,000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Calibri Light"/>
                <w:b/>
                <w:sz w:val="20"/>
                <w:szCs w:val="20"/>
                <w:lang w:eastAsia="sq-AL"/>
              </w:rPr>
            </w:pPr>
            <w:r w:rsidRPr="001640C4">
              <w:rPr>
                <w:rFonts w:eastAsia="Times New Roman" w:cs="Calibri Light"/>
                <w:b/>
                <w:sz w:val="20"/>
                <w:szCs w:val="20"/>
                <w:lang w:eastAsia="sq-AL"/>
              </w:rPr>
              <w:t>1</w:t>
            </w:r>
            <w:r>
              <w:rPr>
                <w:rFonts w:eastAsia="Times New Roman" w:cs="Calibri Light"/>
                <w:b/>
                <w:sz w:val="20"/>
                <w:szCs w:val="20"/>
                <w:lang w:eastAsia="sq-AL"/>
              </w:rPr>
              <w:t>17</w:t>
            </w:r>
            <w:r w:rsidRPr="001640C4">
              <w:rPr>
                <w:rFonts w:eastAsia="Times New Roman" w:cs="Calibri Light"/>
                <w:b/>
                <w:sz w:val="20"/>
                <w:szCs w:val="20"/>
                <w:lang w:eastAsia="sq-AL"/>
              </w:rPr>
              <w:t>,000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b/>
                <w:sz w:val="20"/>
                <w:szCs w:val="20"/>
                <w:lang w:eastAsia="sq-A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b/>
                <w:sz w:val="20"/>
                <w:szCs w:val="20"/>
                <w:lang w:eastAsia="sq-AL"/>
              </w:rPr>
            </w:pP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b/>
                <w:sz w:val="20"/>
                <w:szCs w:val="20"/>
                <w:lang w:eastAsia="sq-AL"/>
              </w:rPr>
            </w:pPr>
          </w:p>
        </w:tc>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b/>
                <w:sz w:val="20"/>
                <w:szCs w:val="20"/>
                <w:lang w:eastAsia="sq-AL"/>
              </w:rPr>
            </w:pPr>
          </w:p>
        </w:tc>
      </w:tr>
      <w:tr w:rsidR="002842E7" w:rsidRPr="001640C4" w:rsidTr="00B901E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spacing w:before="120" w:after="120"/>
              <w:jc w:val="center"/>
              <w:rPr>
                <w:rFonts w:eastAsia="Times New Roman" w:cstheme="majorHAnsi"/>
                <w:sz w:val="20"/>
                <w:szCs w:val="20"/>
                <w:lang w:eastAsia="sq-AL"/>
              </w:rPr>
            </w:pP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kapitale:</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r w:rsidRPr="001640C4">
              <w:rPr>
                <w:rFonts w:eastAsia="Times New Roman" w:cstheme="majorHAnsi"/>
                <w:sz w:val="20"/>
                <w:szCs w:val="20"/>
                <w:lang w:eastAsia="sq-AL"/>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Calibri Light"/>
                <w:sz w:val="20"/>
                <w:szCs w:val="20"/>
                <w:lang w:eastAsia="sq-AL"/>
              </w:rPr>
            </w:pPr>
            <w:r w:rsidRPr="001640C4">
              <w:rPr>
                <w:rFonts w:eastAsia="Times New Roman" w:cs="Calibri Light"/>
                <w:sz w:val="20"/>
                <w:szCs w:val="20"/>
                <w:lang w:eastAsia="sq-AL"/>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Calibri Light"/>
                <w:sz w:val="20"/>
                <w:szCs w:val="20"/>
                <w:lang w:eastAsia="sq-AL"/>
              </w:rPr>
            </w:pPr>
            <w:r w:rsidRPr="001640C4">
              <w:rPr>
                <w:rFonts w:eastAsia="Times New Roman" w:cs="Calibri Light"/>
                <w:sz w:val="20"/>
                <w:szCs w:val="20"/>
                <w:lang w:eastAsia="sq-AL"/>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r>
      <w:tr w:rsidR="002842E7" w:rsidRPr="001640C4" w:rsidTr="00B901E3">
        <w:trPr>
          <w:trHeight w:val="458"/>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spacing w:before="120" w:after="120"/>
              <w:jc w:val="center"/>
              <w:rPr>
                <w:rFonts w:eastAsia="Times New Roman" w:cstheme="majorHAnsi"/>
                <w:sz w:val="20"/>
                <w:szCs w:val="20"/>
                <w:lang w:eastAsia="sq-AL"/>
              </w:rPr>
            </w:pP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spacing w:before="120" w:after="120"/>
              <w:jc w:val="right"/>
              <w:rPr>
                <w:rFonts w:eastAsia="Times New Roman" w:cstheme="majorHAnsi"/>
                <w:i/>
                <w:sz w:val="20"/>
                <w:szCs w:val="20"/>
                <w:lang w:eastAsia="sq-AL"/>
              </w:rPr>
            </w:pPr>
            <w:r w:rsidRPr="001640C4">
              <w:rPr>
                <w:rFonts w:eastAsia="Times New Roman" w:cstheme="majorHAnsi"/>
                <w:i/>
                <w:sz w:val="20"/>
                <w:szCs w:val="20"/>
                <w:lang w:eastAsia="sq-AL"/>
              </w:rPr>
              <w:t>Nga të cilat rrjedhëse:</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b/>
                <w:szCs w:val="20"/>
                <w:lang w:eastAsia="sq-AL"/>
              </w:rPr>
            </w:pPr>
            <w:r w:rsidRPr="001640C4">
              <w:rPr>
                <w:rFonts w:eastAsia="Times New Roman" w:cstheme="majorHAnsi"/>
                <w:b/>
                <w:szCs w:val="20"/>
                <w:lang w:eastAsia="sq-AL"/>
              </w:rPr>
              <w:t>59,500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Calibri Light"/>
                <w:b/>
                <w:szCs w:val="20"/>
                <w:lang w:eastAsia="sq-AL"/>
              </w:rPr>
            </w:pPr>
            <w:r w:rsidRPr="001640C4">
              <w:rPr>
                <w:rFonts w:eastAsia="Times New Roman" w:cs="Calibri Light"/>
                <w:b/>
                <w:szCs w:val="20"/>
                <w:lang w:eastAsia="sq-AL"/>
              </w:rPr>
              <w:t>65,000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Calibri Light"/>
                <w:b/>
                <w:szCs w:val="20"/>
                <w:lang w:eastAsia="sq-AL"/>
              </w:rPr>
            </w:pPr>
            <w:r w:rsidRPr="001640C4">
              <w:rPr>
                <w:rFonts w:eastAsia="Times New Roman" w:cs="Calibri Light"/>
                <w:b/>
                <w:szCs w:val="20"/>
                <w:lang w:eastAsia="sq-AL"/>
              </w:rPr>
              <w:t>1</w:t>
            </w:r>
            <w:r>
              <w:rPr>
                <w:rFonts w:eastAsia="Times New Roman" w:cs="Calibri Light"/>
                <w:b/>
                <w:szCs w:val="20"/>
                <w:lang w:eastAsia="sq-AL"/>
              </w:rPr>
              <w:t>17</w:t>
            </w:r>
            <w:r w:rsidRPr="001640C4">
              <w:rPr>
                <w:rFonts w:eastAsia="Times New Roman" w:cs="Calibri Light"/>
                <w:b/>
                <w:szCs w:val="20"/>
                <w:lang w:eastAsia="sq-AL"/>
              </w:rPr>
              <w:t>,000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r>
      <w:tr w:rsidR="002842E7" w:rsidRPr="001640C4" w:rsidTr="00B901E3">
        <w:trPr>
          <w:trHeight w:val="458"/>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spacing w:before="120" w:after="120"/>
              <w:jc w:val="center"/>
              <w:rPr>
                <w:rFonts w:eastAsia="Times New Roman" w:cstheme="majorHAnsi"/>
                <w:sz w:val="20"/>
                <w:szCs w:val="20"/>
                <w:lang w:eastAsia="sq-AL"/>
              </w:rPr>
            </w:pP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spacing w:before="120" w:after="120"/>
              <w:jc w:val="right"/>
              <w:rPr>
                <w:rFonts w:eastAsia="Times New Roman" w:cstheme="majorHAnsi"/>
                <w:i/>
                <w:sz w:val="20"/>
                <w:szCs w:val="20"/>
                <w:lang w:eastAsia="sq-AL"/>
              </w:rPr>
            </w:pPr>
            <w:r w:rsidRPr="001640C4">
              <w:rPr>
                <w:rFonts w:eastAsia="Times New Roman" w:cstheme="majorHAnsi"/>
                <w:b/>
                <w:i/>
                <w:sz w:val="24"/>
                <w:szCs w:val="20"/>
                <w:lang w:eastAsia="sq-AL"/>
              </w:rPr>
              <w:t>Totali i përgjithshëm për Planin e Veprimit:</w:t>
            </w:r>
            <w:r w:rsidRPr="001640C4">
              <w:rPr>
                <w:rFonts w:eastAsia="Times New Roman" w:cstheme="majorHAnsi"/>
                <w:i/>
                <w:sz w:val="24"/>
                <w:szCs w:val="20"/>
                <w:lang w:eastAsia="sq-AL"/>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c>
          <w:tcPr>
            <w:tcW w:w="2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jc w:val="center"/>
              <w:rPr>
                <w:rFonts w:eastAsia="Times New Roman" w:cstheme="majorHAnsi"/>
                <w:b/>
                <w:sz w:val="20"/>
                <w:szCs w:val="20"/>
                <w:lang w:eastAsia="sq-AL"/>
              </w:rPr>
            </w:pPr>
            <w:r w:rsidRPr="001640C4">
              <w:rPr>
                <w:rFonts w:eastAsia="Times New Roman" w:cstheme="majorHAnsi"/>
                <w:b/>
                <w:sz w:val="44"/>
                <w:szCs w:val="20"/>
                <w:lang w:eastAsia="sq-AL"/>
              </w:rPr>
              <w:t>253,500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2E7" w:rsidRPr="001640C4" w:rsidRDefault="002842E7" w:rsidP="002842E7">
            <w:pPr>
              <w:rPr>
                <w:rFonts w:eastAsia="Times New Roman" w:cstheme="majorHAnsi"/>
                <w:sz w:val="20"/>
                <w:szCs w:val="20"/>
                <w:lang w:eastAsia="sq-AL"/>
              </w:rPr>
            </w:pPr>
          </w:p>
        </w:tc>
      </w:tr>
      <w:bookmarkEnd w:id="38"/>
    </w:tbl>
    <w:p w:rsidR="003956FE" w:rsidRPr="001640C4" w:rsidRDefault="003956FE" w:rsidP="003956FE">
      <w:pPr>
        <w:rPr>
          <w:rFonts w:cstheme="majorHAnsi"/>
        </w:rPr>
      </w:pPr>
    </w:p>
    <w:p w:rsidR="003956FE" w:rsidRPr="001640C4" w:rsidRDefault="003956FE" w:rsidP="003956FE">
      <w:pPr>
        <w:rPr>
          <w:rFonts w:cstheme="majorHAnsi"/>
        </w:rPr>
      </w:pPr>
    </w:p>
    <w:p w:rsidR="003956FE" w:rsidRPr="00B6593D" w:rsidRDefault="003956FE" w:rsidP="003956FE">
      <w:pPr>
        <w:rPr>
          <w:rFonts w:cstheme="majorHAnsi"/>
        </w:rPr>
        <w:sectPr w:rsidR="003956FE" w:rsidRPr="00B6593D" w:rsidSect="00221DE3">
          <w:pgSz w:w="15840" w:h="12240" w:orient="landscape"/>
          <w:pgMar w:top="1440" w:right="1440" w:bottom="1440" w:left="1440" w:header="720" w:footer="720" w:gutter="0"/>
          <w:cols w:space="720"/>
          <w:docGrid w:linePitch="360"/>
        </w:sectPr>
      </w:pPr>
    </w:p>
    <w:p w:rsidR="00CF44A5" w:rsidRPr="00B6593D" w:rsidRDefault="00CF44A5" w:rsidP="00CF44A5">
      <w:pPr>
        <w:pStyle w:val="Heading1"/>
        <w:rPr>
          <w:rFonts w:eastAsia="Times New Roman" w:cstheme="majorHAnsi"/>
          <w:color w:val="000000" w:themeColor="text1"/>
        </w:rPr>
      </w:pPr>
      <w:bookmarkStart w:id="48" w:name="_Toc536000975"/>
      <w:r w:rsidRPr="00B6593D">
        <w:rPr>
          <w:rFonts w:eastAsia="Times New Roman" w:cstheme="majorHAnsi"/>
          <w:color w:val="000000" w:themeColor="text1"/>
        </w:rPr>
        <w:lastRenderedPageBreak/>
        <w:t>Shtojca 2 Lista e Anëtarëve të Ekipit të Punës (EP)</w:t>
      </w:r>
      <w:bookmarkEnd w:id="48"/>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Lista e Anëtarëve të Ekipit Punues (EP) për hartimin e Strategjisë për Bashkëpunimin e Qeverisë me Shoqërinë Civile (2019-2023) është paraqitur në tabelën në vijim. Kjo listë është marrë nga vendimi i nga Sekretari i Përgjithshëm i Zyrës së Kryeministrit (ZKM) në korrik të vitit 2017. </w:t>
      </w:r>
    </w:p>
    <w:p w:rsidR="00CF44A5" w:rsidRPr="00B6593D" w:rsidRDefault="00CF44A5" w:rsidP="00CF44A5">
      <w:pPr>
        <w:spacing w:line="276" w:lineRule="auto"/>
        <w:rPr>
          <w:rFonts w:cstheme="majorHAnsi"/>
          <w:color w:val="000000" w:themeColor="text1"/>
          <w:szCs w:val="22"/>
        </w:rPr>
      </w:pPr>
    </w:p>
    <w:tbl>
      <w:tblPr>
        <w:tblStyle w:val="TableGrid"/>
        <w:tblW w:w="0" w:type="auto"/>
        <w:jc w:val="center"/>
        <w:tblLook w:val="04A0" w:firstRow="1" w:lastRow="0" w:firstColumn="1" w:lastColumn="0" w:noHBand="0" w:noVBand="1"/>
      </w:tblPr>
      <w:tblGrid>
        <w:gridCol w:w="2605"/>
        <w:gridCol w:w="4140"/>
        <w:gridCol w:w="2605"/>
      </w:tblGrid>
      <w:tr w:rsidR="00CF44A5" w:rsidRPr="00B6593D" w:rsidTr="00221DE3">
        <w:trPr>
          <w:trHeight w:val="576"/>
          <w:jc w:val="center"/>
        </w:trPr>
        <w:tc>
          <w:tcPr>
            <w:tcW w:w="2605" w:type="dxa"/>
            <w:shd w:val="clear" w:color="auto" w:fill="F2F2F2" w:themeFill="background1" w:themeFillShade="F2"/>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Emri/Mbiemri</w:t>
            </w:r>
          </w:p>
        </w:tc>
        <w:tc>
          <w:tcPr>
            <w:tcW w:w="4140" w:type="dxa"/>
            <w:shd w:val="clear" w:color="auto" w:fill="F2F2F2" w:themeFill="background1" w:themeFillShade="F2"/>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Institucioni/Organizata</w:t>
            </w:r>
          </w:p>
        </w:tc>
        <w:tc>
          <w:tcPr>
            <w:tcW w:w="2605" w:type="dxa"/>
            <w:shd w:val="clear" w:color="auto" w:fill="F2F2F2" w:themeFill="background1" w:themeFillShade="F2"/>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Titulli/Pozita </w:t>
            </w:r>
          </w:p>
        </w:tc>
      </w:tr>
      <w:tr w:rsidR="00CF44A5" w:rsidRPr="00B6593D" w:rsidTr="00221DE3">
        <w:trPr>
          <w:trHeight w:val="432"/>
          <w:jc w:val="center"/>
        </w:trPr>
        <w:tc>
          <w:tcPr>
            <w:tcW w:w="2605" w:type="dxa"/>
            <w:vAlign w:val="center"/>
          </w:tcPr>
          <w:p w:rsidR="00CF44A5" w:rsidRPr="00B6593D" w:rsidRDefault="00CF44A5" w:rsidP="00221DE3">
            <w:pPr>
              <w:spacing w:line="276" w:lineRule="auto"/>
              <w:rPr>
                <w:rFonts w:cstheme="majorHAnsi"/>
                <w:b/>
                <w:color w:val="000000" w:themeColor="text1"/>
                <w:szCs w:val="22"/>
              </w:rPr>
            </w:pPr>
            <w:r w:rsidRPr="00B6593D">
              <w:rPr>
                <w:rFonts w:cstheme="majorHAnsi"/>
                <w:b/>
                <w:color w:val="000000" w:themeColor="text1"/>
                <w:szCs w:val="22"/>
              </w:rPr>
              <w:t xml:space="preserve">Habit Hajredini </w:t>
            </w:r>
          </w:p>
        </w:tc>
        <w:tc>
          <w:tcPr>
            <w:tcW w:w="4140"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Zyra e Kryeministrit (ZKM)  </w:t>
            </w:r>
          </w:p>
        </w:tc>
        <w:tc>
          <w:tcPr>
            <w:tcW w:w="2605"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Kryesues </w:t>
            </w:r>
          </w:p>
        </w:tc>
      </w:tr>
      <w:tr w:rsidR="00CF44A5" w:rsidRPr="00B6593D" w:rsidTr="00221DE3">
        <w:trPr>
          <w:trHeight w:val="432"/>
          <w:jc w:val="center"/>
        </w:trPr>
        <w:tc>
          <w:tcPr>
            <w:tcW w:w="2605" w:type="dxa"/>
            <w:vAlign w:val="center"/>
          </w:tcPr>
          <w:p w:rsidR="00CF44A5" w:rsidRPr="00B6593D" w:rsidRDefault="00CF44A5" w:rsidP="00221DE3">
            <w:pPr>
              <w:spacing w:line="276" w:lineRule="auto"/>
              <w:rPr>
                <w:rFonts w:cstheme="majorHAnsi"/>
                <w:b/>
                <w:color w:val="000000" w:themeColor="text1"/>
                <w:szCs w:val="22"/>
              </w:rPr>
            </w:pPr>
            <w:r w:rsidRPr="00B6593D">
              <w:rPr>
                <w:rFonts w:cstheme="majorHAnsi"/>
                <w:b/>
                <w:bCs/>
                <w:color w:val="000000" w:themeColor="text1"/>
              </w:rPr>
              <w:t xml:space="preserve">Dardan Kryeziu  </w:t>
            </w:r>
          </w:p>
        </w:tc>
        <w:tc>
          <w:tcPr>
            <w:tcW w:w="4140"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Platforma CiviKos </w:t>
            </w:r>
          </w:p>
        </w:tc>
        <w:tc>
          <w:tcPr>
            <w:tcW w:w="2605"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Zv.kryesues</w:t>
            </w:r>
            <w:r w:rsidRPr="00B6593D">
              <w:rPr>
                <w:rStyle w:val="FootnoteReference"/>
                <w:rFonts w:cstheme="majorHAnsi"/>
                <w:color w:val="000000" w:themeColor="text1"/>
                <w:szCs w:val="22"/>
              </w:rPr>
              <w:footnoteReference w:id="16"/>
            </w:r>
          </w:p>
        </w:tc>
      </w:tr>
      <w:tr w:rsidR="00CF44A5" w:rsidRPr="00B6593D" w:rsidTr="00221DE3">
        <w:trPr>
          <w:trHeight w:val="432"/>
          <w:jc w:val="center"/>
        </w:trPr>
        <w:tc>
          <w:tcPr>
            <w:tcW w:w="2605" w:type="dxa"/>
            <w:vAlign w:val="center"/>
          </w:tcPr>
          <w:p w:rsidR="00CF44A5" w:rsidRPr="00B6593D" w:rsidRDefault="00CF44A5" w:rsidP="00221DE3">
            <w:pPr>
              <w:spacing w:line="276" w:lineRule="auto"/>
              <w:rPr>
                <w:rFonts w:cstheme="majorHAnsi"/>
                <w:b/>
                <w:color w:val="000000" w:themeColor="text1"/>
                <w:szCs w:val="22"/>
              </w:rPr>
            </w:pPr>
            <w:r w:rsidRPr="00B6593D">
              <w:rPr>
                <w:rFonts w:cstheme="majorHAnsi"/>
                <w:b/>
                <w:color w:val="000000" w:themeColor="text1"/>
                <w:szCs w:val="22"/>
              </w:rPr>
              <w:t>Trëndelinë Dreshaj</w:t>
            </w:r>
          </w:p>
        </w:tc>
        <w:tc>
          <w:tcPr>
            <w:tcW w:w="4140"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Zyra e Kryeministrit (ZKM)  </w:t>
            </w:r>
          </w:p>
        </w:tc>
        <w:tc>
          <w:tcPr>
            <w:tcW w:w="2605"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Anëtar</w:t>
            </w:r>
          </w:p>
        </w:tc>
      </w:tr>
      <w:tr w:rsidR="00CF44A5" w:rsidRPr="00B6593D" w:rsidTr="00221DE3">
        <w:trPr>
          <w:trHeight w:val="432"/>
          <w:jc w:val="center"/>
        </w:trPr>
        <w:tc>
          <w:tcPr>
            <w:tcW w:w="2605" w:type="dxa"/>
            <w:vAlign w:val="center"/>
          </w:tcPr>
          <w:p w:rsidR="00CF44A5" w:rsidRPr="00B6593D" w:rsidRDefault="00CF44A5" w:rsidP="00221DE3">
            <w:pPr>
              <w:spacing w:line="276" w:lineRule="auto"/>
              <w:rPr>
                <w:rFonts w:cstheme="majorHAnsi"/>
                <w:b/>
                <w:color w:val="000000" w:themeColor="text1"/>
                <w:szCs w:val="22"/>
              </w:rPr>
            </w:pPr>
            <w:r w:rsidRPr="00B6593D">
              <w:rPr>
                <w:rFonts w:cstheme="majorHAnsi"/>
                <w:b/>
                <w:color w:val="000000" w:themeColor="text1"/>
                <w:szCs w:val="22"/>
              </w:rPr>
              <w:t>Mentor Borovci</w:t>
            </w:r>
          </w:p>
        </w:tc>
        <w:tc>
          <w:tcPr>
            <w:tcW w:w="4140"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Zyra e Kryeministrit (ZKM) </w:t>
            </w:r>
          </w:p>
        </w:tc>
        <w:tc>
          <w:tcPr>
            <w:tcW w:w="2605"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Anëtar</w:t>
            </w:r>
          </w:p>
        </w:tc>
      </w:tr>
      <w:tr w:rsidR="00CF44A5" w:rsidRPr="00B6593D" w:rsidTr="00221DE3">
        <w:trPr>
          <w:trHeight w:val="432"/>
          <w:jc w:val="center"/>
        </w:trPr>
        <w:tc>
          <w:tcPr>
            <w:tcW w:w="2605" w:type="dxa"/>
            <w:vAlign w:val="center"/>
          </w:tcPr>
          <w:p w:rsidR="00CF44A5" w:rsidRPr="00B6593D" w:rsidRDefault="00CF44A5" w:rsidP="00221DE3">
            <w:pPr>
              <w:spacing w:line="276" w:lineRule="auto"/>
              <w:rPr>
                <w:rFonts w:cstheme="majorHAnsi"/>
                <w:b/>
                <w:color w:val="000000" w:themeColor="text1"/>
                <w:szCs w:val="22"/>
              </w:rPr>
            </w:pPr>
            <w:r w:rsidRPr="00B6593D">
              <w:rPr>
                <w:rFonts w:cstheme="majorHAnsi"/>
                <w:b/>
                <w:color w:val="000000" w:themeColor="text1"/>
                <w:szCs w:val="22"/>
              </w:rPr>
              <w:t>Arben Krasniqi</w:t>
            </w:r>
          </w:p>
        </w:tc>
        <w:tc>
          <w:tcPr>
            <w:tcW w:w="4140"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Zyra e Kryeministrit (ZKM) </w:t>
            </w:r>
          </w:p>
        </w:tc>
        <w:tc>
          <w:tcPr>
            <w:tcW w:w="2605"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Anëtar</w:t>
            </w:r>
          </w:p>
        </w:tc>
      </w:tr>
      <w:tr w:rsidR="00CF44A5" w:rsidRPr="00B6593D" w:rsidTr="00221DE3">
        <w:trPr>
          <w:trHeight w:val="432"/>
          <w:jc w:val="center"/>
        </w:trPr>
        <w:tc>
          <w:tcPr>
            <w:tcW w:w="2605" w:type="dxa"/>
            <w:vAlign w:val="center"/>
          </w:tcPr>
          <w:p w:rsidR="00CF44A5" w:rsidRPr="00B6593D" w:rsidRDefault="00CF44A5" w:rsidP="00221DE3">
            <w:pPr>
              <w:spacing w:line="276" w:lineRule="auto"/>
              <w:rPr>
                <w:rFonts w:cstheme="majorHAnsi"/>
                <w:b/>
                <w:color w:val="000000" w:themeColor="text1"/>
                <w:szCs w:val="22"/>
              </w:rPr>
            </w:pPr>
            <w:r w:rsidRPr="00B6593D">
              <w:rPr>
                <w:rFonts w:cstheme="majorHAnsi"/>
                <w:b/>
                <w:color w:val="000000" w:themeColor="text1"/>
                <w:szCs w:val="22"/>
              </w:rPr>
              <w:t>Vedat Sogonjeva</w:t>
            </w:r>
            <w:r w:rsidRPr="00B6593D">
              <w:rPr>
                <w:rStyle w:val="FootnoteReference"/>
                <w:rFonts w:cstheme="majorHAnsi"/>
                <w:b/>
                <w:color w:val="000000" w:themeColor="text1"/>
                <w:szCs w:val="22"/>
              </w:rPr>
              <w:footnoteReference w:id="17"/>
            </w:r>
            <w:r w:rsidRPr="00B6593D">
              <w:rPr>
                <w:rFonts w:cstheme="majorHAnsi"/>
                <w:b/>
                <w:color w:val="000000" w:themeColor="text1"/>
                <w:szCs w:val="22"/>
              </w:rPr>
              <w:t xml:space="preserve"> </w:t>
            </w:r>
          </w:p>
        </w:tc>
        <w:tc>
          <w:tcPr>
            <w:tcW w:w="4140"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Zyra e Kryeministrit (ZKM) </w:t>
            </w:r>
          </w:p>
        </w:tc>
        <w:tc>
          <w:tcPr>
            <w:tcW w:w="2605"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Anëtar </w:t>
            </w:r>
          </w:p>
        </w:tc>
      </w:tr>
      <w:tr w:rsidR="00CF44A5" w:rsidRPr="00B6593D" w:rsidTr="00221DE3">
        <w:trPr>
          <w:trHeight w:val="432"/>
          <w:jc w:val="center"/>
        </w:trPr>
        <w:tc>
          <w:tcPr>
            <w:tcW w:w="2605" w:type="dxa"/>
            <w:vAlign w:val="center"/>
          </w:tcPr>
          <w:p w:rsidR="00CF44A5" w:rsidRPr="00B6593D" w:rsidRDefault="00CF44A5" w:rsidP="00221DE3">
            <w:pPr>
              <w:spacing w:line="276" w:lineRule="auto"/>
              <w:rPr>
                <w:rFonts w:cstheme="majorHAnsi"/>
                <w:b/>
                <w:color w:val="000000" w:themeColor="text1"/>
                <w:szCs w:val="22"/>
              </w:rPr>
            </w:pPr>
            <w:r w:rsidRPr="00B6593D">
              <w:rPr>
                <w:rFonts w:cstheme="majorHAnsi"/>
                <w:b/>
                <w:color w:val="000000" w:themeColor="text1"/>
                <w:szCs w:val="22"/>
              </w:rPr>
              <w:t>Shkelzen Ibrahimi</w:t>
            </w:r>
          </w:p>
        </w:tc>
        <w:tc>
          <w:tcPr>
            <w:tcW w:w="4140"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Zyra e Kryeministrit (ZKM) </w:t>
            </w:r>
          </w:p>
        </w:tc>
        <w:tc>
          <w:tcPr>
            <w:tcW w:w="2605"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Anëtar </w:t>
            </w:r>
          </w:p>
        </w:tc>
      </w:tr>
      <w:tr w:rsidR="00CF44A5" w:rsidRPr="00B6593D" w:rsidTr="00221DE3">
        <w:trPr>
          <w:trHeight w:val="432"/>
          <w:jc w:val="center"/>
        </w:trPr>
        <w:tc>
          <w:tcPr>
            <w:tcW w:w="2605" w:type="dxa"/>
            <w:vAlign w:val="center"/>
          </w:tcPr>
          <w:p w:rsidR="00CF44A5" w:rsidRPr="00B6593D" w:rsidRDefault="00CF44A5" w:rsidP="00221DE3">
            <w:pPr>
              <w:spacing w:line="276" w:lineRule="auto"/>
              <w:rPr>
                <w:rFonts w:cstheme="majorHAnsi"/>
                <w:b/>
                <w:color w:val="000000" w:themeColor="text1"/>
                <w:szCs w:val="22"/>
              </w:rPr>
            </w:pPr>
            <w:r w:rsidRPr="00B6593D">
              <w:rPr>
                <w:rFonts w:cstheme="majorHAnsi"/>
                <w:b/>
                <w:color w:val="000000" w:themeColor="text1"/>
                <w:szCs w:val="22"/>
              </w:rPr>
              <w:t xml:space="preserve">Ismet Cakiqi </w:t>
            </w:r>
          </w:p>
        </w:tc>
        <w:tc>
          <w:tcPr>
            <w:tcW w:w="4140"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Zyra e Kryeministrit (ZKM) </w:t>
            </w:r>
          </w:p>
        </w:tc>
        <w:tc>
          <w:tcPr>
            <w:tcW w:w="2605"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Anëtar </w:t>
            </w:r>
          </w:p>
        </w:tc>
      </w:tr>
      <w:tr w:rsidR="00CF44A5" w:rsidRPr="00B6593D" w:rsidTr="00221DE3">
        <w:trPr>
          <w:trHeight w:val="432"/>
          <w:jc w:val="center"/>
        </w:trPr>
        <w:tc>
          <w:tcPr>
            <w:tcW w:w="2605" w:type="dxa"/>
            <w:vAlign w:val="center"/>
          </w:tcPr>
          <w:p w:rsidR="00CF44A5" w:rsidRPr="00B6593D" w:rsidRDefault="00CF44A5" w:rsidP="00221DE3">
            <w:pPr>
              <w:spacing w:line="276" w:lineRule="auto"/>
              <w:rPr>
                <w:rFonts w:cstheme="majorHAnsi"/>
                <w:b/>
                <w:color w:val="000000" w:themeColor="text1"/>
                <w:szCs w:val="22"/>
              </w:rPr>
            </w:pPr>
            <w:r w:rsidRPr="00B6593D">
              <w:rPr>
                <w:rFonts w:cstheme="majorHAnsi"/>
                <w:b/>
                <w:color w:val="000000" w:themeColor="text1"/>
                <w:szCs w:val="22"/>
              </w:rPr>
              <w:t>Rexhep Vasolli</w:t>
            </w:r>
          </w:p>
        </w:tc>
        <w:tc>
          <w:tcPr>
            <w:tcW w:w="4140"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Ministria e Financave (MF) </w:t>
            </w:r>
          </w:p>
        </w:tc>
        <w:tc>
          <w:tcPr>
            <w:tcW w:w="2605"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Anëtar </w:t>
            </w:r>
          </w:p>
        </w:tc>
      </w:tr>
      <w:tr w:rsidR="00CF44A5" w:rsidRPr="00B6593D" w:rsidTr="00221DE3">
        <w:trPr>
          <w:trHeight w:val="432"/>
          <w:jc w:val="center"/>
        </w:trPr>
        <w:tc>
          <w:tcPr>
            <w:tcW w:w="2605" w:type="dxa"/>
            <w:vAlign w:val="center"/>
          </w:tcPr>
          <w:p w:rsidR="00CF44A5" w:rsidRPr="00B6593D" w:rsidRDefault="00CF44A5" w:rsidP="00221DE3">
            <w:pPr>
              <w:spacing w:line="276" w:lineRule="auto"/>
              <w:rPr>
                <w:rFonts w:cstheme="majorHAnsi"/>
                <w:b/>
                <w:color w:val="000000" w:themeColor="text1"/>
                <w:szCs w:val="22"/>
              </w:rPr>
            </w:pPr>
            <w:r w:rsidRPr="00B6593D">
              <w:rPr>
                <w:rFonts w:cstheme="majorHAnsi"/>
                <w:b/>
                <w:color w:val="000000" w:themeColor="text1"/>
                <w:szCs w:val="22"/>
              </w:rPr>
              <w:t>Taulant Hoxha</w:t>
            </w:r>
          </w:p>
        </w:tc>
        <w:tc>
          <w:tcPr>
            <w:tcW w:w="4140"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Fondacioni Kosovar për Shoqëri Civile (KCSF) </w:t>
            </w:r>
          </w:p>
        </w:tc>
        <w:tc>
          <w:tcPr>
            <w:tcW w:w="2605"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Anëtar </w:t>
            </w:r>
          </w:p>
        </w:tc>
      </w:tr>
      <w:tr w:rsidR="00CF44A5" w:rsidRPr="00B6593D" w:rsidTr="00221DE3">
        <w:trPr>
          <w:trHeight w:val="432"/>
          <w:jc w:val="center"/>
        </w:trPr>
        <w:tc>
          <w:tcPr>
            <w:tcW w:w="2605" w:type="dxa"/>
            <w:vAlign w:val="center"/>
          </w:tcPr>
          <w:p w:rsidR="00CF44A5" w:rsidRPr="00B6593D" w:rsidRDefault="00CF44A5" w:rsidP="00221DE3">
            <w:pPr>
              <w:spacing w:line="276" w:lineRule="auto"/>
              <w:rPr>
                <w:rFonts w:cstheme="majorHAnsi"/>
                <w:b/>
                <w:color w:val="000000" w:themeColor="text1"/>
                <w:szCs w:val="22"/>
              </w:rPr>
            </w:pPr>
            <w:r w:rsidRPr="00B6593D">
              <w:rPr>
                <w:rFonts w:cstheme="majorHAnsi"/>
                <w:b/>
                <w:color w:val="000000" w:themeColor="text1"/>
                <w:szCs w:val="22"/>
              </w:rPr>
              <w:t>Veton Mujaj</w:t>
            </w:r>
          </w:p>
        </w:tc>
        <w:tc>
          <w:tcPr>
            <w:tcW w:w="4140"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Syri i Vizionit </w:t>
            </w:r>
          </w:p>
        </w:tc>
        <w:tc>
          <w:tcPr>
            <w:tcW w:w="2605"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Anëtar </w:t>
            </w:r>
          </w:p>
        </w:tc>
      </w:tr>
      <w:tr w:rsidR="00CF44A5" w:rsidRPr="00B6593D" w:rsidTr="00221DE3">
        <w:trPr>
          <w:trHeight w:val="432"/>
          <w:jc w:val="center"/>
        </w:trPr>
        <w:tc>
          <w:tcPr>
            <w:tcW w:w="2605" w:type="dxa"/>
            <w:vAlign w:val="center"/>
          </w:tcPr>
          <w:p w:rsidR="00CF44A5" w:rsidRPr="00B6593D" w:rsidRDefault="00CF44A5" w:rsidP="00221DE3">
            <w:pPr>
              <w:spacing w:line="276" w:lineRule="auto"/>
              <w:rPr>
                <w:rFonts w:cstheme="majorHAnsi"/>
                <w:b/>
                <w:color w:val="000000" w:themeColor="text1"/>
                <w:szCs w:val="22"/>
              </w:rPr>
            </w:pPr>
            <w:r w:rsidRPr="00B6593D">
              <w:rPr>
                <w:rFonts w:cstheme="majorHAnsi"/>
                <w:b/>
                <w:color w:val="000000" w:themeColor="text1"/>
                <w:szCs w:val="22"/>
              </w:rPr>
              <w:t xml:space="preserve">Florina Duli </w:t>
            </w:r>
          </w:p>
        </w:tc>
        <w:tc>
          <w:tcPr>
            <w:tcW w:w="4140"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Iniciativa Kosovare për Stabilitet  IKS</w:t>
            </w:r>
          </w:p>
        </w:tc>
        <w:tc>
          <w:tcPr>
            <w:tcW w:w="2605" w:type="dxa"/>
            <w:vAlign w:val="center"/>
          </w:tcPr>
          <w:p w:rsidR="00CF44A5" w:rsidRPr="00B6593D" w:rsidRDefault="00CF44A5" w:rsidP="00221DE3">
            <w:pPr>
              <w:spacing w:line="276" w:lineRule="auto"/>
              <w:rPr>
                <w:rFonts w:cstheme="majorHAnsi"/>
                <w:color w:val="000000" w:themeColor="text1"/>
                <w:szCs w:val="22"/>
              </w:rPr>
            </w:pPr>
            <w:r w:rsidRPr="00B6593D">
              <w:rPr>
                <w:rFonts w:cstheme="majorHAnsi"/>
                <w:color w:val="000000" w:themeColor="text1"/>
                <w:szCs w:val="22"/>
              </w:rPr>
              <w:t xml:space="preserve">Anëtar </w:t>
            </w:r>
          </w:p>
        </w:tc>
      </w:tr>
    </w:tbl>
    <w:p w:rsidR="00CF44A5" w:rsidRPr="00B6593D" w:rsidRDefault="00683A01" w:rsidP="00CF44A5">
      <w:pPr>
        <w:spacing w:line="276" w:lineRule="auto"/>
        <w:rPr>
          <w:rFonts w:cstheme="majorHAnsi"/>
          <w:color w:val="000000" w:themeColor="text1"/>
          <w:szCs w:val="22"/>
        </w:rPr>
      </w:pPr>
      <w:r>
        <w:rPr>
          <w:rFonts w:cstheme="majorHAnsi"/>
          <w:color w:val="000000" w:themeColor="text1"/>
          <w:szCs w:val="22"/>
        </w:rPr>
        <w:pict>
          <v:rect id="_x0000_i1035" style="width:468pt;height:1.5pt" o:hralign="center" o:hrstd="t" o:hrnoshade="t" o:hr="t" fillcolor="gray [1629]" stroked="f"/>
        </w:pict>
      </w:r>
    </w:p>
    <w:p w:rsidR="00CF44A5" w:rsidRPr="00B6593D" w:rsidRDefault="00CF44A5" w:rsidP="00CF44A5">
      <w:pPr>
        <w:spacing w:after="160" w:line="276" w:lineRule="auto"/>
        <w:contextualSpacing w:val="0"/>
        <w:jc w:val="left"/>
        <w:rPr>
          <w:rFonts w:eastAsiaTheme="majorEastAsia" w:cstheme="majorHAnsi"/>
          <w:b/>
          <w:color w:val="000000" w:themeColor="text1"/>
          <w:szCs w:val="22"/>
        </w:rPr>
        <w:sectPr w:rsidR="00CF44A5" w:rsidRPr="00B6593D" w:rsidSect="00221DE3">
          <w:pgSz w:w="12240" w:h="15840"/>
          <w:pgMar w:top="1440" w:right="1440" w:bottom="1440" w:left="1440" w:header="720" w:footer="720" w:gutter="0"/>
          <w:cols w:space="720"/>
          <w:docGrid w:linePitch="360"/>
        </w:sectPr>
      </w:pPr>
      <w:r w:rsidRPr="00B6593D">
        <w:rPr>
          <w:rFonts w:cstheme="majorHAnsi"/>
          <w:color w:val="000000" w:themeColor="text1"/>
          <w:szCs w:val="22"/>
        </w:rPr>
        <w:br w:type="page"/>
      </w:r>
    </w:p>
    <w:p w:rsidR="00CF44A5" w:rsidRPr="00B6593D" w:rsidRDefault="00CF44A5" w:rsidP="00CF44A5">
      <w:pPr>
        <w:pStyle w:val="Heading1"/>
        <w:rPr>
          <w:rFonts w:eastAsia="Times New Roman" w:cstheme="majorHAnsi"/>
          <w:color w:val="000000" w:themeColor="text1"/>
        </w:rPr>
      </w:pPr>
      <w:bookmarkStart w:id="49" w:name="_Toc536000976"/>
      <w:r w:rsidRPr="00B6593D">
        <w:rPr>
          <w:rFonts w:eastAsia="Times New Roman" w:cstheme="majorHAnsi"/>
          <w:color w:val="000000" w:themeColor="text1"/>
        </w:rPr>
        <w:lastRenderedPageBreak/>
        <w:t>Shtojca 3 Organizimi Institucional</w:t>
      </w:r>
      <w:bookmarkEnd w:id="49"/>
      <w:r w:rsidRPr="00B6593D">
        <w:rPr>
          <w:rFonts w:eastAsia="Times New Roman" w:cstheme="majorHAnsi"/>
          <w:color w:val="000000" w:themeColor="text1"/>
        </w:rPr>
        <w:t xml:space="preserve"> </w: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Në figurën më poshtë është paraqitur organizimi institucional për koordinim, mbikëqyrje, vlerësim dhe raportim. Dy institucionet kryesore përgjegjëse për monitorimin, vlerësimin dhe raportimin për zbatimin e Strategjisë janë Këshilli dhe Zyra për Qeverisje të Mirë. Krahas monitorimit dhe vlerësimit Këshilli  mund të iniciojë dhe të zbatojë masa për një aplikim më të suksesshëm të Strategjisë dhe politikave në praktikë të cilat kanalizohen përmes anëtarëve të tij dhe Ekipet Punuese, të cilat janë të dizajnuara për secilin objektiv strategjik. Roli i Zyrës për Qeverisje të Mirë/Zyrës së Kryeministrit është për të koordinuar, monitoruar dhe vlerësuar në mënyrë pro aktive objektivat dhe aktivitetet e Strategjisë dhe për të përcaktuar nëse zhvillimet, rezultatet dhe planet janë përmbushur në mënyrë që të mund të ndërmerren veprime parandaluese për t’i përmirësuar mangësitë. Gjithashtu ZQM/ZKM krahas kësaj luan edhe rolin e Sekretariatit të Këshillit dhe Ekipeve e të Punës. </w:t>
      </w:r>
    </w:p>
    <w:p w:rsidR="00CF44A5" w:rsidRPr="00B6593D" w:rsidRDefault="00CF44A5" w:rsidP="00CF44A5">
      <w:pPr>
        <w:spacing w:line="276" w:lineRule="auto"/>
        <w:jc w:val="left"/>
        <w:rPr>
          <w:rFonts w:cstheme="majorHAnsi"/>
          <w:bCs/>
          <w:color w:val="000000" w:themeColor="text1"/>
          <w:szCs w:val="22"/>
        </w:rPr>
      </w:pPr>
      <w:r w:rsidRPr="00B6593D">
        <w:rPr>
          <w:rFonts w:cstheme="majorHAnsi"/>
          <w:noProof/>
          <w:color w:val="000000" w:themeColor="text1"/>
          <w:szCs w:val="22"/>
        </w:rPr>
        <w:drawing>
          <wp:inline distT="0" distB="0" distL="0" distR="0" wp14:anchorId="2866A62C" wp14:editId="0501A9E0">
            <wp:extent cx="8222615" cy="39922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2615" cy="3992245"/>
                    </a:xfrm>
                    <a:prstGeom prst="rect">
                      <a:avLst/>
                    </a:prstGeom>
                    <a:noFill/>
                    <a:ln>
                      <a:noFill/>
                    </a:ln>
                  </pic:spPr>
                </pic:pic>
              </a:graphicData>
            </a:graphic>
          </wp:inline>
        </w:drawing>
      </w:r>
      <w:r w:rsidR="00683A01">
        <w:rPr>
          <w:rFonts w:cstheme="majorHAnsi"/>
          <w:color w:val="000000" w:themeColor="text1"/>
          <w:szCs w:val="22"/>
        </w:rPr>
        <w:pict>
          <v:rect id="_x0000_i1036" style="width:9in;height:1.5pt" o:hralign="center" o:hrstd="t" o:hrnoshade="t" o:hr="t" fillcolor="gray [1629]" stroked="f"/>
        </w:pict>
      </w:r>
    </w:p>
    <w:p w:rsidR="00CF44A5" w:rsidRPr="00B6593D" w:rsidRDefault="00CF44A5" w:rsidP="00CF44A5">
      <w:pPr>
        <w:pStyle w:val="Heading1"/>
        <w:rPr>
          <w:rFonts w:eastAsia="Times New Roman" w:cstheme="majorHAnsi"/>
          <w:color w:val="000000" w:themeColor="text1"/>
          <w:sz w:val="28"/>
        </w:rPr>
      </w:pPr>
      <w:bookmarkStart w:id="50" w:name="_Toc536000977"/>
      <w:r w:rsidRPr="00B6593D">
        <w:rPr>
          <w:rFonts w:eastAsia="Times New Roman" w:cstheme="majorHAnsi"/>
          <w:color w:val="000000" w:themeColor="text1"/>
          <w:sz w:val="28"/>
        </w:rPr>
        <w:lastRenderedPageBreak/>
        <w:t>Shtojca 4 Përcaktimi i Treguesve Matës</w:t>
      </w:r>
      <w:bookmarkEnd w:id="50"/>
      <w:r w:rsidRPr="00B6593D">
        <w:rPr>
          <w:rFonts w:eastAsia="Times New Roman" w:cstheme="majorHAnsi"/>
          <w:color w:val="000000" w:themeColor="text1"/>
          <w:sz w:val="28"/>
        </w:rPr>
        <w:t xml:space="preserve">  </w:t>
      </w:r>
    </w:p>
    <w:p w:rsidR="00CF44A5" w:rsidRPr="00B6593D" w:rsidRDefault="00CF44A5" w:rsidP="00CF44A5">
      <w:pPr>
        <w:spacing w:line="276" w:lineRule="auto"/>
        <w:rPr>
          <w:rFonts w:cstheme="majorHAnsi"/>
          <w:color w:val="000000" w:themeColor="text1"/>
          <w:szCs w:val="22"/>
        </w:rPr>
      </w:pPr>
      <w:r w:rsidRPr="00B6593D">
        <w:rPr>
          <w:rFonts w:cstheme="majorHAnsi"/>
          <w:color w:val="000000" w:themeColor="text1"/>
          <w:szCs w:val="22"/>
        </w:rPr>
        <w:t xml:space="preserve">“Treguesit e Bazuar në Performancë” janë vendosur në </w:t>
      </w:r>
      <w:r w:rsidRPr="00B6593D">
        <w:rPr>
          <w:rFonts w:cstheme="majorHAnsi"/>
          <w:i/>
          <w:iCs/>
          <w:color w:val="000000" w:themeColor="text1"/>
          <w:szCs w:val="22"/>
        </w:rPr>
        <w:t>Matricën për Monitorim dhe Raportim.</w:t>
      </w:r>
      <w:r w:rsidRPr="00B6593D">
        <w:rPr>
          <w:rFonts w:cstheme="majorHAnsi"/>
          <w:color w:val="000000" w:themeColor="text1"/>
          <w:szCs w:val="22"/>
        </w:rPr>
        <w:t xml:space="preserve"> Treguesit kryesor janë ndarë në mes të efekteve dhe rezultateve. </w:t>
      </w:r>
      <w:r w:rsidRPr="00B6593D">
        <w:rPr>
          <w:rFonts w:cstheme="majorHAnsi"/>
          <w:i/>
          <w:iCs/>
          <w:color w:val="000000" w:themeColor="text1"/>
          <w:szCs w:val="22"/>
        </w:rPr>
        <w:t xml:space="preserve">Efektet </w:t>
      </w:r>
      <w:r w:rsidRPr="00B6593D">
        <w:rPr>
          <w:rFonts w:cstheme="majorHAnsi"/>
          <w:color w:val="000000" w:themeColor="text1"/>
          <w:szCs w:val="22"/>
        </w:rPr>
        <w:t xml:space="preserve">maten në bazë të aktiviteteve të organizuara dhe rezultateve te arritura. Ato e përshkruajnë nivelin e efektivitetit dhe rezultateve të arritura si pjesë e vlerësimit të brendshëm dhe të vazhdueshëm. </w:t>
      </w:r>
      <w:r w:rsidRPr="00B6593D">
        <w:rPr>
          <w:rFonts w:cstheme="majorHAnsi"/>
          <w:i/>
          <w:iCs/>
          <w:color w:val="000000" w:themeColor="text1"/>
          <w:szCs w:val="22"/>
        </w:rPr>
        <w:t>Rezultatet</w:t>
      </w:r>
      <w:r w:rsidRPr="00B6593D">
        <w:rPr>
          <w:rFonts w:cstheme="majorHAnsi"/>
          <w:color w:val="000000" w:themeColor="text1"/>
          <w:szCs w:val="22"/>
        </w:rPr>
        <w:t xml:space="preserve"> maten në bazë të ndikimit të arritur si pjesë e një vlerësimi të jashtëm i cili do të zhvillohet në baza </w:t>
      </w:r>
      <w:r w:rsidR="006D4A8E">
        <w:rPr>
          <w:rFonts w:cstheme="majorHAnsi"/>
          <w:color w:val="000000" w:themeColor="text1"/>
          <w:szCs w:val="22"/>
        </w:rPr>
        <w:t>për</w:t>
      </w:r>
      <w:r w:rsidRPr="00B6593D">
        <w:rPr>
          <w:rFonts w:cstheme="majorHAnsi"/>
          <w:color w:val="000000" w:themeColor="text1"/>
          <w:szCs w:val="22"/>
        </w:rPr>
        <w:t xml:space="preserve">iodike. Mirëpo, siç edhe shihet në tabelën në vijim, arritjet dhe rezultatet do të realizohen vetëm me prurje të mjaftueshme të garantuar nga Qeveria e Republikës së Kosovës, me investim shtesë në burimet njerëzore (buxhet dhe </w:t>
      </w:r>
      <w:r w:rsidR="006D4A8E">
        <w:rPr>
          <w:rFonts w:cstheme="majorHAnsi"/>
          <w:color w:val="000000" w:themeColor="text1"/>
          <w:szCs w:val="22"/>
        </w:rPr>
        <w:t>për</w:t>
      </w:r>
      <w:r w:rsidRPr="00B6593D">
        <w:rPr>
          <w:rFonts w:cstheme="majorHAnsi"/>
          <w:color w:val="000000" w:themeColor="text1"/>
          <w:szCs w:val="22"/>
        </w:rPr>
        <w:t xml:space="preserve">sonel) dhe përfshirje më të madhe të palëve të interesuara, p.sh. anëtarët e Këshillit që vijnë nga institucionet publike dhe sektori i shoqërisë civile. </w:t>
      </w:r>
    </w:p>
    <w:p w:rsidR="00CF44A5" w:rsidRPr="00B6593D" w:rsidRDefault="00683A01" w:rsidP="00CF44A5">
      <w:pPr>
        <w:spacing w:line="276" w:lineRule="auto"/>
        <w:jc w:val="center"/>
        <w:rPr>
          <w:rFonts w:cstheme="majorHAnsi"/>
          <w:bCs/>
          <w:color w:val="000000" w:themeColor="text1"/>
          <w:szCs w:val="22"/>
        </w:rPr>
      </w:pPr>
      <w:r>
        <w:rPr>
          <w:rFonts w:cstheme="majorHAnsi"/>
          <w:color w:val="000000" w:themeColor="text1"/>
          <w:szCs w:val="22"/>
        </w:rPr>
        <w:pict>
          <v:rect id="_x0000_i1037" style="width:9in;height:1.5pt" o:hralign="center" o:hrstd="t" o:hrnoshade="t" o:hr="t" fillcolor="gray [1629]" stroked="f"/>
        </w:pict>
      </w:r>
    </w:p>
    <w:p w:rsidR="00CF44A5" w:rsidRPr="00B6593D" w:rsidRDefault="00CF44A5" w:rsidP="00CF44A5">
      <w:pPr>
        <w:spacing w:line="276" w:lineRule="auto"/>
        <w:jc w:val="center"/>
        <w:rPr>
          <w:rFonts w:cstheme="majorHAnsi"/>
          <w:color w:val="000000" w:themeColor="text1"/>
          <w:szCs w:val="22"/>
        </w:rPr>
      </w:pPr>
      <w:r w:rsidRPr="00B6593D">
        <w:rPr>
          <w:rFonts w:cstheme="majorHAnsi"/>
          <w:noProof/>
          <w:color w:val="000000" w:themeColor="text1"/>
          <w:szCs w:val="22"/>
        </w:rPr>
        <w:drawing>
          <wp:inline distT="0" distB="0" distL="0" distR="0" wp14:anchorId="2BDE9938" wp14:editId="15A8BE95">
            <wp:extent cx="7601803" cy="39458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09652" cy="3949964"/>
                    </a:xfrm>
                    <a:prstGeom prst="rect">
                      <a:avLst/>
                    </a:prstGeom>
                    <a:noFill/>
                    <a:ln>
                      <a:noFill/>
                    </a:ln>
                  </pic:spPr>
                </pic:pic>
              </a:graphicData>
            </a:graphic>
          </wp:inline>
        </w:drawing>
      </w:r>
    </w:p>
    <w:p w:rsidR="00CF44A5" w:rsidRPr="00B6593D" w:rsidRDefault="00CF44A5" w:rsidP="00CF44A5">
      <w:pPr>
        <w:spacing w:line="276" w:lineRule="auto"/>
        <w:jc w:val="center"/>
        <w:rPr>
          <w:rFonts w:cstheme="majorHAnsi"/>
          <w:color w:val="000000" w:themeColor="text1"/>
          <w:szCs w:val="22"/>
        </w:rPr>
      </w:pPr>
    </w:p>
    <w:p w:rsidR="00CF44A5" w:rsidRPr="00B6593D" w:rsidRDefault="00CF44A5" w:rsidP="00CF44A5">
      <w:pPr>
        <w:spacing w:line="276" w:lineRule="auto"/>
        <w:jc w:val="center"/>
        <w:rPr>
          <w:rFonts w:cstheme="majorHAnsi"/>
          <w:color w:val="000000" w:themeColor="text1"/>
          <w:szCs w:val="22"/>
        </w:rPr>
      </w:pPr>
    </w:p>
    <w:p w:rsidR="00CF44A5" w:rsidRPr="00B6593D" w:rsidRDefault="00CF44A5" w:rsidP="00CF44A5">
      <w:pPr>
        <w:spacing w:line="276" w:lineRule="auto"/>
        <w:jc w:val="center"/>
        <w:rPr>
          <w:rFonts w:cstheme="majorHAnsi"/>
          <w:color w:val="000000" w:themeColor="text1"/>
          <w:szCs w:val="22"/>
        </w:rPr>
      </w:pPr>
    </w:p>
    <w:p w:rsidR="00CF44A5" w:rsidRPr="00B6593D" w:rsidRDefault="00CF44A5" w:rsidP="00CF44A5">
      <w:pPr>
        <w:spacing w:line="276" w:lineRule="auto"/>
        <w:jc w:val="center"/>
        <w:rPr>
          <w:rFonts w:cstheme="majorHAnsi"/>
          <w:color w:val="000000" w:themeColor="text1"/>
          <w:szCs w:val="22"/>
        </w:rPr>
      </w:pPr>
    </w:p>
    <w:p w:rsidR="00CF44A5" w:rsidRPr="00B6593D" w:rsidRDefault="00CF44A5" w:rsidP="00CF44A5">
      <w:pPr>
        <w:spacing w:line="276" w:lineRule="auto"/>
        <w:jc w:val="center"/>
        <w:rPr>
          <w:rFonts w:cstheme="majorHAnsi"/>
          <w:color w:val="000000" w:themeColor="text1"/>
          <w:szCs w:val="22"/>
        </w:rPr>
      </w:pPr>
    </w:p>
    <w:p w:rsidR="00CF44A5" w:rsidRPr="00B6593D" w:rsidRDefault="00CF44A5" w:rsidP="00CF44A5">
      <w:pPr>
        <w:pStyle w:val="Heading1"/>
        <w:spacing w:before="0" w:after="0"/>
        <w:rPr>
          <w:rFonts w:eastAsia="Times New Roman" w:cstheme="majorHAnsi"/>
          <w:color w:val="000000" w:themeColor="text1"/>
        </w:rPr>
      </w:pPr>
      <w:bookmarkStart w:id="51" w:name="_Toc530935540"/>
      <w:bookmarkStart w:id="52" w:name="_Toc536000978"/>
      <w:r w:rsidRPr="00B6593D">
        <w:rPr>
          <w:rFonts w:eastAsia="Times New Roman" w:cstheme="majorHAnsi"/>
          <w:color w:val="000000" w:themeColor="text1"/>
        </w:rPr>
        <w:t xml:space="preserve">Shtojca 5 </w:t>
      </w:r>
      <w:bookmarkEnd w:id="51"/>
      <w:r w:rsidRPr="00B6593D">
        <w:rPr>
          <w:rFonts w:eastAsia="Times New Roman" w:cstheme="majorHAnsi"/>
          <w:color w:val="000000" w:themeColor="text1"/>
        </w:rPr>
        <w:t>Termat kryesore</w:t>
      </w:r>
      <w:bookmarkEnd w:id="52"/>
    </w:p>
    <w:p w:rsidR="00474B0F" w:rsidRPr="00B6593D" w:rsidRDefault="00474B0F" w:rsidP="00474B0F">
      <w:pPr>
        <w:rPr>
          <w:rFonts w:cstheme="majorHAnsi"/>
        </w:rPr>
      </w:pPr>
    </w:p>
    <w:p w:rsidR="00CF44A5" w:rsidRPr="00B6593D" w:rsidRDefault="00CF44A5" w:rsidP="00CF44A5">
      <w:pPr>
        <w:rPr>
          <w:rFonts w:cstheme="majorHAnsi"/>
          <w:b/>
          <w:color w:val="000000" w:themeColor="text1"/>
        </w:rPr>
      </w:pPr>
      <w:r w:rsidRPr="00B6593D">
        <w:rPr>
          <w:rFonts w:cstheme="majorHAnsi"/>
          <w:b/>
          <w:color w:val="000000" w:themeColor="text1"/>
        </w:rPr>
        <w:t>Shoqëri civile</w:t>
      </w:r>
    </w:p>
    <w:p w:rsidR="00CF44A5" w:rsidRPr="00B6593D" w:rsidRDefault="00CF44A5" w:rsidP="00CF44A5">
      <w:pPr>
        <w:shd w:val="clear" w:color="auto" w:fill="FFFFFF"/>
        <w:rPr>
          <w:rFonts w:eastAsia="Times New Roman" w:cstheme="majorHAnsi"/>
          <w:color w:val="000000" w:themeColor="text1"/>
        </w:rPr>
      </w:pPr>
      <w:r w:rsidRPr="00B6593D">
        <w:rPr>
          <w:rFonts w:eastAsia="Times New Roman" w:cstheme="majorHAnsi"/>
          <w:color w:val="000000" w:themeColor="text1"/>
        </w:rPr>
        <w:t>Shoqëria civile i referohet të gjitha formave të veprimeve sociale (të regjistruara ose joformale) të kryera nga individë ose grupe që nuk janë as të lidhur, e as të menaxhuar nga shteti.</w:t>
      </w:r>
    </w:p>
    <w:p w:rsidR="00CF44A5" w:rsidRPr="00B6593D" w:rsidRDefault="00CF44A5" w:rsidP="00CF44A5">
      <w:pPr>
        <w:shd w:val="clear" w:color="auto" w:fill="FFFFFF"/>
        <w:rPr>
          <w:rFonts w:eastAsia="Times New Roman" w:cstheme="majorHAnsi"/>
          <w:color w:val="000000" w:themeColor="text1"/>
        </w:rPr>
      </w:pPr>
    </w:p>
    <w:p w:rsidR="00CF44A5" w:rsidRPr="00B6593D" w:rsidRDefault="00CF44A5" w:rsidP="00CF44A5">
      <w:pPr>
        <w:rPr>
          <w:rFonts w:cstheme="majorHAnsi"/>
          <w:b/>
          <w:color w:val="000000" w:themeColor="text1"/>
        </w:rPr>
      </w:pPr>
      <w:r w:rsidRPr="00B6593D">
        <w:rPr>
          <w:rFonts w:cstheme="majorHAnsi"/>
          <w:b/>
          <w:color w:val="000000" w:themeColor="text1"/>
        </w:rPr>
        <w:t>OSHC ose OJQ</w:t>
      </w:r>
    </w:p>
    <w:p w:rsidR="00CF44A5" w:rsidRPr="00B6593D" w:rsidRDefault="00CF44A5" w:rsidP="00CF44A5">
      <w:pPr>
        <w:rPr>
          <w:rFonts w:eastAsia="Times New Roman" w:cstheme="majorHAnsi"/>
          <w:color w:val="000000" w:themeColor="text1"/>
        </w:rPr>
      </w:pPr>
      <w:r w:rsidRPr="00B6593D">
        <w:rPr>
          <w:rFonts w:eastAsia="Times New Roman" w:cstheme="majorHAnsi"/>
          <w:color w:val="000000" w:themeColor="text1"/>
        </w:rPr>
        <w:t>Në përgjithësi, organizata e shoqërisë civile (OShC) është një strukturë organizative, anëtarët e të cilëve i shërbejnë interesit të përgjithshëm përmes një procesi demokratik dhe që luan rolin e ndërmjetësit midis autoriteteve publike dhe qytetarëve. Në legjislacionin e Kosovës, OJQ është definuar si "shoqatë ose fondacion i themeluar në vend për të përmbushur qëllimin e bazuar në ligj, qoftë për përfitim publik ose interes të përbashkët".</w:t>
      </w:r>
    </w:p>
    <w:p w:rsidR="00CF44A5" w:rsidRPr="00B6593D" w:rsidRDefault="00CF44A5" w:rsidP="00CF44A5">
      <w:pPr>
        <w:rPr>
          <w:rFonts w:cstheme="majorHAnsi"/>
          <w:b/>
          <w:color w:val="000000" w:themeColor="text1"/>
        </w:rPr>
      </w:pPr>
    </w:p>
    <w:p w:rsidR="00CF44A5" w:rsidRPr="00B6593D" w:rsidRDefault="00CF44A5" w:rsidP="00CF44A5">
      <w:pPr>
        <w:rPr>
          <w:rFonts w:cstheme="majorHAnsi"/>
          <w:b/>
          <w:color w:val="000000" w:themeColor="text1"/>
        </w:rPr>
      </w:pPr>
      <w:r w:rsidRPr="00B6593D">
        <w:rPr>
          <w:rFonts w:cstheme="majorHAnsi"/>
          <w:b/>
          <w:color w:val="000000" w:themeColor="text1"/>
        </w:rPr>
        <w:t>Aktivitet ekonomik</w:t>
      </w:r>
    </w:p>
    <w:p w:rsidR="00CF44A5" w:rsidRPr="00B6593D" w:rsidRDefault="00CF44A5" w:rsidP="00CF44A5">
      <w:pPr>
        <w:rPr>
          <w:rFonts w:cstheme="majorHAnsi"/>
          <w:color w:val="000000" w:themeColor="text1"/>
        </w:rPr>
      </w:pPr>
      <w:r w:rsidRPr="00B6593D">
        <w:rPr>
          <w:rFonts w:cstheme="majorHAnsi"/>
          <w:color w:val="000000" w:themeColor="text1"/>
        </w:rPr>
        <w:t>Aktivitet ekonomik është çdo aktivitet i përhershëm ose i përkohshëm për fitim ose gjenerim te të ardhurave nga një OShC dhe si i tillë nuk ndryshon në realizimin nga aktiviteti fitimprurës ose i sektorit privat. Dallimi bëhet në qëllimin për të cilin kryhet aktiviteti ekonomik dhe për çfarë do të përdoren të ardhurat e krijuara. Ndërsa në rast të o</w:t>
      </w:r>
      <w:r w:rsidR="006D4A8E">
        <w:rPr>
          <w:rFonts w:cstheme="majorHAnsi"/>
          <w:color w:val="000000" w:themeColor="text1"/>
        </w:rPr>
        <w:t>për</w:t>
      </w:r>
      <w:r w:rsidRPr="00B6593D">
        <w:rPr>
          <w:rFonts w:cstheme="majorHAnsi"/>
          <w:color w:val="000000" w:themeColor="text1"/>
        </w:rPr>
        <w:t>atorëve fitimprurës, të ardhurat e gjeneruara shpërndahen zakonisht në mes të pronarëve, aksionarëve dhe / ose stafit të tyre, në OSHC-të, të ardhurat e gjeneruara mund të shfrytëzohen vetëm për nevojat e OShC-ve dhe veprimtarive të saj në vazhdim në përputhje me atë që përcaktohet nga misioni në Statujën e saj, pra jo fitimprurëse.</w:t>
      </w:r>
    </w:p>
    <w:p w:rsidR="00CF44A5" w:rsidRPr="00B6593D" w:rsidRDefault="00CF44A5" w:rsidP="00CF44A5">
      <w:pPr>
        <w:rPr>
          <w:rFonts w:cstheme="majorHAnsi"/>
          <w:color w:val="000000" w:themeColor="text1"/>
        </w:rPr>
      </w:pPr>
    </w:p>
    <w:p w:rsidR="00CF44A5" w:rsidRPr="00B6593D" w:rsidRDefault="00CF44A5" w:rsidP="00CF44A5">
      <w:pPr>
        <w:rPr>
          <w:rFonts w:cstheme="majorHAnsi"/>
          <w:b/>
          <w:color w:val="000000" w:themeColor="text1"/>
        </w:rPr>
      </w:pPr>
      <w:r w:rsidRPr="00B6593D">
        <w:rPr>
          <w:rFonts w:cstheme="majorHAnsi"/>
          <w:b/>
          <w:color w:val="000000" w:themeColor="text1"/>
        </w:rPr>
        <w:t>Filantropi</w:t>
      </w:r>
    </w:p>
    <w:p w:rsidR="00CF44A5" w:rsidRPr="00B6593D" w:rsidRDefault="00CF44A5" w:rsidP="00CF44A5">
      <w:pPr>
        <w:rPr>
          <w:rFonts w:cstheme="majorHAnsi"/>
          <w:b/>
          <w:color w:val="000000" w:themeColor="text1"/>
        </w:rPr>
      </w:pPr>
      <w:r w:rsidRPr="00B6593D">
        <w:rPr>
          <w:rFonts w:cstheme="majorHAnsi"/>
          <w:color w:val="000000" w:themeColor="text1"/>
        </w:rPr>
        <w:t xml:space="preserve">Filantropia është një ide, ngjarje apo veprim që bëhet në të mirë të njerëzimit dhe zakonisht përfshin disa sakrifica në krahasim me atë që bëhet për një motiv fitimi. Veprat e filantropisë mund të përfshijnë dhurimin e parave për një </w:t>
      </w:r>
      <w:r w:rsidR="006D4A8E">
        <w:rPr>
          <w:rFonts w:cstheme="majorHAnsi"/>
          <w:color w:val="000000" w:themeColor="text1"/>
        </w:rPr>
        <w:t>për</w:t>
      </w:r>
      <w:r w:rsidRPr="00B6593D">
        <w:rPr>
          <w:rFonts w:cstheme="majorHAnsi"/>
          <w:color w:val="000000" w:themeColor="text1"/>
        </w:rPr>
        <w:t xml:space="preserve">son ose organizatë, ofrimin e kohës dhe shkathtësive të vullnetarëve, ose mbledhjen ee parave për të dhuruar për një kauzë të veçantë. Filantropia individuale i referohet një akti të filantropisë të kryer nga një </w:t>
      </w:r>
      <w:r w:rsidR="006D4A8E">
        <w:rPr>
          <w:rFonts w:cstheme="majorHAnsi"/>
          <w:color w:val="000000" w:themeColor="text1"/>
        </w:rPr>
        <w:t>për</w:t>
      </w:r>
      <w:r w:rsidRPr="00B6593D">
        <w:rPr>
          <w:rFonts w:cstheme="majorHAnsi"/>
          <w:color w:val="000000" w:themeColor="text1"/>
        </w:rPr>
        <w:t>son individual, ndërsa filantropia e korporatave i referohet çdo akti të tillë të kryer nga një biznesi privat apo kompani.</w:t>
      </w:r>
    </w:p>
    <w:p w:rsidR="00CF44A5" w:rsidRPr="00B6593D" w:rsidRDefault="00CF44A5" w:rsidP="00CF44A5">
      <w:pPr>
        <w:rPr>
          <w:rFonts w:cstheme="majorHAnsi"/>
          <w:b/>
          <w:color w:val="000000" w:themeColor="text1"/>
        </w:rPr>
      </w:pPr>
      <w:r w:rsidRPr="00B6593D">
        <w:rPr>
          <w:rFonts w:cstheme="majorHAnsi"/>
          <w:b/>
          <w:color w:val="000000" w:themeColor="text1"/>
        </w:rPr>
        <w:t>Konsultimi publik</w:t>
      </w:r>
    </w:p>
    <w:p w:rsidR="00CF44A5" w:rsidRPr="00B6593D" w:rsidRDefault="00CF44A5" w:rsidP="00CF44A5">
      <w:pPr>
        <w:rPr>
          <w:rFonts w:cstheme="majorHAnsi"/>
          <w:color w:val="000000" w:themeColor="text1"/>
        </w:rPr>
      </w:pPr>
      <w:r w:rsidRPr="00B6593D">
        <w:rPr>
          <w:rFonts w:cstheme="majorHAnsi"/>
          <w:color w:val="000000" w:themeColor="text1"/>
        </w:rPr>
        <w:t>Procesi i konsultimit publik bëhet kur pjesëmarrja e palëve të interesuara dhe publikut në procesin e vendimmarrjes së organeve publike bëhet me shpalljen nga organi përgjegjës publik</w:t>
      </w:r>
      <w:r w:rsidR="000D1E3E" w:rsidRPr="00B6593D">
        <w:rPr>
          <w:rFonts w:cstheme="majorHAnsi"/>
          <w:color w:val="000000" w:themeColor="text1"/>
        </w:rPr>
        <w:t xml:space="preserve"> me qëllim të marrjes së ideve dhe komenteve nga publiku mbi një propozim të institucionit publik.</w:t>
      </w:r>
    </w:p>
    <w:p w:rsidR="00CF44A5" w:rsidRPr="00B6593D" w:rsidRDefault="00CF44A5" w:rsidP="00CF44A5">
      <w:pPr>
        <w:rPr>
          <w:rFonts w:cstheme="majorHAnsi"/>
          <w:b/>
          <w:color w:val="000000" w:themeColor="text1"/>
        </w:rPr>
      </w:pPr>
    </w:p>
    <w:p w:rsidR="00474B0F" w:rsidRPr="00B6593D" w:rsidRDefault="00474B0F" w:rsidP="00CF44A5">
      <w:pPr>
        <w:rPr>
          <w:rFonts w:cstheme="majorHAnsi"/>
          <w:b/>
          <w:color w:val="000000" w:themeColor="text1"/>
        </w:rPr>
      </w:pPr>
    </w:p>
    <w:p w:rsidR="00474B0F" w:rsidRPr="00B6593D" w:rsidRDefault="00474B0F" w:rsidP="00CF44A5">
      <w:pPr>
        <w:rPr>
          <w:rFonts w:cstheme="majorHAnsi"/>
          <w:b/>
          <w:color w:val="000000" w:themeColor="text1"/>
        </w:rPr>
      </w:pPr>
    </w:p>
    <w:p w:rsidR="00CF44A5" w:rsidRPr="00B6593D" w:rsidRDefault="00CF44A5" w:rsidP="00CF44A5">
      <w:pPr>
        <w:rPr>
          <w:rFonts w:cstheme="majorHAnsi"/>
          <w:b/>
          <w:color w:val="000000" w:themeColor="text1"/>
        </w:rPr>
      </w:pPr>
      <w:r w:rsidRPr="00B6593D">
        <w:rPr>
          <w:rFonts w:cstheme="majorHAnsi"/>
          <w:b/>
          <w:color w:val="000000" w:themeColor="text1"/>
        </w:rPr>
        <w:lastRenderedPageBreak/>
        <w:t>Financimi publik</w:t>
      </w:r>
    </w:p>
    <w:p w:rsidR="00CF44A5" w:rsidRPr="00B6593D" w:rsidRDefault="00CF44A5" w:rsidP="00CF44A5">
      <w:pPr>
        <w:rPr>
          <w:rFonts w:cstheme="majorHAnsi"/>
          <w:color w:val="000000" w:themeColor="text1"/>
        </w:rPr>
      </w:pPr>
      <w:r w:rsidRPr="00B6593D">
        <w:rPr>
          <w:rFonts w:cstheme="majorHAnsi"/>
          <w:color w:val="000000" w:themeColor="text1"/>
        </w:rPr>
        <w:t>Financimi publik përfshin financimin nga buxheti shtetëror nga të dyja nivelet qendrore (ministritë, agjencitë etj.) dhe institucionet e nivelit lokal (komunat, rajonet etj.).</w:t>
      </w:r>
    </w:p>
    <w:p w:rsidR="00CF44A5" w:rsidRPr="00B6593D" w:rsidRDefault="00CF44A5" w:rsidP="00CF44A5">
      <w:pPr>
        <w:rPr>
          <w:rFonts w:cstheme="majorHAnsi"/>
          <w:b/>
          <w:color w:val="000000" w:themeColor="text1"/>
        </w:rPr>
      </w:pPr>
    </w:p>
    <w:p w:rsidR="00CF44A5" w:rsidRPr="00B6593D" w:rsidRDefault="00CF44A5" w:rsidP="00CF44A5">
      <w:pPr>
        <w:rPr>
          <w:rFonts w:cstheme="majorHAnsi"/>
          <w:b/>
          <w:color w:val="000000" w:themeColor="text1"/>
        </w:rPr>
      </w:pPr>
      <w:r w:rsidRPr="00B6593D">
        <w:rPr>
          <w:rFonts w:cstheme="majorHAnsi"/>
          <w:b/>
          <w:color w:val="000000" w:themeColor="text1"/>
        </w:rPr>
        <w:t>Shërbimi publik</w:t>
      </w:r>
    </w:p>
    <w:p w:rsidR="00CF44A5" w:rsidRPr="00B6593D" w:rsidRDefault="00CF44A5" w:rsidP="00CF44A5">
      <w:pPr>
        <w:rPr>
          <w:rFonts w:cstheme="majorHAnsi"/>
          <w:color w:val="000000" w:themeColor="text1"/>
        </w:rPr>
      </w:pPr>
      <w:r w:rsidRPr="00B6593D">
        <w:rPr>
          <w:rFonts w:cstheme="majorHAnsi"/>
          <w:color w:val="000000" w:themeColor="text1"/>
        </w:rPr>
        <w:t>Shërbimi publik është një shërbim, i cili ofrohet nga qeveria për njerëzit që jetojnë brenda juridiksionit të saj, qoftë drejtpërdrejt (nëpërmjet sektorit publik) ose duke financuar ofrimin e shërbimeve nga bizneset ose OSHC-të. Shërbime të tilla mund të përfshijnë një gamë të gjerë aktivitetesh nga kryerja e studimeve, trajnimit si dhe grupeve specifike të aktiviteteve të vazhdueshme në sferën sociale, të njohura si shërbime sociale. Shërbimet sociale janë lloji i shërbimeve publike që synojnë të trajtojnë një situatë ose të ofrojnë shërbime për një komunitet të caktuar (p.sh. zonat rurale) ose të specifikojnë grupin brenda një shoqërie (p.sh. të margjinalizuar, të dëmtuar ose me aftësi të kufizuara) përmes një sërë shërbimesh ose masash mbështetëse për të ndihmuar komunitetin ose një grup specifik të ndërtojnë komunitete më të forta, dhe të promovojnë barazi dhe mundësi për integrim dhe përfshirje. Shërbimet sociale mund të përfshijnë përfitime dhe lehtësira siç janë arsimi, subvencionet ushqimore, kujdesi shëndetësor, policia, shërbimi i zjarrfikësve, trajnimi i punës dhe strehimi i subvencionuar, adoptimi, menaxhimi i komunitetit, hulumtimi i politikave dhe lobimi.</w:t>
      </w:r>
    </w:p>
    <w:p w:rsidR="00474B0F" w:rsidRPr="00B6593D" w:rsidRDefault="00474B0F" w:rsidP="00CF44A5">
      <w:pPr>
        <w:rPr>
          <w:rFonts w:cstheme="majorHAnsi"/>
          <w:color w:val="000000" w:themeColor="text1"/>
        </w:rPr>
      </w:pPr>
    </w:p>
    <w:p w:rsidR="00CF44A5" w:rsidRPr="00B6593D" w:rsidRDefault="00CF44A5" w:rsidP="00CF44A5">
      <w:pPr>
        <w:rPr>
          <w:rFonts w:cstheme="majorHAnsi"/>
          <w:b/>
          <w:color w:val="000000" w:themeColor="text1"/>
        </w:rPr>
      </w:pPr>
      <w:r w:rsidRPr="00B6593D">
        <w:rPr>
          <w:rFonts w:cstheme="majorHAnsi"/>
          <w:b/>
          <w:color w:val="000000" w:themeColor="text1"/>
        </w:rPr>
        <w:t>Përfitimet tatimore</w:t>
      </w:r>
    </w:p>
    <w:p w:rsidR="00CF44A5" w:rsidRPr="00B6593D" w:rsidRDefault="00CF44A5" w:rsidP="00CF44A5">
      <w:pPr>
        <w:rPr>
          <w:rFonts w:cstheme="majorHAnsi"/>
          <w:color w:val="000000" w:themeColor="text1"/>
        </w:rPr>
      </w:pPr>
      <w:r w:rsidRPr="00B6593D">
        <w:rPr>
          <w:rFonts w:cstheme="majorHAnsi"/>
          <w:color w:val="000000" w:themeColor="text1"/>
        </w:rPr>
        <w:t>Një përfitim tatimor është një zbritje ose kredi e lejuar (% ose fikse) në një kthim tatimor që synon reduktimin e barrës tatimore të qytetarëve ose bizneseve individuale, ndërsa zakonisht mbështet lloje të caktuara të veprimtarisë tregtare ose jo-fitimprurëse. Një përfitim tatimor lejon një lloj rregullimi që përfiton një detyrim tatimor të tatimpaguesit. Në kontekstin e filantropisë dhe në lidhje me stimujt e taksave, kjo zakonisht lidhet me një% të tatimit ose shumës për të cilën tatimi është zbritur për individin ose biznesin kur dhuron një OShC ose për aktivitete të veçanta që nuk kryhen për fitim.</w:t>
      </w:r>
    </w:p>
    <w:p w:rsidR="00474B0F" w:rsidRPr="00B6593D" w:rsidRDefault="00474B0F" w:rsidP="00CF44A5">
      <w:pPr>
        <w:rPr>
          <w:rFonts w:cstheme="majorHAnsi"/>
          <w:b/>
          <w:color w:val="000000" w:themeColor="text1"/>
        </w:rPr>
      </w:pPr>
    </w:p>
    <w:p w:rsidR="00CF44A5" w:rsidRPr="00B6593D" w:rsidRDefault="00CF44A5" w:rsidP="00CF44A5">
      <w:pPr>
        <w:rPr>
          <w:rFonts w:cstheme="majorHAnsi"/>
          <w:b/>
          <w:color w:val="000000" w:themeColor="text1"/>
        </w:rPr>
      </w:pPr>
      <w:r w:rsidRPr="00B6593D">
        <w:rPr>
          <w:rFonts w:cstheme="majorHAnsi"/>
          <w:b/>
          <w:color w:val="000000" w:themeColor="text1"/>
        </w:rPr>
        <w:t>Vullnetarizmi</w:t>
      </w:r>
    </w:p>
    <w:p w:rsidR="000D1E3E" w:rsidRPr="00B6593D" w:rsidRDefault="00CF44A5" w:rsidP="000D1E3E">
      <w:pPr>
        <w:rPr>
          <w:rFonts w:cstheme="majorHAnsi"/>
          <w:color w:val="000000" w:themeColor="text1"/>
        </w:rPr>
      </w:pPr>
      <w:r w:rsidRPr="00B6593D">
        <w:rPr>
          <w:rFonts w:cstheme="majorHAnsi"/>
          <w:color w:val="000000" w:themeColor="text1"/>
        </w:rPr>
        <w:t xml:space="preserve">Vullnetarizmi është një veprimtari altruiste ku një individ ose grup ofron shërbime për asnjë përfitim financiar ose social për të përfituar një individ, grup ose organizatë tjetër. Vullnetarizmi mund të ketë përfitime pozitive për vullnetarin, si dhe për </w:t>
      </w:r>
      <w:r w:rsidR="006D4A8E">
        <w:rPr>
          <w:rFonts w:cstheme="majorHAnsi"/>
          <w:color w:val="000000" w:themeColor="text1"/>
        </w:rPr>
        <w:t>për</w:t>
      </w:r>
      <w:r w:rsidRPr="00B6593D">
        <w:rPr>
          <w:rFonts w:cstheme="majorHAnsi"/>
          <w:color w:val="000000" w:themeColor="text1"/>
        </w:rPr>
        <w:t>sonin ose komunitetin që shërben. Gjithashtu, synon të bëjë kontakte për punësim të mundshëm. Shumë vullnetarë janë trajnuar posaçërisht në zonat ku ata punojnë, të tilla si mjekësia, edukimi ose shpëtimi emergjent. Të tjerët shërbejnë në baza ad-hoc, të tilla si përgjigje ndaj një fatkeqësie natyrore ose nevojës emergjente</w:t>
      </w:r>
      <w:r w:rsidR="000D1E3E" w:rsidRPr="00B6593D">
        <w:rPr>
          <w:rFonts w:cstheme="majorHAnsi"/>
          <w:color w:val="000000" w:themeColor="text1"/>
        </w:rPr>
        <w:t>, por edhe në fusha tjera p.sh. mjedisi, ndihma juridike falas, etj.</w:t>
      </w:r>
    </w:p>
    <w:p w:rsidR="000D1E3E" w:rsidRPr="00B6593D" w:rsidRDefault="000D1E3E" w:rsidP="000D1E3E">
      <w:pPr>
        <w:rPr>
          <w:rFonts w:cstheme="majorHAnsi"/>
        </w:rPr>
      </w:pPr>
    </w:p>
    <w:p w:rsidR="00CF44A5" w:rsidRPr="00B6593D" w:rsidRDefault="00CF44A5" w:rsidP="00CF44A5">
      <w:pPr>
        <w:rPr>
          <w:rFonts w:cstheme="majorHAnsi"/>
          <w:color w:val="000000" w:themeColor="text1"/>
        </w:rPr>
      </w:pPr>
    </w:p>
    <w:p w:rsidR="002662AA" w:rsidRPr="00B6593D" w:rsidRDefault="002662AA">
      <w:pPr>
        <w:rPr>
          <w:rFonts w:cstheme="majorHAnsi"/>
        </w:rPr>
      </w:pPr>
    </w:p>
    <w:sectPr w:rsidR="002662AA" w:rsidRPr="00B6593D" w:rsidSect="00221DE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A01" w:rsidRDefault="00683A01" w:rsidP="00CF44A5">
      <w:r>
        <w:separator/>
      </w:r>
    </w:p>
  </w:endnote>
  <w:endnote w:type="continuationSeparator" w:id="0">
    <w:p w:rsidR="00683A01" w:rsidRDefault="00683A01" w:rsidP="00CF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e Sans D 35 Regular">
    <w:altName w:val="Calibri"/>
    <w:panose1 w:val="00000000000000000000"/>
    <w:charset w:val="00"/>
    <w:family w:val="swiss"/>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xo-Black">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Light">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862787"/>
      <w:docPartObj>
        <w:docPartGallery w:val="Page Numbers (Bottom of Page)"/>
        <w:docPartUnique/>
      </w:docPartObj>
    </w:sdtPr>
    <w:sdtEndPr>
      <w:rPr>
        <w:noProof/>
      </w:rPr>
    </w:sdtEndPr>
    <w:sdtContent>
      <w:p w:rsidR="00A07751" w:rsidRDefault="00A077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07751" w:rsidRDefault="00A0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A01" w:rsidRDefault="00683A01" w:rsidP="00CF44A5">
      <w:r>
        <w:separator/>
      </w:r>
    </w:p>
  </w:footnote>
  <w:footnote w:type="continuationSeparator" w:id="0">
    <w:p w:rsidR="00683A01" w:rsidRDefault="00683A01" w:rsidP="00CF44A5">
      <w:r>
        <w:continuationSeparator/>
      </w:r>
    </w:p>
  </w:footnote>
  <w:footnote w:id="1">
    <w:p w:rsidR="00A07751" w:rsidRDefault="00A07751" w:rsidP="00CF44A5">
      <w:pPr>
        <w:pStyle w:val="FootnoteText"/>
      </w:pPr>
      <w:r>
        <w:rPr>
          <w:rStyle w:val="FootnoteReference"/>
        </w:rPr>
        <w:footnoteRef/>
      </w:r>
      <w:r>
        <w:t xml:space="preserve"> Komunikata e Komisionit Evropian „</w:t>
      </w:r>
      <w:bookmarkStart w:id="2" w:name="_Hlk534791535"/>
      <w:r>
        <w:rPr>
          <w:rStyle w:val="Hyperlink"/>
        </w:rPr>
        <w:fldChar w:fldCharType="begin"/>
      </w:r>
      <w:r>
        <w:rPr>
          <w:rStyle w:val="Hyperlink"/>
        </w:rPr>
        <w:instrText xml:space="preserve"> HYPERLINK "https://ec.europa.eu/commission/sites/beta-political/files/communication-credible-enlargement-perspective-western-balkans_en.pdf" </w:instrText>
      </w:r>
      <w:r>
        <w:rPr>
          <w:rStyle w:val="Hyperlink"/>
        </w:rPr>
        <w:fldChar w:fldCharType="separate"/>
      </w:r>
      <w:r w:rsidRPr="008017F4">
        <w:rPr>
          <w:rStyle w:val="Hyperlink"/>
        </w:rPr>
        <w:t xml:space="preserve">Një </w:t>
      </w:r>
      <w:r>
        <w:rPr>
          <w:rStyle w:val="Hyperlink"/>
        </w:rPr>
        <w:t>për</w:t>
      </w:r>
      <w:r w:rsidRPr="008017F4">
        <w:rPr>
          <w:rStyle w:val="Hyperlink"/>
        </w:rPr>
        <w:t>spektivë zgjerimi e besueshme për një angazhim të shtuar të BE-së me Ballkanin Perëndimor</w:t>
      </w:r>
      <w:r>
        <w:rPr>
          <w:rStyle w:val="Hyperlink"/>
        </w:rPr>
        <w:fldChar w:fldCharType="end"/>
      </w:r>
      <w:bookmarkEnd w:id="2"/>
      <w:r>
        <w:t xml:space="preserve">“, COM (2018) 65 final, 6 shkurt 2018.  </w:t>
      </w:r>
    </w:p>
  </w:footnote>
  <w:footnote w:id="2">
    <w:p w:rsidR="00A07751" w:rsidRDefault="00A07751" w:rsidP="00CF44A5">
      <w:pPr>
        <w:pStyle w:val="FootnoteText"/>
      </w:pPr>
      <w:r>
        <w:rPr>
          <w:rStyle w:val="FootnoteReference"/>
        </w:rPr>
        <w:footnoteRef/>
      </w:r>
      <w:r>
        <w:t xml:space="preserve"> Komisioni Evropian, „</w:t>
      </w:r>
      <w:hyperlink r:id="rId1" w:history="1">
        <w:r>
          <w:rPr>
            <w:rStyle w:val="Hyperlink"/>
          </w:rPr>
          <w:t>DP për Zgjerim:</w:t>
        </w:r>
      </w:hyperlink>
      <w:hyperlink r:id="rId2" w:history="1">
        <w:r>
          <w:rPr>
            <w:rStyle w:val="Hyperlink"/>
          </w:rPr>
          <w:t xml:space="preserve"> </w:t>
        </w:r>
        <w:r w:rsidRPr="008017F4">
          <w:rPr>
            <w:rStyle w:val="Hyperlink"/>
          </w:rPr>
          <w:t>Udhëzime për mbështetjen e BE-së për shoqërinë civile në vendet kandidate për zgjerim</w:t>
        </w:r>
        <w:r>
          <w:rPr>
            <w:rStyle w:val="Hyperlink"/>
          </w:rPr>
          <w:t xml:space="preserve"> 2014-2020</w:t>
        </w:r>
      </w:hyperlink>
      <w:r>
        <w:t xml:space="preserve">,“ Nëntor 2013, fq. 4. </w:t>
      </w:r>
    </w:p>
  </w:footnote>
  <w:footnote w:id="3">
    <w:p w:rsidR="00A07751" w:rsidRPr="005A4E29" w:rsidRDefault="00A07751" w:rsidP="00CF44A5">
      <w:pPr>
        <w:pStyle w:val="FootnoteText"/>
        <w:rPr>
          <w:rFonts w:cs="Calibri Light"/>
          <w:sz w:val="17"/>
          <w:szCs w:val="17"/>
          <w:lang w:val="en-US"/>
        </w:rPr>
      </w:pPr>
      <w:r w:rsidRPr="005A4E29">
        <w:rPr>
          <w:rStyle w:val="FootnoteReference"/>
          <w:rFonts w:cs="Calibri Light"/>
          <w:sz w:val="17"/>
          <w:szCs w:val="17"/>
        </w:rPr>
        <w:footnoteRef/>
      </w:r>
      <w:r w:rsidRPr="00745E0E">
        <w:rPr>
          <w:rStyle w:val="Hyperlink"/>
          <w:rFonts w:cs="Calibri Light"/>
          <w:szCs w:val="18"/>
        </w:rPr>
        <w:t>https://gzk.rks-gov.net/ActDocumentDetail.aspx?ActID=2764</w:t>
      </w:r>
    </w:p>
  </w:footnote>
  <w:footnote w:id="4">
    <w:p w:rsidR="00A07751" w:rsidRPr="005A4E29" w:rsidRDefault="00A07751" w:rsidP="00CF44A5">
      <w:pPr>
        <w:pStyle w:val="FootnoteText"/>
        <w:rPr>
          <w:rFonts w:cs="Calibri Light"/>
          <w:sz w:val="17"/>
          <w:szCs w:val="17"/>
          <w:lang w:val="en-US"/>
        </w:rPr>
      </w:pPr>
      <w:r w:rsidRPr="005A4E29">
        <w:rPr>
          <w:rStyle w:val="FootnoteReference"/>
          <w:rFonts w:cs="Calibri Light"/>
          <w:sz w:val="17"/>
          <w:szCs w:val="17"/>
        </w:rPr>
        <w:footnoteRef/>
      </w:r>
      <w:r w:rsidRPr="005A4E29">
        <w:rPr>
          <w:rFonts w:cs="Calibri Light"/>
          <w:sz w:val="17"/>
          <w:szCs w:val="17"/>
        </w:rPr>
        <w:t xml:space="preserve"> </w:t>
      </w:r>
      <w:hyperlink r:id="rId3" w:history="1">
        <w:r w:rsidRPr="005A4E29">
          <w:rPr>
            <w:rStyle w:val="Hyperlink"/>
            <w:rFonts w:cs="Calibri Light"/>
            <w:sz w:val="17"/>
            <w:szCs w:val="17"/>
          </w:rPr>
          <w:t>http://konsultimet.rks-gov.net/</w:t>
        </w:r>
      </w:hyperlink>
    </w:p>
  </w:footnote>
  <w:footnote w:id="5">
    <w:p w:rsidR="00A07751" w:rsidRDefault="00A07751">
      <w:pPr>
        <w:pStyle w:val="FootnoteText"/>
      </w:pPr>
      <w:r>
        <w:rPr>
          <w:rStyle w:val="FootnoteReference"/>
        </w:rPr>
        <w:footnoteRef/>
      </w:r>
      <w:r>
        <w:t xml:space="preserve"> </w:t>
      </w:r>
      <w:hyperlink r:id="rId4" w:history="1">
        <w:r w:rsidRPr="00E8119E">
          <w:rPr>
            <w:rStyle w:val="Hyperlink"/>
          </w:rPr>
          <w:t>Raporti i Zyrës për Qeverise të Mirë/Zyrës së kryeministrit mbi konsultimet publike 2017</w:t>
        </w:r>
      </w:hyperlink>
    </w:p>
  </w:footnote>
  <w:footnote w:id="6">
    <w:p w:rsidR="00A07751" w:rsidRDefault="00A07751" w:rsidP="00CF44A5">
      <w:pPr>
        <w:pStyle w:val="FootnoteText"/>
      </w:pPr>
      <w:r>
        <w:rPr>
          <w:rStyle w:val="FootnoteReference"/>
        </w:rPr>
        <w:footnoteRef/>
      </w:r>
      <w:r>
        <w:t xml:space="preserve"> </w:t>
      </w:r>
      <w:hyperlink r:id="rId5" w:history="1">
        <w:r w:rsidRPr="00564367">
          <w:rPr>
            <w:rStyle w:val="Hyperlink"/>
          </w:rPr>
          <w:t xml:space="preserve">Raporti i </w:t>
        </w:r>
        <w:r w:rsidRPr="00564367">
          <w:rPr>
            <w:rStyle w:val="Hyperlink"/>
            <w:rFonts w:cs="Calibri Light"/>
            <w:szCs w:val="22"/>
          </w:rPr>
          <w:t>Zyrës për Qeverisje të Mirë/Zyrës së Kryeministrit për financimin publik te OSHC-ve 016-2017</w:t>
        </w:r>
      </w:hyperlink>
    </w:p>
  </w:footnote>
  <w:footnote w:id="7">
    <w:p w:rsidR="00A07751" w:rsidRDefault="00A07751" w:rsidP="00CF44A5">
      <w:pPr>
        <w:spacing w:line="276" w:lineRule="auto"/>
      </w:pPr>
      <w:r>
        <w:rPr>
          <w:rStyle w:val="FootnoteReference"/>
        </w:rPr>
        <w:footnoteRef/>
      </w:r>
      <w:r>
        <w:t xml:space="preserve"> </w:t>
      </w:r>
      <w:r w:rsidRPr="00C41159">
        <w:rPr>
          <w:rFonts w:ascii="Segoe UI Light" w:hAnsi="Segoe UI Light" w:cs="Segoe UI Light"/>
          <w:sz w:val="18"/>
          <w:szCs w:val="20"/>
        </w:rPr>
        <w:t>Në përgjithësi, 54 përfaqësues të OSHC-ve, palëve të interesuara dhe qytetarëve kanë marrë pjesë në takimet konsultuese. Takimet kanë rezultuar me 43 rekomandime dhe komente specifike.</w:t>
      </w:r>
      <w:r w:rsidRPr="005F46AA">
        <w:rPr>
          <w:rFonts w:cs="Calibri Light"/>
          <w:color w:val="000000" w:themeColor="text1"/>
          <w:szCs w:val="22"/>
        </w:rPr>
        <w:t xml:space="preserve"> </w:t>
      </w:r>
    </w:p>
  </w:footnote>
  <w:footnote w:id="8">
    <w:p w:rsidR="00A07751" w:rsidRPr="00E06B6A" w:rsidRDefault="00A07751" w:rsidP="00CF44A5">
      <w:pPr>
        <w:pStyle w:val="FootnoteText"/>
        <w:rPr>
          <w:rFonts w:ascii="Segoe UI Light" w:hAnsi="Segoe UI Light" w:cs="Segoe UI Light"/>
          <w:lang w:val="en-US"/>
        </w:rPr>
      </w:pPr>
      <w:r w:rsidRPr="00E06B6A">
        <w:rPr>
          <w:rStyle w:val="FootnoteReference"/>
          <w:rFonts w:ascii="Segoe UI Light" w:hAnsi="Segoe UI Light" w:cs="Segoe UI Light"/>
        </w:rPr>
        <w:footnoteRef/>
      </w:r>
      <w:r w:rsidRPr="00E06B6A">
        <w:rPr>
          <w:rFonts w:ascii="Segoe UI Light" w:hAnsi="Segoe UI Light" w:cs="Segoe UI Light"/>
        </w:rPr>
        <w:t xml:space="preserve"> </w:t>
      </w:r>
      <w:r w:rsidRPr="009F48C4">
        <w:rPr>
          <w:rFonts w:ascii="Segoe UI Light" w:hAnsi="Segoe UI Light" w:cs="Segoe UI Light"/>
        </w:rPr>
        <w:t>Afati fillestar për konsultim u zgjat nga 1 deri në 9 nëntor për të lejuar procesin e konsultimeve on-line të shoqërojnë takimet rajonale të konsultimeve dhe të sigurojnë hapësirë për komentet shtesë që do të sigurohen nga organizatat dhe palët e interesuara.</w:t>
      </w:r>
    </w:p>
  </w:footnote>
  <w:footnote w:id="9">
    <w:p w:rsidR="00A07751" w:rsidRPr="00660F0E" w:rsidRDefault="00A07751" w:rsidP="00CF44A5">
      <w:pPr>
        <w:pStyle w:val="FootnoteText"/>
      </w:pPr>
      <w:r>
        <w:rPr>
          <w:rStyle w:val="FootnoteReference"/>
        </w:rPr>
        <w:footnoteRef/>
      </w:r>
      <w:r>
        <w:t xml:space="preserve"> Vlerësimi për Zbatimin e Strategjisë Qeveritare për Bashkëpunim me Shoqërinë Civile (2013-2017) Zyra për Qeverisje të Mirë Shkurt 2018, fq. 2-3 </w:t>
      </w:r>
    </w:p>
  </w:footnote>
  <w:footnote w:id="10">
    <w:p w:rsidR="00A07751" w:rsidRPr="008139DD" w:rsidRDefault="00A07751" w:rsidP="00CF44A5">
      <w:pPr>
        <w:pStyle w:val="FootnoteText"/>
        <w:rPr>
          <w:szCs w:val="18"/>
        </w:rPr>
      </w:pPr>
      <w:r>
        <w:rPr>
          <w:rStyle w:val="FootnoteReference"/>
          <w:szCs w:val="18"/>
        </w:rPr>
        <w:footnoteRef/>
      </w:r>
      <w:r>
        <w:t xml:space="preserve"> Zyra për Qeverisje të Mirë. </w:t>
      </w:r>
      <w:r w:rsidRPr="00ED64F2">
        <w:rPr>
          <w:rStyle w:val="Hyperlink"/>
        </w:rPr>
        <w:t>Strategjia e Qeverisë për Bashkëpunim me Shoqërinë Civile</w:t>
      </w:r>
      <w:r>
        <w:t>. 2013, fq. 2</w:t>
      </w:r>
    </w:p>
  </w:footnote>
  <w:footnote w:id="11">
    <w:p w:rsidR="00A07751" w:rsidRDefault="00A07751" w:rsidP="00CF44A5">
      <w:pPr>
        <w:pStyle w:val="FootnoteText"/>
      </w:pPr>
      <w:r>
        <w:rPr>
          <w:rStyle w:val="FootnoteReference"/>
        </w:rPr>
        <w:footnoteRef/>
      </w:r>
      <w:r>
        <w:t xml:space="preserve"> </w:t>
      </w:r>
      <w:hyperlink r:id="rId6" w:history="1">
        <w:r w:rsidRPr="00325C82">
          <w:rPr>
            <w:rStyle w:val="Hyperlink"/>
          </w:rPr>
          <w:t>Konsultimet.rks-gov.net</w:t>
        </w:r>
      </w:hyperlink>
      <w:r>
        <w:t xml:space="preserve"> </w:t>
      </w:r>
    </w:p>
  </w:footnote>
  <w:footnote w:id="12">
    <w:p w:rsidR="00A07751" w:rsidRDefault="00A07751" w:rsidP="00CF44A5">
      <w:pPr>
        <w:pStyle w:val="FootnoteText"/>
      </w:pPr>
      <w:r>
        <w:rPr>
          <w:rStyle w:val="FootnoteReference"/>
        </w:rPr>
        <w:footnoteRef/>
      </w:r>
      <w:r>
        <w:t xml:space="preserve"> Programi trajnues është realizuar nga ZQM-ZKM dhe Projekti i AT te BE-së</w:t>
      </w:r>
    </w:p>
  </w:footnote>
  <w:footnote w:id="13">
    <w:p w:rsidR="00A07751" w:rsidRPr="00CE248B" w:rsidRDefault="00A07751" w:rsidP="00CF44A5">
      <w:pPr>
        <w:pStyle w:val="FootnoteText"/>
        <w:rPr>
          <w:szCs w:val="18"/>
        </w:rPr>
      </w:pPr>
      <w:r>
        <w:rPr>
          <w:rStyle w:val="FootnoteReference"/>
          <w:szCs w:val="18"/>
        </w:rPr>
        <w:footnoteRef/>
      </w:r>
      <w:r>
        <w:t xml:space="preserve"> </w:t>
      </w:r>
      <w:bookmarkStart w:id="14" w:name="_Hlk534797988"/>
      <w:r>
        <w:t xml:space="preserve">MF. Rregullorja 04/2017 për </w:t>
      </w:r>
      <w:hyperlink r:id="rId7" w:history="1">
        <w:r>
          <w:rPr>
            <w:rStyle w:val="Hyperlink"/>
          </w:rPr>
          <w:t>Kriteret, Standarde and Procedurat për Financimin Publik të OJQ-ve</w:t>
        </w:r>
      </w:hyperlink>
      <w:r>
        <w:t xml:space="preserve">. </w:t>
      </w:r>
      <w:bookmarkEnd w:id="14"/>
      <w:r w:rsidRPr="00691D3B">
        <w:rPr>
          <w:bCs/>
        </w:rPr>
        <w:t>Neni 1</w:t>
      </w:r>
      <w:r w:rsidRPr="00691D3B">
        <w:t xml:space="preserve"> 13 qershor</w:t>
      </w:r>
      <w:r>
        <w:t xml:space="preserve"> 2017, fq. 2 </w:t>
      </w:r>
    </w:p>
  </w:footnote>
  <w:footnote w:id="14">
    <w:p w:rsidR="00A07751" w:rsidRDefault="00A07751" w:rsidP="00CF44A5">
      <w:pPr>
        <w:pStyle w:val="FootnoteText"/>
      </w:pPr>
      <w:r>
        <w:rPr>
          <w:rStyle w:val="FootnoteReference"/>
        </w:rPr>
        <w:footnoteRef/>
      </w:r>
      <w:r>
        <w:t xml:space="preserve"> </w:t>
      </w:r>
      <w:r w:rsidRPr="0074071A">
        <w:t>Vlerësimi i sfidave dhe mundësive të kontraktimit të OSHC-ve për të ofruar shërbime publike në Kosovë, Zyra për Qeverisje të Mirë</w:t>
      </w:r>
      <w:r>
        <w:t>, faqe.35.</w:t>
      </w:r>
    </w:p>
  </w:footnote>
  <w:footnote w:id="15">
    <w:p w:rsidR="00A07751" w:rsidRDefault="00A07751" w:rsidP="00CF44A5">
      <w:pPr>
        <w:pStyle w:val="FootnoteText"/>
      </w:pPr>
      <w:r>
        <w:rPr>
          <w:rStyle w:val="FootnoteReference"/>
        </w:rPr>
        <w:footnoteRef/>
      </w:r>
      <w:r>
        <w:t xml:space="preserve"> </w:t>
      </w:r>
      <w:r>
        <w:rPr>
          <w:rFonts w:ascii="Sylfaen" w:hAnsi="Sylfaen"/>
          <w:szCs w:val="22"/>
        </w:rPr>
        <w:t>Për më shumë detaje</w:t>
      </w:r>
      <w:r w:rsidRPr="00691D3B">
        <w:rPr>
          <w:rFonts w:ascii="Sylfaen" w:hAnsi="Sylfaen"/>
          <w:szCs w:val="22"/>
        </w:rPr>
        <w:t>, shih Shtojcën 3.</w:t>
      </w:r>
      <w:r w:rsidRPr="000A6E89">
        <w:rPr>
          <w:rFonts w:ascii="Sylfaen" w:hAnsi="Sylfaen"/>
          <w:szCs w:val="22"/>
        </w:rPr>
        <w:t xml:space="preserve"> </w:t>
      </w:r>
      <w:r>
        <w:rPr>
          <w:rFonts w:ascii="Sylfaen" w:hAnsi="Sylfaen"/>
          <w:szCs w:val="22"/>
        </w:rPr>
        <w:t xml:space="preserve"> </w:t>
      </w:r>
    </w:p>
  </w:footnote>
  <w:footnote w:id="16">
    <w:p w:rsidR="00A07751" w:rsidRPr="001B783D" w:rsidRDefault="00A07751" w:rsidP="00CF44A5">
      <w:pPr>
        <w:pStyle w:val="FootnoteText"/>
      </w:pPr>
      <w:r>
        <w:rPr>
          <w:rStyle w:val="FootnoteReference"/>
        </w:rPr>
        <w:footnoteRef/>
      </w:r>
      <w:r>
        <w:t xml:space="preserve">Zv. Kryesuesja , znj. Valdete Idrizi, është zëvendësuar nga Dardan Kryeziu, pas dorëheqjes së saj nga Platforma CiviKos në muajin tetor të vitit 2017. </w:t>
      </w:r>
    </w:p>
  </w:footnote>
  <w:footnote w:id="17">
    <w:p w:rsidR="00A07751" w:rsidRDefault="00A07751" w:rsidP="00CF44A5">
      <w:pPr>
        <w:pStyle w:val="FootnoteText"/>
      </w:pPr>
      <w:r>
        <w:rPr>
          <w:rStyle w:val="FootnoteReference"/>
        </w:rPr>
        <w:footnoteRef/>
      </w:r>
      <w:r>
        <w:t xml:space="preserve"> Anëtar, z. Qemal Marmullaku është zëvendësuar nga z. Vedat Sogonjeva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751" w:rsidRDefault="00A07751" w:rsidP="00221DE3">
    <w:pPr>
      <w:pStyle w:val="Header"/>
      <w:jc w:val="right"/>
    </w:pPr>
    <w:r w:rsidRPr="00A43C23">
      <w:t xml:space="preserve">Strategjia </w:t>
    </w:r>
    <w:r>
      <w:t xml:space="preserve">qeveritare </w:t>
    </w:r>
    <w:r w:rsidRPr="00A43C23">
      <w:t xml:space="preserve">për </w:t>
    </w:r>
    <w:r>
      <w:t>b</w:t>
    </w:r>
    <w:r w:rsidRPr="00A43C23">
      <w:t>ashkëpunim</w:t>
    </w:r>
    <w:r>
      <w:t xml:space="preserve"> me shoqërinë civile 2019-2023</w:t>
    </w:r>
    <w:r w:rsidRPr="00A43C2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A6357"/>
    <w:multiLevelType w:val="hybridMultilevel"/>
    <w:tmpl w:val="BB4CCD5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417F796D"/>
    <w:multiLevelType w:val="hybridMultilevel"/>
    <w:tmpl w:val="19BA74A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79F578C8"/>
    <w:multiLevelType w:val="hybridMultilevel"/>
    <w:tmpl w:val="D742907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A5"/>
    <w:rsid w:val="00005EBA"/>
    <w:rsid w:val="00006F89"/>
    <w:rsid w:val="00024AAC"/>
    <w:rsid w:val="00034B81"/>
    <w:rsid w:val="0003552C"/>
    <w:rsid w:val="000418DC"/>
    <w:rsid w:val="00054A6F"/>
    <w:rsid w:val="000569BA"/>
    <w:rsid w:val="00063279"/>
    <w:rsid w:val="000D1E3E"/>
    <w:rsid w:val="00114BCB"/>
    <w:rsid w:val="00123C8B"/>
    <w:rsid w:val="00127434"/>
    <w:rsid w:val="00157921"/>
    <w:rsid w:val="001640C4"/>
    <w:rsid w:val="00173574"/>
    <w:rsid w:val="00176052"/>
    <w:rsid w:val="001A00DD"/>
    <w:rsid w:val="001C0A11"/>
    <w:rsid w:val="001C24C5"/>
    <w:rsid w:val="001D02C2"/>
    <w:rsid w:val="002161AD"/>
    <w:rsid w:val="0021663F"/>
    <w:rsid w:val="00221BF0"/>
    <w:rsid w:val="00221DE3"/>
    <w:rsid w:val="00251899"/>
    <w:rsid w:val="00262402"/>
    <w:rsid w:val="002662AA"/>
    <w:rsid w:val="002842E7"/>
    <w:rsid w:val="003001BB"/>
    <w:rsid w:val="003058AC"/>
    <w:rsid w:val="00322796"/>
    <w:rsid w:val="00330785"/>
    <w:rsid w:val="00332F7F"/>
    <w:rsid w:val="00351581"/>
    <w:rsid w:val="00357A19"/>
    <w:rsid w:val="00360FE3"/>
    <w:rsid w:val="00377FD3"/>
    <w:rsid w:val="003956FE"/>
    <w:rsid w:val="00395DA3"/>
    <w:rsid w:val="00397B41"/>
    <w:rsid w:val="003A3175"/>
    <w:rsid w:val="003D5BF1"/>
    <w:rsid w:val="003E57E5"/>
    <w:rsid w:val="003F5EEC"/>
    <w:rsid w:val="00411114"/>
    <w:rsid w:val="0042612C"/>
    <w:rsid w:val="004330AA"/>
    <w:rsid w:val="00442B79"/>
    <w:rsid w:val="004521D1"/>
    <w:rsid w:val="00460292"/>
    <w:rsid w:val="0047414E"/>
    <w:rsid w:val="00474B0F"/>
    <w:rsid w:val="004B66B0"/>
    <w:rsid w:val="004C0A33"/>
    <w:rsid w:val="004E3193"/>
    <w:rsid w:val="00510578"/>
    <w:rsid w:val="00515A47"/>
    <w:rsid w:val="00521245"/>
    <w:rsid w:val="00547FF0"/>
    <w:rsid w:val="00555E83"/>
    <w:rsid w:val="00561E93"/>
    <w:rsid w:val="00563482"/>
    <w:rsid w:val="00564715"/>
    <w:rsid w:val="00596005"/>
    <w:rsid w:val="005A67EB"/>
    <w:rsid w:val="005B1B65"/>
    <w:rsid w:val="005C145D"/>
    <w:rsid w:val="005E2828"/>
    <w:rsid w:val="005E4770"/>
    <w:rsid w:val="005F3855"/>
    <w:rsid w:val="00653E8F"/>
    <w:rsid w:val="00657554"/>
    <w:rsid w:val="00670B19"/>
    <w:rsid w:val="00683A01"/>
    <w:rsid w:val="00685908"/>
    <w:rsid w:val="00691D3B"/>
    <w:rsid w:val="00692B38"/>
    <w:rsid w:val="006A0DE6"/>
    <w:rsid w:val="006C416D"/>
    <w:rsid w:val="006D3AB0"/>
    <w:rsid w:val="006D4A8E"/>
    <w:rsid w:val="006F4A35"/>
    <w:rsid w:val="00715F6E"/>
    <w:rsid w:val="00730D47"/>
    <w:rsid w:val="007725A5"/>
    <w:rsid w:val="007934EA"/>
    <w:rsid w:val="0079598B"/>
    <w:rsid w:val="007A1F86"/>
    <w:rsid w:val="007A2A6A"/>
    <w:rsid w:val="007B3260"/>
    <w:rsid w:val="007B5307"/>
    <w:rsid w:val="007C7980"/>
    <w:rsid w:val="008009C8"/>
    <w:rsid w:val="00802C32"/>
    <w:rsid w:val="00815710"/>
    <w:rsid w:val="008261B6"/>
    <w:rsid w:val="008327EE"/>
    <w:rsid w:val="008402D9"/>
    <w:rsid w:val="0087080C"/>
    <w:rsid w:val="0087604D"/>
    <w:rsid w:val="00883142"/>
    <w:rsid w:val="008B041B"/>
    <w:rsid w:val="008C4805"/>
    <w:rsid w:val="008F1881"/>
    <w:rsid w:val="009101CD"/>
    <w:rsid w:val="00914F5F"/>
    <w:rsid w:val="00920955"/>
    <w:rsid w:val="009317EB"/>
    <w:rsid w:val="00995D9A"/>
    <w:rsid w:val="009E1BFE"/>
    <w:rsid w:val="009E78F9"/>
    <w:rsid w:val="00A02AE0"/>
    <w:rsid w:val="00A07751"/>
    <w:rsid w:val="00A2499D"/>
    <w:rsid w:val="00A47E73"/>
    <w:rsid w:val="00A56F1F"/>
    <w:rsid w:val="00A87656"/>
    <w:rsid w:val="00AC3322"/>
    <w:rsid w:val="00AE6DFC"/>
    <w:rsid w:val="00B42F51"/>
    <w:rsid w:val="00B60C8C"/>
    <w:rsid w:val="00B6593D"/>
    <w:rsid w:val="00B65B5E"/>
    <w:rsid w:val="00B65E9F"/>
    <w:rsid w:val="00B6632D"/>
    <w:rsid w:val="00B7242D"/>
    <w:rsid w:val="00B770C6"/>
    <w:rsid w:val="00B87CD9"/>
    <w:rsid w:val="00B901E3"/>
    <w:rsid w:val="00B97937"/>
    <w:rsid w:val="00BE30EF"/>
    <w:rsid w:val="00C005C7"/>
    <w:rsid w:val="00C20FD3"/>
    <w:rsid w:val="00C33A57"/>
    <w:rsid w:val="00C56040"/>
    <w:rsid w:val="00C627AC"/>
    <w:rsid w:val="00C94683"/>
    <w:rsid w:val="00CC7F57"/>
    <w:rsid w:val="00CF44A5"/>
    <w:rsid w:val="00D0032D"/>
    <w:rsid w:val="00D0087E"/>
    <w:rsid w:val="00D03816"/>
    <w:rsid w:val="00D0386D"/>
    <w:rsid w:val="00D35581"/>
    <w:rsid w:val="00D41989"/>
    <w:rsid w:val="00D5118A"/>
    <w:rsid w:val="00D61937"/>
    <w:rsid w:val="00D74DCC"/>
    <w:rsid w:val="00DA2785"/>
    <w:rsid w:val="00DC4E77"/>
    <w:rsid w:val="00E04F9F"/>
    <w:rsid w:val="00E21229"/>
    <w:rsid w:val="00E4421E"/>
    <w:rsid w:val="00E534D7"/>
    <w:rsid w:val="00E66E67"/>
    <w:rsid w:val="00E673BF"/>
    <w:rsid w:val="00E7164E"/>
    <w:rsid w:val="00E81789"/>
    <w:rsid w:val="00E97206"/>
    <w:rsid w:val="00EB3E24"/>
    <w:rsid w:val="00EB5C9D"/>
    <w:rsid w:val="00EC4E8C"/>
    <w:rsid w:val="00EF0575"/>
    <w:rsid w:val="00F01023"/>
    <w:rsid w:val="00F031FC"/>
    <w:rsid w:val="00F3780F"/>
    <w:rsid w:val="00F5248D"/>
    <w:rsid w:val="00F524E8"/>
    <w:rsid w:val="00F6244A"/>
    <w:rsid w:val="00F67865"/>
    <w:rsid w:val="00F704FA"/>
    <w:rsid w:val="00F9129C"/>
    <w:rsid w:val="00FA2BDF"/>
    <w:rsid w:val="00FB04EA"/>
    <w:rsid w:val="00FD1443"/>
    <w:rsid w:val="00FE49CC"/>
    <w:rsid w:val="00FE73CA"/>
    <w:rsid w:val="00FF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D242"/>
  <w15:chartTrackingRefBased/>
  <w15:docId w15:val="{96A2268D-668A-4657-A991-AFCC4C1D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4A5"/>
    <w:pPr>
      <w:spacing w:after="0" w:line="240" w:lineRule="auto"/>
      <w:contextualSpacing/>
      <w:jc w:val="both"/>
    </w:pPr>
    <w:rPr>
      <w:rFonts w:asciiTheme="majorHAnsi" w:hAnsiTheme="majorHAnsi" w:cs="Times New Roman"/>
      <w:szCs w:val="24"/>
      <w:lang w:val="sq-AL"/>
    </w:rPr>
  </w:style>
  <w:style w:type="paragraph" w:styleId="Heading1">
    <w:name w:val="heading 1"/>
    <w:basedOn w:val="Normal"/>
    <w:next w:val="Normal"/>
    <w:link w:val="Heading1Char"/>
    <w:uiPriority w:val="99"/>
    <w:qFormat/>
    <w:rsid w:val="00CF44A5"/>
    <w:pPr>
      <w:keepNext/>
      <w:keepLines/>
      <w:spacing w:before="120" w:after="120"/>
      <w:outlineLvl w:val="0"/>
    </w:pPr>
    <w:rPr>
      <w:rFonts w:eastAsiaTheme="majorEastAsia" w:cstheme="majorBidi"/>
      <w:b/>
      <w:color w:val="404040" w:themeColor="text1" w:themeTint="BF"/>
      <w:sz w:val="32"/>
      <w:szCs w:val="32"/>
    </w:rPr>
  </w:style>
  <w:style w:type="paragraph" w:styleId="Heading2">
    <w:name w:val="heading 2"/>
    <w:basedOn w:val="Normal"/>
    <w:next w:val="Normal"/>
    <w:link w:val="Heading2Char"/>
    <w:uiPriority w:val="9"/>
    <w:unhideWhenUsed/>
    <w:qFormat/>
    <w:rsid w:val="00CF44A5"/>
    <w:pPr>
      <w:keepNext/>
      <w:keepLines/>
      <w:spacing w:before="120" w:after="120"/>
      <w:outlineLvl w:val="1"/>
    </w:pPr>
    <w:rPr>
      <w:rFonts w:eastAsiaTheme="majorEastAsia" w:cstheme="majorBidi"/>
      <w:b/>
      <w:color w:val="595959" w:themeColor="text1" w:themeTint="A6"/>
      <w:sz w:val="26"/>
      <w:szCs w:val="26"/>
    </w:rPr>
  </w:style>
  <w:style w:type="paragraph" w:styleId="Heading3">
    <w:name w:val="heading 3"/>
    <w:basedOn w:val="Normal"/>
    <w:next w:val="Normal"/>
    <w:link w:val="Heading3Char"/>
    <w:uiPriority w:val="9"/>
    <w:unhideWhenUsed/>
    <w:qFormat/>
    <w:rsid w:val="00CF44A5"/>
    <w:pPr>
      <w:keepNext/>
      <w:keepLines/>
      <w:spacing w:before="120" w:after="120"/>
      <w:outlineLvl w:val="2"/>
    </w:pPr>
    <w:rPr>
      <w:rFonts w:eastAsiaTheme="majorEastAsia" w:cstheme="majorBidi"/>
      <w:b/>
      <w:i/>
      <w:color w:val="595959" w:themeColor="text1" w:themeTint="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44A5"/>
    <w:rPr>
      <w:rFonts w:asciiTheme="majorHAnsi" w:eastAsiaTheme="majorEastAsia" w:hAnsiTheme="majorHAnsi" w:cstheme="majorBidi"/>
      <w:b/>
      <w:color w:val="404040" w:themeColor="text1" w:themeTint="BF"/>
      <w:sz w:val="32"/>
      <w:szCs w:val="32"/>
      <w:lang w:val="sq-AL"/>
    </w:rPr>
  </w:style>
  <w:style w:type="character" w:customStyle="1" w:styleId="Heading2Char">
    <w:name w:val="Heading 2 Char"/>
    <w:basedOn w:val="DefaultParagraphFont"/>
    <w:link w:val="Heading2"/>
    <w:uiPriority w:val="9"/>
    <w:rsid w:val="00CF44A5"/>
    <w:rPr>
      <w:rFonts w:asciiTheme="majorHAnsi" w:eastAsiaTheme="majorEastAsia" w:hAnsiTheme="majorHAnsi" w:cstheme="majorBidi"/>
      <w:b/>
      <w:color w:val="595959" w:themeColor="text1" w:themeTint="A6"/>
      <w:sz w:val="26"/>
      <w:szCs w:val="26"/>
      <w:lang w:val="sq-AL"/>
    </w:rPr>
  </w:style>
  <w:style w:type="character" w:customStyle="1" w:styleId="Heading3Char">
    <w:name w:val="Heading 3 Char"/>
    <w:basedOn w:val="DefaultParagraphFont"/>
    <w:link w:val="Heading3"/>
    <w:uiPriority w:val="9"/>
    <w:rsid w:val="00CF44A5"/>
    <w:rPr>
      <w:rFonts w:asciiTheme="majorHAnsi" w:eastAsiaTheme="majorEastAsia" w:hAnsiTheme="majorHAnsi" w:cstheme="majorBidi"/>
      <w:b/>
      <w:i/>
      <w:color w:val="595959" w:themeColor="text1" w:themeTint="A6"/>
      <w:sz w:val="24"/>
      <w:szCs w:val="24"/>
      <w:lang w:val="sq-AL"/>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
    <w:basedOn w:val="Normal"/>
    <w:link w:val="FootnoteTextChar"/>
    <w:uiPriority w:val="99"/>
    <w:unhideWhenUsed/>
    <w:qFormat/>
    <w:rsid w:val="00CF44A5"/>
    <w:pPr>
      <w:contextualSpacing w:val="0"/>
    </w:pPr>
    <w:rPr>
      <w:rFonts w:ascii="Calibri Light" w:hAnsi="Calibri Light" w:cstheme="minorBidi"/>
      <w:sz w:val="18"/>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CF44A5"/>
    <w:rPr>
      <w:rFonts w:ascii="Calibri Light" w:hAnsi="Calibri Light"/>
      <w:sz w:val="18"/>
      <w:szCs w:val="20"/>
      <w:lang w:val="sq-AL"/>
    </w:rPr>
  </w:style>
  <w:style w:type="character" w:styleId="FootnoteReference">
    <w:name w:val="footnote reference"/>
    <w:basedOn w:val="DefaultParagraphFont"/>
    <w:uiPriority w:val="99"/>
    <w:semiHidden/>
    <w:unhideWhenUsed/>
    <w:qFormat/>
    <w:rsid w:val="00CF44A5"/>
    <w:rPr>
      <w:vertAlign w:val="superscript"/>
    </w:rPr>
  </w:style>
  <w:style w:type="character" w:styleId="Hyperlink">
    <w:name w:val="Hyperlink"/>
    <w:basedOn w:val="DefaultParagraphFont"/>
    <w:uiPriority w:val="99"/>
    <w:unhideWhenUsed/>
    <w:rsid w:val="00CF44A5"/>
    <w:rPr>
      <w:color w:val="0563C1" w:themeColor="hyperlink"/>
      <w:u w:val="single"/>
    </w:rPr>
  </w:style>
  <w:style w:type="paragraph" w:styleId="ListParagraph">
    <w:name w:val="List Paragraph"/>
    <w:basedOn w:val="Normal"/>
    <w:link w:val="ListParagraphChar"/>
    <w:qFormat/>
    <w:rsid w:val="00CF44A5"/>
    <w:pPr>
      <w:spacing w:after="200"/>
      <w:ind w:left="720"/>
    </w:pPr>
    <w:rPr>
      <w:rFonts w:ascii="Calibri Light" w:hAnsi="Calibri Light" w:cstheme="minorBidi"/>
      <w:sz w:val="24"/>
    </w:rPr>
  </w:style>
  <w:style w:type="character" w:customStyle="1" w:styleId="ListParagraphChar">
    <w:name w:val="List Paragraph Char"/>
    <w:link w:val="ListParagraph"/>
    <w:locked/>
    <w:rsid w:val="003956FE"/>
    <w:rPr>
      <w:rFonts w:ascii="Calibri Light" w:hAnsi="Calibri Light"/>
      <w:sz w:val="24"/>
      <w:szCs w:val="24"/>
      <w:lang w:val="sq-AL"/>
    </w:rPr>
  </w:style>
  <w:style w:type="character" w:customStyle="1" w:styleId="UnresolvedMention1">
    <w:name w:val="Unresolved Mention1"/>
    <w:basedOn w:val="DefaultParagraphFont"/>
    <w:uiPriority w:val="99"/>
    <w:semiHidden/>
    <w:unhideWhenUsed/>
    <w:rsid w:val="00CF44A5"/>
    <w:rPr>
      <w:color w:val="808080"/>
      <w:shd w:val="clear" w:color="auto" w:fill="E6E6E6"/>
    </w:rPr>
  </w:style>
  <w:style w:type="paragraph" w:styleId="Quote">
    <w:name w:val="Quote"/>
    <w:basedOn w:val="Normal"/>
    <w:next w:val="Normal"/>
    <w:link w:val="QuoteChar"/>
    <w:uiPriority w:val="29"/>
    <w:qFormat/>
    <w:rsid w:val="00CF44A5"/>
    <w:pPr>
      <w:spacing w:before="200" w:after="160"/>
      <w:ind w:left="864" w:right="864"/>
    </w:pPr>
    <w:rPr>
      <w:i/>
      <w:iCs/>
      <w:color w:val="404040" w:themeColor="text1" w:themeTint="BF"/>
      <w:sz w:val="18"/>
    </w:rPr>
  </w:style>
  <w:style w:type="character" w:customStyle="1" w:styleId="QuoteChar">
    <w:name w:val="Quote Char"/>
    <w:basedOn w:val="DefaultParagraphFont"/>
    <w:link w:val="Quote"/>
    <w:uiPriority w:val="29"/>
    <w:rsid w:val="00CF44A5"/>
    <w:rPr>
      <w:rFonts w:asciiTheme="majorHAnsi" w:hAnsiTheme="majorHAnsi" w:cs="Times New Roman"/>
      <w:i/>
      <w:iCs/>
      <w:color w:val="404040" w:themeColor="text1" w:themeTint="BF"/>
      <w:sz w:val="18"/>
      <w:szCs w:val="24"/>
      <w:lang w:val="sq-AL"/>
    </w:rPr>
  </w:style>
  <w:style w:type="paragraph" w:styleId="NormalWeb">
    <w:name w:val="Normal (Web)"/>
    <w:basedOn w:val="Normal"/>
    <w:uiPriority w:val="99"/>
    <w:unhideWhenUsed/>
    <w:rsid w:val="00CF44A5"/>
    <w:pPr>
      <w:spacing w:before="100" w:beforeAutospacing="1" w:after="100" w:afterAutospacing="1"/>
      <w:contextualSpacing w:val="0"/>
      <w:jc w:val="left"/>
    </w:pPr>
    <w:rPr>
      <w:rFonts w:ascii="Times New Roman" w:eastAsia="Times New Roman" w:hAnsi="Times New Roman"/>
      <w:sz w:val="24"/>
    </w:rPr>
  </w:style>
  <w:style w:type="character" w:styleId="FollowedHyperlink">
    <w:name w:val="FollowedHyperlink"/>
    <w:basedOn w:val="DefaultParagraphFont"/>
    <w:uiPriority w:val="99"/>
    <w:semiHidden/>
    <w:unhideWhenUsed/>
    <w:rsid w:val="00CF44A5"/>
    <w:rPr>
      <w:color w:val="954F72" w:themeColor="followedHyperlink"/>
      <w:u w:val="single"/>
    </w:rPr>
  </w:style>
  <w:style w:type="paragraph" w:customStyle="1" w:styleId="Default">
    <w:name w:val="Default"/>
    <w:rsid w:val="00CF44A5"/>
    <w:pPr>
      <w:autoSpaceDE w:val="0"/>
      <w:autoSpaceDN w:val="0"/>
      <w:adjustRightInd w:val="0"/>
      <w:spacing w:after="0" w:line="240" w:lineRule="auto"/>
    </w:pPr>
    <w:rPr>
      <w:rFonts w:ascii="Core Sans D 35 Regular" w:hAnsi="Core Sans D 35 Regular" w:cs="Core Sans D 35 Regular"/>
      <w:color w:val="000000"/>
      <w:sz w:val="24"/>
      <w:szCs w:val="24"/>
      <w:lang w:val="sq-AL"/>
    </w:rPr>
  </w:style>
  <w:style w:type="character" w:customStyle="1" w:styleId="A9">
    <w:name w:val="A9"/>
    <w:uiPriority w:val="99"/>
    <w:rsid w:val="00CF44A5"/>
    <w:rPr>
      <w:rFonts w:cs="Core Sans D 35 Regular"/>
      <w:color w:val="000000"/>
      <w:sz w:val="18"/>
      <w:szCs w:val="18"/>
    </w:rPr>
  </w:style>
  <w:style w:type="table" w:styleId="TableGrid">
    <w:name w:val="Table Grid"/>
    <w:basedOn w:val="TableNormal"/>
    <w:uiPriority w:val="99"/>
    <w:rsid w:val="00CF44A5"/>
    <w:pPr>
      <w:spacing w:after="0" w:line="240" w:lineRule="auto"/>
    </w:pPr>
    <w:rPr>
      <w:rFonts w:ascii="Segoe UI Semilight" w:hAnsi="Segoe UI Semilight" w:cs="Times New Roman"/>
      <w:sz w:val="20"/>
      <w:szCs w:val="24"/>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CF44A5"/>
    <w:pPr>
      <w:spacing w:after="0" w:line="240" w:lineRule="auto"/>
    </w:pPr>
    <w:rPr>
      <w:rFonts w:ascii="Segoe UI Semilight" w:hAnsi="Segoe UI Semilight" w:cs="Times New Roman"/>
      <w:sz w:val="20"/>
      <w:szCs w:val="24"/>
      <w:lang w:val="sq-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CF44A5"/>
    <w:rPr>
      <w:b/>
      <w:bCs/>
    </w:rPr>
  </w:style>
  <w:style w:type="character" w:customStyle="1" w:styleId="UnresolvedMention2">
    <w:name w:val="Unresolved Mention2"/>
    <w:basedOn w:val="DefaultParagraphFont"/>
    <w:uiPriority w:val="99"/>
    <w:semiHidden/>
    <w:unhideWhenUsed/>
    <w:rsid w:val="00CF44A5"/>
    <w:rPr>
      <w:color w:val="808080"/>
      <w:shd w:val="clear" w:color="auto" w:fill="E6E6E6"/>
    </w:rPr>
  </w:style>
  <w:style w:type="table" w:customStyle="1" w:styleId="PlainTable41">
    <w:name w:val="Plain Table 41"/>
    <w:basedOn w:val="TableNormal"/>
    <w:uiPriority w:val="44"/>
    <w:rsid w:val="00CF44A5"/>
    <w:pPr>
      <w:spacing w:after="0" w:line="240" w:lineRule="auto"/>
    </w:pPr>
    <w:rPr>
      <w:rFonts w:ascii="Segoe UI Semilight" w:hAnsi="Segoe UI Semilight" w:cs="Times New Roman"/>
      <w:sz w:val="20"/>
      <w:szCs w:val="24"/>
      <w:lang w:val="sq-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CF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44A5"/>
    <w:rPr>
      <w:rFonts w:ascii="Courier New" w:eastAsia="Times New Roman" w:hAnsi="Courier New" w:cs="Courier New"/>
      <w:sz w:val="20"/>
      <w:szCs w:val="20"/>
      <w:lang w:val="sq-AL"/>
    </w:rPr>
  </w:style>
  <w:style w:type="table" w:customStyle="1" w:styleId="PlainTable21">
    <w:name w:val="Plain Table 21"/>
    <w:basedOn w:val="TableNormal"/>
    <w:uiPriority w:val="42"/>
    <w:rsid w:val="00CF44A5"/>
    <w:pPr>
      <w:spacing w:after="0" w:line="240" w:lineRule="auto"/>
    </w:pPr>
    <w:rPr>
      <w:rFonts w:ascii="Segoe UI Semilight" w:hAnsi="Segoe UI Semilight" w:cs="Times New Roman"/>
      <w:sz w:val="20"/>
      <w:szCs w:val="24"/>
      <w:lang w:val="sq-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F44A5"/>
    <w:rPr>
      <w:rFonts w:ascii="Tahoma" w:hAnsi="Tahoma" w:cs="Tahoma"/>
      <w:sz w:val="16"/>
      <w:szCs w:val="16"/>
    </w:rPr>
  </w:style>
  <w:style w:type="character" w:customStyle="1" w:styleId="BalloonTextChar">
    <w:name w:val="Balloon Text Char"/>
    <w:basedOn w:val="DefaultParagraphFont"/>
    <w:link w:val="BalloonText"/>
    <w:uiPriority w:val="99"/>
    <w:semiHidden/>
    <w:rsid w:val="00CF44A5"/>
    <w:rPr>
      <w:rFonts w:ascii="Tahoma" w:hAnsi="Tahoma" w:cs="Tahoma"/>
      <w:sz w:val="16"/>
      <w:szCs w:val="16"/>
      <w:lang w:val="sq-AL"/>
    </w:rPr>
  </w:style>
  <w:style w:type="character" w:styleId="CommentReference">
    <w:name w:val="annotation reference"/>
    <w:basedOn w:val="DefaultParagraphFont"/>
    <w:uiPriority w:val="99"/>
    <w:semiHidden/>
    <w:unhideWhenUsed/>
    <w:rsid w:val="00CF44A5"/>
    <w:rPr>
      <w:sz w:val="16"/>
      <w:szCs w:val="16"/>
    </w:rPr>
  </w:style>
  <w:style w:type="paragraph" w:styleId="CommentText">
    <w:name w:val="annotation text"/>
    <w:basedOn w:val="Normal"/>
    <w:link w:val="CommentTextChar"/>
    <w:uiPriority w:val="99"/>
    <w:semiHidden/>
    <w:unhideWhenUsed/>
    <w:rsid w:val="00CF44A5"/>
    <w:rPr>
      <w:sz w:val="20"/>
      <w:szCs w:val="20"/>
    </w:rPr>
  </w:style>
  <w:style w:type="character" w:customStyle="1" w:styleId="CommentTextChar">
    <w:name w:val="Comment Text Char"/>
    <w:basedOn w:val="DefaultParagraphFont"/>
    <w:link w:val="CommentText"/>
    <w:uiPriority w:val="99"/>
    <w:semiHidden/>
    <w:rsid w:val="00CF44A5"/>
    <w:rPr>
      <w:rFonts w:asciiTheme="majorHAnsi" w:hAnsiTheme="majorHAns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CF44A5"/>
    <w:rPr>
      <w:b/>
      <w:bCs/>
    </w:rPr>
  </w:style>
  <w:style w:type="character" w:customStyle="1" w:styleId="CommentSubjectChar">
    <w:name w:val="Comment Subject Char"/>
    <w:basedOn w:val="CommentTextChar"/>
    <w:link w:val="CommentSubject"/>
    <w:uiPriority w:val="99"/>
    <w:semiHidden/>
    <w:rsid w:val="00CF44A5"/>
    <w:rPr>
      <w:rFonts w:asciiTheme="majorHAnsi" w:hAnsiTheme="majorHAnsi" w:cs="Times New Roman"/>
      <w:b/>
      <w:bCs/>
      <w:sz w:val="20"/>
      <w:szCs w:val="20"/>
      <w:lang w:val="sq-AL"/>
    </w:rPr>
  </w:style>
  <w:style w:type="table" w:customStyle="1" w:styleId="GridTable1Light2">
    <w:name w:val="Grid Table 1 Light2"/>
    <w:basedOn w:val="TableNormal"/>
    <w:uiPriority w:val="46"/>
    <w:rsid w:val="00CF44A5"/>
    <w:pPr>
      <w:spacing w:after="0" w:line="240" w:lineRule="auto"/>
    </w:pPr>
    <w:rPr>
      <w:rFonts w:ascii="Segoe UI Semilight" w:hAnsi="Segoe UI Semilight" w:cs="Times New Roman"/>
      <w:sz w:val="20"/>
      <w:szCs w:val="24"/>
      <w:lang w:val="sq-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6673762645ydpc567efcfyiv5357277161msonormal">
    <w:name w:val="yiv6673762645ydpc567efcfyiv5357277161msonormal"/>
    <w:basedOn w:val="Normal"/>
    <w:rsid w:val="00CF44A5"/>
    <w:pPr>
      <w:spacing w:before="100" w:beforeAutospacing="1" w:after="100" w:afterAutospacing="1"/>
      <w:contextualSpacing w:val="0"/>
      <w:jc w:val="left"/>
    </w:pPr>
    <w:rPr>
      <w:rFonts w:ascii="Times New Roman" w:eastAsia="Times New Roman" w:hAnsi="Times New Roman"/>
      <w:sz w:val="24"/>
      <w:lang w:eastAsia="hr-HR"/>
    </w:rPr>
  </w:style>
  <w:style w:type="paragraph" w:customStyle="1" w:styleId="yiv6673762645ydpc567efcfyiv5357277161ydpe1701c7fmsonormal">
    <w:name w:val="yiv6673762645ydpc567efcfyiv5357277161ydpe1701c7fmsonormal"/>
    <w:basedOn w:val="Normal"/>
    <w:rsid w:val="00CF44A5"/>
    <w:pPr>
      <w:spacing w:before="100" w:beforeAutospacing="1" w:after="100" w:afterAutospacing="1"/>
      <w:contextualSpacing w:val="0"/>
      <w:jc w:val="left"/>
    </w:pPr>
    <w:rPr>
      <w:rFonts w:ascii="Times New Roman" w:eastAsia="Times New Roman" w:hAnsi="Times New Roman"/>
      <w:sz w:val="24"/>
      <w:lang w:eastAsia="hr-HR"/>
    </w:rPr>
  </w:style>
  <w:style w:type="paragraph" w:styleId="Header">
    <w:name w:val="header"/>
    <w:basedOn w:val="Normal"/>
    <w:link w:val="HeaderChar"/>
    <w:uiPriority w:val="99"/>
    <w:unhideWhenUsed/>
    <w:rsid w:val="00CF44A5"/>
    <w:pPr>
      <w:tabs>
        <w:tab w:val="center" w:pos="4536"/>
        <w:tab w:val="right" w:pos="9072"/>
      </w:tabs>
    </w:pPr>
  </w:style>
  <w:style w:type="character" w:customStyle="1" w:styleId="HeaderChar">
    <w:name w:val="Header Char"/>
    <w:basedOn w:val="DefaultParagraphFont"/>
    <w:link w:val="Header"/>
    <w:uiPriority w:val="99"/>
    <w:rsid w:val="00CF44A5"/>
    <w:rPr>
      <w:rFonts w:asciiTheme="majorHAnsi" w:hAnsiTheme="majorHAnsi" w:cs="Times New Roman"/>
      <w:szCs w:val="24"/>
      <w:lang w:val="sq-AL"/>
    </w:rPr>
  </w:style>
  <w:style w:type="paragraph" w:styleId="Footer">
    <w:name w:val="footer"/>
    <w:basedOn w:val="Normal"/>
    <w:link w:val="FooterChar"/>
    <w:uiPriority w:val="99"/>
    <w:unhideWhenUsed/>
    <w:rsid w:val="00CF44A5"/>
    <w:pPr>
      <w:tabs>
        <w:tab w:val="center" w:pos="4536"/>
        <w:tab w:val="right" w:pos="9072"/>
      </w:tabs>
    </w:pPr>
  </w:style>
  <w:style w:type="character" w:customStyle="1" w:styleId="FooterChar">
    <w:name w:val="Footer Char"/>
    <w:basedOn w:val="DefaultParagraphFont"/>
    <w:link w:val="Footer"/>
    <w:uiPriority w:val="99"/>
    <w:rsid w:val="00CF44A5"/>
    <w:rPr>
      <w:rFonts w:asciiTheme="majorHAnsi" w:hAnsiTheme="majorHAnsi" w:cs="Times New Roman"/>
      <w:szCs w:val="24"/>
      <w:lang w:val="sq-AL"/>
    </w:rPr>
  </w:style>
  <w:style w:type="paragraph" w:styleId="Revision">
    <w:name w:val="Revision"/>
    <w:hidden/>
    <w:uiPriority w:val="99"/>
    <w:semiHidden/>
    <w:rsid w:val="00CF44A5"/>
    <w:pPr>
      <w:spacing w:after="0" w:line="240" w:lineRule="auto"/>
    </w:pPr>
    <w:rPr>
      <w:rFonts w:asciiTheme="majorHAnsi" w:hAnsiTheme="majorHAnsi" w:cs="Times New Roman"/>
      <w:szCs w:val="24"/>
      <w:lang w:val="sq-AL"/>
    </w:rPr>
  </w:style>
  <w:style w:type="character" w:customStyle="1" w:styleId="UnresolvedMention3">
    <w:name w:val="Unresolved Mention3"/>
    <w:basedOn w:val="DefaultParagraphFont"/>
    <w:uiPriority w:val="99"/>
    <w:semiHidden/>
    <w:unhideWhenUsed/>
    <w:rsid w:val="00CF44A5"/>
    <w:rPr>
      <w:color w:val="605E5C"/>
      <w:shd w:val="clear" w:color="auto" w:fill="E1DFDD"/>
    </w:rPr>
  </w:style>
  <w:style w:type="character" w:customStyle="1" w:styleId="UnresolvedMention4">
    <w:name w:val="Unresolved Mention4"/>
    <w:basedOn w:val="DefaultParagraphFont"/>
    <w:uiPriority w:val="99"/>
    <w:semiHidden/>
    <w:unhideWhenUsed/>
    <w:rsid w:val="00CF44A5"/>
    <w:rPr>
      <w:color w:val="605E5C"/>
      <w:shd w:val="clear" w:color="auto" w:fill="E1DFDD"/>
    </w:rPr>
  </w:style>
  <w:style w:type="paragraph" w:styleId="TOCHeading">
    <w:name w:val="TOC Heading"/>
    <w:basedOn w:val="Heading1"/>
    <w:next w:val="Normal"/>
    <w:uiPriority w:val="39"/>
    <w:unhideWhenUsed/>
    <w:qFormat/>
    <w:rsid w:val="00CF44A5"/>
    <w:pPr>
      <w:spacing w:before="240" w:after="0" w:line="259" w:lineRule="auto"/>
      <w:contextualSpacing w:val="0"/>
      <w:jc w:val="left"/>
      <w:outlineLvl w:val="9"/>
    </w:pPr>
    <w:rPr>
      <w:b w:val="0"/>
      <w:color w:val="2E74B5" w:themeColor="accent1" w:themeShade="BF"/>
      <w:lang w:val="en-US"/>
    </w:rPr>
  </w:style>
  <w:style w:type="paragraph" w:styleId="TOC1">
    <w:name w:val="toc 1"/>
    <w:basedOn w:val="Normal"/>
    <w:next w:val="Normal"/>
    <w:autoRedefine/>
    <w:uiPriority w:val="39"/>
    <w:unhideWhenUsed/>
    <w:rsid w:val="00CF44A5"/>
    <w:pPr>
      <w:spacing w:after="100"/>
    </w:pPr>
  </w:style>
  <w:style w:type="paragraph" w:styleId="TOC2">
    <w:name w:val="toc 2"/>
    <w:basedOn w:val="Normal"/>
    <w:next w:val="Normal"/>
    <w:autoRedefine/>
    <w:uiPriority w:val="39"/>
    <w:unhideWhenUsed/>
    <w:rsid w:val="004C0A33"/>
    <w:pPr>
      <w:tabs>
        <w:tab w:val="right" w:leader="dot" w:pos="9350"/>
      </w:tabs>
      <w:spacing w:after="100"/>
      <w:ind w:left="220"/>
      <w:jc w:val="left"/>
    </w:pPr>
  </w:style>
  <w:style w:type="paragraph" w:styleId="TOC3">
    <w:name w:val="toc 3"/>
    <w:basedOn w:val="Normal"/>
    <w:next w:val="Normal"/>
    <w:autoRedefine/>
    <w:uiPriority w:val="39"/>
    <w:unhideWhenUsed/>
    <w:rsid w:val="004C0A33"/>
    <w:pPr>
      <w:tabs>
        <w:tab w:val="right" w:leader="dot" w:pos="9350"/>
      </w:tabs>
      <w:spacing w:after="100"/>
      <w:ind w:left="440"/>
      <w:jc w:val="left"/>
    </w:pPr>
  </w:style>
  <w:style w:type="character" w:customStyle="1" w:styleId="fontstyle01">
    <w:name w:val="fontstyle01"/>
    <w:rsid w:val="00CF44A5"/>
    <w:rPr>
      <w:rFonts w:ascii="Exo-Black" w:hAnsi="Exo-Black" w:hint="default"/>
      <w:b/>
      <w:bCs/>
      <w:i w:val="0"/>
      <w:iCs w:val="0"/>
      <w:color w:val="ED1D24"/>
      <w:sz w:val="26"/>
      <w:szCs w:val="26"/>
    </w:rPr>
  </w:style>
  <w:style w:type="character" w:customStyle="1" w:styleId="UnresolvedMention5">
    <w:name w:val="Unresolved Mention5"/>
    <w:basedOn w:val="DefaultParagraphFont"/>
    <w:uiPriority w:val="99"/>
    <w:semiHidden/>
    <w:unhideWhenUsed/>
    <w:rsid w:val="00CF44A5"/>
    <w:rPr>
      <w:color w:val="605E5C"/>
      <w:shd w:val="clear" w:color="auto" w:fill="E1DFDD"/>
    </w:rPr>
  </w:style>
  <w:style w:type="character" w:styleId="PageNumber">
    <w:name w:val="page number"/>
    <w:uiPriority w:val="99"/>
    <w:rsid w:val="003956FE"/>
    <w:rPr>
      <w:rFonts w:cs="Times New Roman"/>
    </w:rPr>
  </w:style>
  <w:style w:type="paragraph" w:styleId="BodyText2">
    <w:name w:val="Body Text 2"/>
    <w:basedOn w:val="Normal"/>
    <w:link w:val="BodyText2Char"/>
    <w:uiPriority w:val="99"/>
    <w:unhideWhenUsed/>
    <w:rsid w:val="003956FE"/>
    <w:pPr>
      <w:spacing w:after="120" w:line="480" w:lineRule="auto"/>
      <w:contextualSpacing w:val="0"/>
      <w:jc w:val="left"/>
    </w:pPr>
    <w:rPr>
      <w:rFonts w:ascii="Calibri" w:eastAsia="MS Mincho" w:hAnsi="Calibri"/>
      <w:szCs w:val="22"/>
    </w:rPr>
  </w:style>
  <w:style w:type="character" w:customStyle="1" w:styleId="BodyText2Char">
    <w:name w:val="Body Text 2 Char"/>
    <w:basedOn w:val="DefaultParagraphFont"/>
    <w:link w:val="BodyText2"/>
    <w:uiPriority w:val="99"/>
    <w:rsid w:val="003956FE"/>
    <w:rPr>
      <w:rFonts w:ascii="Calibri" w:eastAsia="MS Mincho" w:hAnsi="Calibri" w:cs="Times New Roman"/>
      <w:lang w:val="sq-AL"/>
    </w:rPr>
  </w:style>
  <w:style w:type="paragraph" w:customStyle="1" w:styleId="Body">
    <w:name w:val="Body"/>
    <w:uiPriority w:val="99"/>
    <w:rsid w:val="003956F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Caption">
    <w:name w:val="caption"/>
    <w:basedOn w:val="Normal"/>
    <w:next w:val="Normal"/>
    <w:uiPriority w:val="99"/>
    <w:qFormat/>
    <w:rsid w:val="003956FE"/>
    <w:pPr>
      <w:contextualSpacing w:val="0"/>
      <w:jc w:val="center"/>
    </w:pPr>
    <w:rPr>
      <w:rFonts w:ascii="Times New Roman" w:eastAsia="MS Mincho" w:hAnsi="Times New Roman"/>
      <w:b/>
      <w:bCs/>
      <w:sz w:val="24"/>
    </w:rPr>
  </w:style>
  <w:style w:type="paragraph" w:styleId="Title">
    <w:name w:val="Title"/>
    <w:basedOn w:val="Normal"/>
    <w:link w:val="TitleChar"/>
    <w:uiPriority w:val="99"/>
    <w:qFormat/>
    <w:rsid w:val="003956FE"/>
    <w:pPr>
      <w:contextualSpacing w:val="0"/>
      <w:jc w:val="center"/>
    </w:pPr>
    <w:rPr>
      <w:rFonts w:ascii="Times New Roman" w:eastAsia="MS Mincho" w:hAnsi="Times New Roman"/>
      <w:b/>
      <w:bCs/>
      <w:sz w:val="24"/>
    </w:rPr>
  </w:style>
  <w:style w:type="character" w:customStyle="1" w:styleId="TitleChar">
    <w:name w:val="Title Char"/>
    <w:basedOn w:val="DefaultParagraphFont"/>
    <w:link w:val="Title"/>
    <w:uiPriority w:val="99"/>
    <w:rsid w:val="003956FE"/>
    <w:rPr>
      <w:rFonts w:ascii="Times New Roman" w:eastAsia="MS Mincho" w:hAnsi="Times New Roman" w:cs="Times New Roman"/>
      <w:b/>
      <w:bCs/>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qm.rks-gov.net/Portals/0/Final%20Report%20on%20Funding%20NGOs%20from%20state%20budget_ENG.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konsultimet.rks-gov.net/index.php" TargetMode="External"/><Relationship Id="rId17" Type="http://schemas.openxmlformats.org/officeDocument/2006/relationships/hyperlink" Target="https://zqm.rks-gov.net/Portals/0/Final%20Report%20on%20Funding%20NGOs%20from%20state%20budget_ENG.pdf" TargetMode="External"/><Relationship Id="rId2" Type="http://schemas.openxmlformats.org/officeDocument/2006/relationships/numbering" Target="numbering.xml"/><Relationship Id="rId16" Type="http://schemas.openxmlformats.org/officeDocument/2006/relationships/hyperlink" Target="http://konsultimet.rks-gov.net/index.php" TargetMode="External"/><Relationship Id="rId20" Type="http://schemas.openxmlformats.org/officeDocument/2006/relationships/hyperlink" Target="ojqfinancime.rks-gov.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1503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qm.rks-gov.net/Portals/0/Regulation%20on%20minimum%20standards.pdf" TargetMode="External"/><Relationship Id="rId23" Type="http://schemas.openxmlformats.org/officeDocument/2006/relationships/fontTable" Target="fontTable.xml"/><Relationship Id="rId10" Type="http://schemas.openxmlformats.org/officeDocument/2006/relationships/hyperlink" Target="http://konsultimet.rks-gov.net/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yeministri-ks.net/repository/docs/Strategjia_qeveritare_per_bashkepunim_me_shoqerine_civile_drafti_perfundimtar_(2).pdf" TargetMode="External"/><Relationship Id="rId14" Type="http://schemas.openxmlformats.org/officeDocument/2006/relationships/hyperlink" Target="https://gzk.rks-gov.net/ActDetail.aspx?ActID=14831" TargetMode="Externa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konsultimet.rks-gov.net/" TargetMode="External"/><Relationship Id="rId7" Type="http://schemas.openxmlformats.org/officeDocument/2006/relationships/hyperlink" Target="https://gzk.rks-gov.net/ActDetail.aspx?ActID=14831" TargetMode="External"/><Relationship Id="rId2" Type="http://schemas.openxmlformats.org/officeDocument/2006/relationships/hyperlink" Target="https://ec.europa.eu/neighbourhood-enlargement/sites/near/files/pdf/civil_society/doc_guidelines_cs_support.pdf" TargetMode="External"/><Relationship Id="rId1" Type="http://schemas.openxmlformats.org/officeDocument/2006/relationships/hyperlink" Target="https://ec.europa.eu/neighbourhood-enlargement/sites/near/files/pdf/civil_society/doc_guidelines_cs_support.pdf" TargetMode="External"/><Relationship Id="rId6" Type="http://schemas.openxmlformats.org/officeDocument/2006/relationships/hyperlink" Target="Konsultimet.rks-gov.net" TargetMode="External"/><Relationship Id="rId5" Type="http://schemas.openxmlformats.org/officeDocument/2006/relationships/hyperlink" Target="http://kryeministri-ks.net/wp-content/uploads/2018/06/Raporti-i-financimit-te-OJQve-2017-ALB.pdf" TargetMode="External"/><Relationship Id="rId4" Type="http://schemas.openxmlformats.org/officeDocument/2006/relationships/hyperlink" Target="http://konsultimet.rks-gov.net/Storage/Docs/Doc-5b6d8625e8a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9665-3DC7-4390-A7C8-208040BF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50</Pages>
  <Words>14368</Words>
  <Characters>81898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Trendeline Dreshaj</dc:creator>
  <cp:keywords/>
  <dc:description/>
  <cp:lastModifiedBy>Bekim Racaj</cp:lastModifiedBy>
  <cp:revision>85</cp:revision>
  <cp:lastPrinted>2019-01-23T12:11:00Z</cp:lastPrinted>
  <dcterms:created xsi:type="dcterms:W3CDTF">2018-12-28T12:24:00Z</dcterms:created>
  <dcterms:modified xsi:type="dcterms:W3CDTF">2019-01-30T14:48:00Z</dcterms:modified>
</cp:coreProperties>
</file>