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21A6" w14:textId="77777777" w:rsidR="00600440" w:rsidRPr="00E82B00" w:rsidRDefault="00600440" w:rsidP="00600440">
      <w:pPr>
        <w:spacing w:after="0" w:line="240" w:lineRule="auto"/>
        <w:jc w:val="center"/>
        <w:rPr>
          <w:rFonts w:ascii="Sylfaen" w:hAnsi="Sylfaen"/>
          <w:b/>
          <w:bCs/>
          <w:smallCaps/>
          <w:lang w:val="sq-AL"/>
        </w:rPr>
      </w:pPr>
      <w:bookmarkStart w:id="0" w:name="_GoBack"/>
      <w:bookmarkEnd w:id="0"/>
    </w:p>
    <w:p w14:paraId="04C97FED" w14:textId="77777777" w:rsidR="00600440" w:rsidRPr="00E82B00" w:rsidRDefault="00600440" w:rsidP="00600440">
      <w:pPr>
        <w:spacing w:after="0" w:line="240" w:lineRule="auto"/>
        <w:jc w:val="center"/>
        <w:rPr>
          <w:rFonts w:ascii="Sylfaen" w:hAnsi="Sylfaen"/>
          <w:b/>
          <w:bCs/>
          <w:smallCaps/>
          <w:lang w:val="sq-AL"/>
        </w:rPr>
      </w:pPr>
    </w:p>
    <w:p w14:paraId="413D576D" w14:textId="77777777" w:rsidR="00600440" w:rsidRPr="00E82B00" w:rsidRDefault="00600440" w:rsidP="00600440">
      <w:pPr>
        <w:spacing w:after="0" w:line="240" w:lineRule="auto"/>
        <w:ind w:left="-90"/>
        <w:jc w:val="center"/>
        <w:rPr>
          <w:rFonts w:ascii="Sylfaen" w:hAnsi="Sylfaen" w:cs="Book Antiqua"/>
          <w:lang w:val="sq-AL"/>
        </w:rPr>
      </w:pPr>
      <w:r w:rsidRPr="00E82B00">
        <w:rPr>
          <w:rFonts w:ascii="Sylfaen" w:hAnsi="Sylfaen" w:cs="Book Antiqua"/>
          <w:noProof/>
        </w:rPr>
        <w:drawing>
          <wp:inline distT="0" distB="0" distL="0" distR="0" wp14:anchorId="1276DA5D" wp14:editId="74A3D51C">
            <wp:extent cx="873760" cy="930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930910"/>
                    </a:xfrm>
                    <a:prstGeom prst="rect">
                      <a:avLst/>
                    </a:prstGeom>
                    <a:noFill/>
                    <a:ln>
                      <a:noFill/>
                    </a:ln>
                  </pic:spPr>
                </pic:pic>
              </a:graphicData>
            </a:graphic>
          </wp:inline>
        </w:drawing>
      </w:r>
    </w:p>
    <w:p w14:paraId="694FD081" w14:textId="77777777" w:rsidR="00600440" w:rsidRPr="00E82B00" w:rsidRDefault="00600440" w:rsidP="00600440">
      <w:pPr>
        <w:spacing w:after="0" w:line="240" w:lineRule="auto"/>
        <w:jc w:val="center"/>
        <w:rPr>
          <w:rFonts w:ascii="Sylfaen" w:eastAsia="MS Mincho" w:hAnsi="Sylfaen" w:cs="Times New Roman"/>
          <w:b/>
          <w:bCs/>
          <w:iCs/>
          <w:lang w:val="sq-AL" w:eastAsia="x-none"/>
        </w:rPr>
      </w:pPr>
      <w:r w:rsidRPr="00E82B00">
        <w:rPr>
          <w:rFonts w:ascii="Sylfaen" w:eastAsia="MS Mincho" w:hAnsi="Sylfaen" w:cs="Times New Roman"/>
          <w:b/>
          <w:bCs/>
          <w:iCs/>
          <w:lang w:val="sq-AL" w:eastAsia="x-none"/>
        </w:rPr>
        <w:t>Republika e Kosovës</w:t>
      </w:r>
    </w:p>
    <w:p w14:paraId="35FED1E3" w14:textId="77777777" w:rsidR="00600440" w:rsidRPr="00E82B00" w:rsidRDefault="00600440" w:rsidP="00600440">
      <w:pPr>
        <w:spacing w:after="0" w:line="240" w:lineRule="auto"/>
        <w:jc w:val="center"/>
        <w:rPr>
          <w:rFonts w:ascii="Sylfaen" w:eastAsia="MS Mincho" w:hAnsi="Sylfaen" w:cs="Times New Roman"/>
          <w:b/>
          <w:bCs/>
          <w:iCs/>
          <w:lang w:val="sq-AL" w:eastAsia="x-none"/>
        </w:rPr>
      </w:pPr>
      <w:r w:rsidRPr="00E82B00">
        <w:rPr>
          <w:rFonts w:ascii="Sylfaen" w:eastAsia="MS Mincho" w:hAnsi="Sylfaen" w:cs="Times New Roman"/>
          <w:b/>
          <w:bCs/>
          <w:iCs/>
          <w:lang w:val="sq-AL" w:eastAsia="x-none"/>
        </w:rPr>
        <w:t>Republika Kosova - Republic of Kosovo</w:t>
      </w:r>
    </w:p>
    <w:p w14:paraId="0BC6AFF5" w14:textId="77777777" w:rsidR="00600440" w:rsidRPr="00E82B00" w:rsidRDefault="00600440" w:rsidP="00600440">
      <w:pPr>
        <w:spacing w:after="0" w:line="240" w:lineRule="auto"/>
        <w:jc w:val="center"/>
        <w:rPr>
          <w:rFonts w:ascii="Sylfaen" w:eastAsia="MS Mincho" w:hAnsi="Sylfaen" w:cs="Times New Roman"/>
          <w:b/>
          <w:bCs/>
          <w:i/>
          <w:iCs/>
          <w:lang w:val="sq-AL" w:eastAsia="x-none"/>
        </w:rPr>
      </w:pPr>
      <w:r w:rsidRPr="00E82B00">
        <w:rPr>
          <w:rFonts w:ascii="Sylfaen" w:eastAsia="MS Mincho" w:hAnsi="Sylfaen" w:cs="Times New Roman"/>
          <w:b/>
          <w:bCs/>
          <w:i/>
          <w:iCs/>
          <w:lang w:val="sq-AL" w:eastAsia="x-none"/>
        </w:rPr>
        <w:t>Qeveria - Vlada - Government</w:t>
      </w:r>
    </w:p>
    <w:p w14:paraId="60591036" w14:textId="77777777" w:rsidR="008F39AB" w:rsidRPr="00E82B00" w:rsidRDefault="008F39AB" w:rsidP="008F39AB">
      <w:pPr>
        <w:pStyle w:val="CharCharCharCharCharChar"/>
        <w:spacing w:after="0" w:line="240" w:lineRule="auto"/>
        <w:jc w:val="center"/>
        <w:rPr>
          <w:rFonts w:ascii="Sylfaen" w:eastAsia="MS Mincho" w:hAnsi="Sylfaen" w:cs="Times New Roman"/>
          <w:b/>
          <w:bCs/>
          <w:i/>
          <w:iCs/>
          <w:sz w:val="22"/>
          <w:szCs w:val="22"/>
          <w:lang w:val="sq-AL"/>
        </w:rPr>
      </w:pPr>
      <w:r w:rsidRPr="00E82B00">
        <w:rPr>
          <w:rFonts w:ascii="Sylfaen" w:eastAsia="MS Mincho" w:hAnsi="Sylfaen" w:cs="Times New Roman"/>
          <w:b/>
          <w:bCs/>
          <w:i/>
          <w:iCs/>
          <w:sz w:val="22"/>
          <w:szCs w:val="22"/>
          <w:lang w:val="sq-AL"/>
        </w:rPr>
        <w:t>Zyra e Kryeministrit - Ured Premijera - Office of the Prime Minister</w:t>
      </w:r>
    </w:p>
    <w:p w14:paraId="53CFC906" w14:textId="77777777" w:rsidR="008F39AB" w:rsidRPr="00E82B00" w:rsidRDefault="008F39AB" w:rsidP="008F39AB">
      <w:pPr>
        <w:spacing w:line="276" w:lineRule="auto"/>
        <w:jc w:val="center"/>
        <w:rPr>
          <w:rFonts w:ascii="Sylfaen" w:eastAsia="MS Mincho" w:hAnsi="Sylfaen" w:cs="Book Antiqua"/>
          <w:color w:val="000000"/>
          <w:u w:val="single"/>
          <w:lang w:val="sq-AL"/>
        </w:rPr>
      </w:pPr>
      <w:r w:rsidRPr="00E82B00">
        <w:rPr>
          <w:rFonts w:ascii="Sylfaen" w:eastAsia="MS Mincho" w:hAnsi="Sylfaen" w:cs="Book Antiqua"/>
          <w:color w:val="000000"/>
          <w:u w:val="single"/>
          <w:lang w:val="sq-AL"/>
        </w:rPr>
        <w:t>Zyra për Qeverisje të Mirë/Kancelarija za Dobro Upravljanje/Office of Good Governance</w:t>
      </w:r>
    </w:p>
    <w:p w14:paraId="655FCA1D" w14:textId="77777777" w:rsidR="00600440" w:rsidRPr="00E82B00" w:rsidRDefault="00600440" w:rsidP="00600440">
      <w:pPr>
        <w:spacing w:after="0" w:line="240" w:lineRule="auto"/>
        <w:rPr>
          <w:rFonts w:ascii="Sylfaen" w:hAnsi="Sylfaen"/>
          <w:b/>
          <w:bCs/>
          <w:smallCaps/>
          <w:lang w:val="sq-AL"/>
        </w:rPr>
      </w:pPr>
    </w:p>
    <w:p w14:paraId="26D999B2" w14:textId="77777777" w:rsidR="008F39AB" w:rsidRPr="00E82B00" w:rsidRDefault="008F39AB" w:rsidP="00600440">
      <w:pPr>
        <w:spacing w:after="0" w:line="240" w:lineRule="auto"/>
        <w:rPr>
          <w:rFonts w:ascii="Sylfaen" w:hAnsi="Sylfaen"/>
          <w:b/>
          <w:bCs/>
          <w:smallCaps/>
          <w:sz w:val="28"/>
          <w:szCs w:val="28"/>
          <w:lang w:val="sq-AL"/>
        </w:rPr>
      </w:pPr>
    </w:p>
    <w:p w14:paraId="04EA0F5E" w14:textId="77777777" w:rsidR="00600440" w:rsidRPr="00E82B00" w:rsidRDefault="00600440" w:rsidP="008F39AB">
      <w:pPr>
        <w:spacing w:after="0" w:line="240" w:lineRule="auto"/>
        <w:jc w:val="center"/>
        <w:rPr>
          <w:rFonts w:ascii="Sylfaen" w:hAnsi="Sylfaen"/>
          <w:b/>
          <w:bCs/>
          <w:smallCaps/>
          <w:sz w:val="28"/>
          <w:szCs w:val="28"/>
          <w:lang w:val="sq-AL"/>
        </w:rPr>
      </w:pPr>
    </w:p>
    <w:p w14:paraId="225C4A7D" w14:textId="77777777" w:rsidR="008F39AB" w:rsidRPr="00E82B00" w:rsidRDefault="00600440" w:rsidP="008F39AB">
      <w:pPr>
        <w:spacing w:after="0" w:line="240" w:lineRule="auto"/>
        <w:jc w:val="center"/>
        <w:rPr>
          <w:rFonts w:ascii="Sylfaen" w:hAnsi="Sylfaen" w:cs="Times New Roman"/>
          <w:b/>
          <w:bCs/>
          <w:smallCaps/>
          <w:sz w:val="28"/>
          <w:szCs w:val="28"/>
          <w:lang w:val="sq-AL"/>
        </w:rPr>
      </w:pPr>
      <w:r w:rsidRPr="00E82B00">
        <w:rPr>
          <w:rFonts w:ascii="Sylfaen" w:hAnsi="Sylfaen" w:cs="Times New Roman"/>
          <w:b/>
          <w:bCs/>
          <w:smallCaps/>
          <w:sz w:val="28"/>
          <w:szCs w:val="28"/>
          <w:lang w:val="sq-AL"/>
        </w:rPr>
        <w:t>RAPORT  NGA PROCESI  I  KONSULTIMIT</w:t>
      </w:r>
    </w:p>
    <w:p w14:paraId="49A25FDF" w14:textId="77777777" w:rsidR="008F39AB" w:rsidRPr="00E82B00" w:rsidRDefault="000E0A5C" w:rsidP="008F39AB">
      <w:pPr>
        <w:spacing w:after="0" w:line="240" w:lineRule="auto"/>
        <w:jc w:val="center"/>
        <w:rPr>
          <w:rFonts w:ascii="Sylfaen" w:hAnsi="Sylfaen"/>
          <w:b/>
          <w:sz w:val="28"/>
          <w:szCs w:val="28"/>
          <w:lang w:val="sq-AL"/>
        </w:rPr>
      </w:pPr>
      <w:r w:rsidRPr="00E82B00">
        <w:rPr>
          <w:rFonts w:ascii="Sylfaen" w:hAnsi="Sylfaen"/>
          <w:b/>
          <w:sz w:val="28"/>
          <w:szCs w:val="28"/>
          <w:lang w:val="sq-AL"/>
        </w:rPr>
        <w:t xml:space="preserve">PËR </w:t>
      </w:r>
      <w:r w:rsidR="008F39AB" w:rsidRPr="00E82B00">
        <w:rPr>
          <w:rFonts w:ascii="Sylfaen" w:hAnsi="Sylfaen"/>
          <w:b/>
          <w:sz w:val="28"/>
          <w:szCs w:val="28"/>
          <w:lang w:val="sq-AL"/>
        </w:rPr>
        <w:t>STRATEGJINË QEVERITARE PËR BASHKËPUNIM ME SHOQËRINË CIVILE 2019-20</w:t>
      </w:r>
      <w:r w:rsidR="00E57EC7" w:rsidRPr="00E82B00">
        <w:rPr>
          <w:rFonts w:ascii="Sylfaen" w:hAnsi="Sylfaen"/>
          <w:b/>
          <w:sz w:val="28"/>
          <w:szCs w:val="28"/>
          <w:lang w:val="sq-AL"/>
        </w:rPr>
        <w:t>2</w:t>
      </w:r>
      <w:r w:rsidR="008F39AB" w:rsidRPr="00E82B00">
        <w:rPr>
          <w:rFonts w:ascii="Sylfaen" w:hAnsi="Sylfaen"/>
          <w:b/>
          <w:sz w:val="28"/>
          <w:szCs w:val="28"/>
          <w:lang w:val="sq-AL"/>
        </w:rPr>
        <w:t xml:space="preserve">3 </w:t>
      </w:r>
    </w:p>
    <w:p w14:paraId="7544CC45" w14:textId="77777777" w:rsidR="008F39AB" w:rsidRPr="00E82B00" w:rsidRDefault="008F39AB" w:rsidP="008F39AB">
      <w:pPr>
        <w:spacing w:after="0" w:line="240" w:lineRule="auto"/>
        <w:jc w:val="center"/>
        <w:rPr>
          <w:rFonts w:ascii="Sylfaen" w:hAnsi="Sylfaen"/>
          <w:b/>
          <w:sz w:val="28"/>
          <w:szCs w:val="28"/>
          <w:lang w:val="sq-AL"/>
        </w:rPr>
      </w:pPr>
      <w:r w:rsidRPr="00E82B00">
        <w:rPr>
          <w:rFonts w:ascii="Sylfaen" w:hAnsi="Sylfaen"/>
          <w:b/>
          <w:sz w:val="28"/>
          <w:szCs w:val="28"/>
          <w:lang w:val="sq-AL"/>
        </w:rPr>
        <w:t xml:space="preserve">DHE </w:t>
      </w:r>
    </w:p>
    <w:p w14:paraId="6B5D603C" w14:textId="77777777" w:rsidR="008F39AB" w:rsidRPr="00E82B00" w:rsidRDefault="008F39AB" w:rsidP="008F39AB">
      <w:pPr>
        <w:spacing w:after="0" w:line="240" w:lineRule="auto"/>
        <w:jc w:val="center"/>
        <w:rPr>
          <w:rFonts w:ascii="Sylfaen" w:hAnsi="Sylfaen"/>
          <w:sz w:val="28"/>
          <w:szCs w:val="28"/>
          <w:lang w:val="sq-AL"/>
        </w:rPr>
      </w:pPr>
      <w:r w:rsidRPr="00E82B00">
        <w:rPr>
          <w:rFonts w:ascii="Sylfaen" w:hAnsi="Sylfaen"/>
          <w:b/>
          <w:sz w:val="28"/>
          <w:szCs w:val="28"/>
          <w:lang w:val="sq-AL"/>
        </w:rPr>
        <w:t>PLANIN E VEPRIMIT 2019-20121</w:t>
      </w:r>
    </w:p>
    <w:p w14:paraId="7841D0A9" w14:textId="77777777" w:rsidR="00600440" w:rsidRPr="00E82B00" w:rsidRDefault="00600440" w:rsidP="008F39AB">
      <w:pPr>
        <w:spacing w:after="0" w:line="240" w:lineRule="auto"/>
        <w:jc w:val="center"/>
        <w:rPr>
          <w:rFonts w:ascii="Sylfaen" w:hAnsi="Sylfaen"/>
          <w:sz w:val="28"/>
          <w:szCs w:val="28"/>
          <w:lang w:val="sq-AL"/>
        </w:rPr>
      </w:pPr>
    </w:p>
    <w:p w14:paraId="0FEECEC5" w14:textId="77777777" w:rsidR="00600440" w:rsidRPr="00E82B00" w:rsidRDefault="00600440" w:rsidP="008F39AB">
      <w:pPr>
        <w:spacing w:after="0" w:line="240" w:lineRule="auto"/>
        <w:jc w:val="center"/>
        <w:rPr>
          <w:rFonts w:ascii="Sylfaen" w:hAnsi="Sylfaen"/>
          <w:sz w:val="28"/>
          <w:szCs w:val="28"/>
          <w:lang w:val="sq-AL"/>
        </w:rPr>
      </w:pPr>
    </w:p>
    <w:p w14:paraId="577F1A48" w14:textId="77777777" w:rsidR="00600440" w:rsidRPr="00E82B00" w:rsidRDefault="00600440" w:rsidP="008F39AB">
      <w:pPr>
        <w:spacing w:after="0" w:line="240" w:lineRule="auto"/>
        <w:jc w:val="center"/>
        <w:rPr>
          <w:rFonts w:ascii="Sylfaen" w:hAnsi="Sylfaen"/>
          <w:sz w:val="28"/>
          <w:szCs w:val="28"/>
          <w:lang w:val="sq-AL"/>
        </w:rPr>
      </w:pPr>
    </w:p>
    <w:p w14:paraId="42201745" w14:textId="77777777" w:rsidR="00600440" w:rsidRPr="00E82B00" w:rsidRDefault="00600440" w:rsidP="008F39AB">
      <w:pPr>
        <w:spacing w:after="0" w:line="240" w:lineRule="auto"/>
        <w:jc w:val="center"/>
        <w:rPr>
          <w:rFonts w:ascii="Sylfaen" w:hAnsi="Sylfaen"/>
          <w:sz w:val="28"/>
          <w:szCs w:val="28"/>
          <w:lang w:val="sq-AL"/>
        </w:rPr>
      </w:pPr>
    </w:p>
    <w:p w14:paraId="6429871C" w14:textId="77777777" w:rsidR="00600440" w:rsidRPr="00E82B00" w:rsidRDefault="00600440" w:rsidP="008F39AB">
      <w:pPr>
        <w:spacing w:after="0" w:line="240" w:lineRule="auto"/>
        <w:jc w:val="center"/>
        <w:rPr>
          <w:rFonts w:ascii="Sylfaen" w:hAnsi="Sylfaen"/>
          <w:sz w:val="28"/>
          <w:szCs w:val="28"/>
          <w:lang w:val="sq-AL"/>
        </w:rPr>
      </w:pPr>
    </w:p>
    <w:p w14:paraId="28311D3B" w14:textId="77777777" w:rsidR="00600440" w:rsidRPr="00E82B00" w:rsidRDefault="00600440" w:rsidP="00600440">
      <w:pPr>
        <w:spacing w:after="0" w:line="240" w:lineRule="auto"/>
        <w:jc w:val="both"/>
        <w:rPr>
          <w:rFonts w:ascii="Sylfaen" w:hAnsi="Sylfaen"/>
          <w:sz w:val="28"/>
          <w:szCs w:val="28"/>
          <w:lang w:val="sq-AL"/>
        </w:rPr>
      </w:pPr>
    </w:p>
    <w:p w14:paraId="7F3B3506" w14:textId="77777777" w:rsidR="00600440" w:rsidRPr="00E82B00" w:rsidRDefault="00600440" w:rsidP="00600440">
      <w:pPr>
        <w:spacing w:after="0" w:line="240" w:lineRule="auto"/>
        <w:rPr>
          <w:rFonts w:ascii="Sylfaen" w:hAnsi="Sylfaen"/>
          <w:lang w:val="sq-AL"/>
        </w:rPr>
      </w:pPr>
    </w:p>
    <w:p w14:paraId="1D6E2A28" w14:textId="77777777" w:rsidR="00600440" w:rsidRPr="00E82B00" w:rsidRDefault="00600440" w:rsidP="00600440">
      <w:pPr>
        <w:spacing w:after="0" w:line="240" w:lineRule="auto"/>
        <w:rPr>
          <w:rFonts w:ascii="Sylfaen" w:hAnsi="Sylfaen"/>
          <w:lang w:val="sq-AL"/>
        </w:rPr>
      </w:pPr>
    </w:p>
    <w:p w14:paraId="2654077E" w14:textId="77777777" w:rsidR="00600440" w:rsidRPr="00E82B00" w:rsidRDefault="008F39AB" w:rsidP="008F39AB">
      <w:pPr>
        <w:spacing w:after="0" w:line="240" w:lineRule="auto"/>
        <w:jc w:val="center"/>
        <w:rPr>
          <w:rFonts w:ascii="Sylfaen" w:hAnsi="Sylfaen"/>
          <w:lang w:val="sq-AL"/>
        </w:rPr>
      </w:pPr>
      <w:r w:rsidRPr="00E82B00">
        <w:rPr>
          <w:rFonts w:ascii="Sylfaen" w:hAnsi="Sylfaen"/>
          <w:lang w:val="sq-AL"/>
        </w:rPr>
        <w:t xml:space="preserve">Janar 2019 </w:t>
      </w:r>
    </w:p>
    <w:p w14:paraId="00B020C7" w14:textId="77777777" w:rsidR="002459FF" w:rsidRPr="00E82B00" w:rsidRDefault="002459FF" w:rsidP="00600440">
      <w:pPr>
        <w:spacing w:after="0" w:line="240" w:lineRule="auto"/>
        <w:jc w:val="center"/>
        <w:rPr>
          <w:rFonts w:ascii="Sylfaen" w:hAnsi="Sylfaen" w:cs="Times New Roman"/>
          <w:b/>
          <w:lang w:val="sq-AL"/>
        </w:rPr>
      </w:pPr>
    </w:p>
    <w:p w14:paraId="7FE62803" w14:textId="77777777" w:rsidR="00600440" w:rsidRPr="00E82B00" w:rsidRDefault="00600440" w:rsidP="00600440">
      <w:pPr>
        <w:spacing w:after="0" w:line="240" w:lineRule="auto"/>
        <w:jc w:val="center"/>
        <w:rPr>
          <w:rFonts w:ascii="Sylfaen" w:hAnsi="Sylfaen" w:cs="Times New Roman"/>
          <w:b/>
          <w:lang w:val="sq-AL"/>
        </w:rPr>
      </w:pPr>
      <w:r w:rsidRPr="00E82B00">
        <w:rPr>
          <w:rFonts w:ascii="Sylfaen" w:hAnsi="Sylfaen" w:cs="Times New Roman"/>
          <w:b/>
          <w:lang w:val="sq-AL"/>
        </w:rPr>
        <w:t>Hyrja/sfondi</w:t>
      </w:r>
    </w:p>
    <w:p w14:paraId="3B9A045C" w14:textId="77777777" w:rsidR="00A97410" w:rsidRPr="00E82B00" w:rsidRDefault="00A97410" w:rsidP="008F39AB">
      <w:pPr>
        <w:spacing w:after="0" w:line="276" w:lineRule="auto"/>
        <w:contextualSpacing/>
        <w:jc w:val="both"/>
        <w:rPr>
          <w:rFonts w:ascii="Sylfaen" w:hAnsi="Sylfaen" w:cstheme="majorHAnsi"/>
          <w:color w:val="000000" w:themeColor="text1"/>
          <w:lang w:val="sq-AL"/>
        </w:rPr>
      </w:pPr>
    </w:p>
    <w:p w14:paraId="1EA619D0" w14:textId="77777777" w:rsidR="00A97410" w:rsidRPr="00E82B00" w:rsidRDefault="00A97410" w:rsidP="008F39AB">
      <w:pPr>
        <w:spacing w:after="0" w:line="276" w:lineRule="auto"/>
        <w:contextualSpacing/>
        <w:jc w:val="both"/>
        <w:rPr>
          <w:rFonts w:ascii="Sylfaen" w:hAnsi="Sylfaen" w:cstheme="majorHAnsi"/>
          <w:color w:val="000000" w:themeColor="text1"/>
          <w:lang w:val="sq-AL"/>
        </w:rPr>
      </w:pPr>
    </w:p>
    <w:p w14:paraId="6538F29D" w14:textId="77777777" w:rsidR="00E57EC7" w:rsidRPr="00E82B00" w:rsidRDefault="008F39AB" w:rsidP="00E57EC7">
      <w:pPr>
        <w:spacing w:after="0" w:line="276" w:lineRule="auto"/>
        <w:ind w:firstLine="720"/>
        <w:contextualSpacing/>
        <w:jc w:val="both"/>
        <w:rPr>
          <w:rFonts w:ascii="Sylfaen" w:hAnsi="Sylfaen" w:cstheme="majorHAnsi"/>
          <w:color w:val="000000" w:themeColor="text1"/>
          <w:lang w:val="sq-AL"/>
        </w:rPr>
      </w:pPr>
      <w:r w:rsidRPr="00E82B00">
        <w:rPr>
          <w:rFonts w:ascii="Sylfaen" w:hAnsi="Sylfaen" w:cstheme="majorHAnsi"/>
          <w:color w:val="000000" w:themeColor="text1"/>
          <w:lang w:val="sq-AL"/>
        </w:rPr>
        <w:t xml:space="preserve">Krijimi i një kornize përkrahëse ligjore, institucionale dhe financiare për bashkëpunim në mes të qeverisë dhe shoqërisë civile është një ndër treguesit thelbësor të pjekurisë së demokracive moderne. Shoqëria civile e fuqizuar dhe aktive mund të kontribuojë në formësimin e një legjislacioni më të mirë, ofrimin e shërbimeve më të mira publike, sigurimin e monitorimit më efikas të zbatimit të reformave kyçe të politikave dhe përmirësimin e vullnetarizmit qytetar. Roli i shoqërisë civile në procesin e integrimit evropian në parim është përfshirë në një sërë dokumentesh zyrtare të BE-së dhe të Qeverisë së Republikës së Kosovës, ku partneriteti në mes të qeverisë dhe shoqërisë civile është kthyer në prioritet të saj. Me miratimin e </w:t>
      </w:r>
      <w:r w:rsidRPr="00E82B00">
        <w:rPr>
          <w:rFonts w:ascii="Sylfaen" w:hAnsi="Sylfaen" w:cstheme="majorHAnsi"/>
          <w:i/>
          <w:iCs/>
          <w:color w:val="000000" w:themeColor="text1"/>
          <w:lang w:val="sq-AL"/>
        </w:rPr>
        <w:t>Strategjisë së re Qeveritare për Bashkëpunim me shoqërinë civile 2019-2023</w:t>
      </w:r>
      <w:r w:rsidRPr="00E82B00">
        <w:rPr>
          <w:rFonts w:ascii="Sylfaen" w:hAnsi="Sylfaen" w:cstheme="majorHAnsi"/>
          <w:color w:val="000000" w:themeColor="text1"/>
          <w:lang w:val="sq-AL"/>
        </w:rPr>
        <w:t xml:space="preserve">, Qeveria e Republikës së Kosovës tregon përkushtimin e saj për të investuar burime plotësuese financiare dhe njerëzore me qëllim të krijimit të mekanizmave funksional për një bashkëpunim të strukturuar në mes të qeverisë dhe organizatave të shoqërisë civile. </w:t>
      </w:r>
    </w:p>
    <w:p w14:paraId="54C057C3" w14:textId="77777777" w:rsidR="008F39AB" w:rsidRPr="00E82B00" w:rsidRDefault="008F39AB" w:rsidP="008F39AB">
      <w:pPr>
        <w:spacing w:after="200" w:line="276" w:lineRule="auto"/>
        <w:jc w:val="both"/>
        <w:rPr>
          <w:rFonts w:ascii="Sylfaen" w:eastAsia="MS Mincho" w:hAnsi="Sylfaen" w:cs="Times New Roman"/>
          <w:lang w:val="sq-AL" w:eastAsia="sr-Latn-CS"/>
        </w:rPr>
      </w:pPr>
      <w:r w:rsidRPr="00E82B00">
        <w:rPr>
          <w:rFonts w:ascii="Sylfaen" w:eastAsia="Times New Roman" w:hAnsi="Sylfaen" w:cs="Times New Roman"/>
          <w:lang w:val="sq-AL" w:eastAsia="sr-Latn-CS"/>
        </w:rPr>
        <w:t xml:space="preserve">Strategjia qeveritare për bashkëpunim me shoqërinë civile 2019-2023 dhe Planin e Veprimit 2019-2021, </w:t>
      </w:r>
      <w:r w:rsidRPr="00E82B00">
        <w:rPr>
          <w:rFonts w:ascii="Sylfaen" w:eastAsia="MS Mincho" w:hAnsi="Sylfaen" w:cs="Times New Roman"/>
          <w:lang w:val="sq-AL" w:eastAsia="sr-Latn-CS"/>
        </w:rPr>
        <w:t xml:space="preserve">nga aspekti i përmbajtjes dhe strukturës, </w:t>
      </w:r>
      <w:r w:rsidRPr="00E82B00">
        <w:rPr>
          <w:rFonts w:ascii="Sylfaen" w:eastAsia="Times New Roman" w:hAnsi="Sylfaen" w:cs="Times New Roman"/>
          <w:lang w:val="sq-AL" w:eastAsia="sr-Latn-CS"/>
        </w:rPr>
        <w:t xml:space="preserve">është </w:t>
      </w:r>
      <w:r w:rsidR="00EE709B" w:rsidRPr="00E82B00">
        <w:rPr>
          <w:rFonts w:ascii="Sylfaen" w:eastAsia="Times New Roman" w:hAnsi="Sylfaen" w:cs="Times New Roman"/>
          <w:lang w:val="sq-AL" w:eastAsia="sr-Latn-CS"/>
        </w:rPr>
        <w:t>e</w:t>
      </w:r>
      <w:r w:rsidRPr="00E82B00">
        <w:rPr>
          <w:rFonts w:ascii="Sylfaen" w:eastAsia="Times New Roman" w:hAnsi="Sylfaen" w:cs="Times New Roman"/>
          <w:lang w:val="sq-AL" w:eastAsia="sr-Latn-CS"/>
        </w:rPr>
        <w:t xml:space="preserve"> harmoniz</w:t>
      </w:r>
      <w:r w:rsidR="00EE709B" w:rsidRPr="00E82B00">
        <w:rPr>
          <w:rFonts w:ascii="Sylfaen" w:eastAsia="Times New Roman" w:hAnsi="Sylfaen" w:cs="Times New Roman"/>
          <w:lang w:val="sq-AL" w:eastAsia="sr-Latn-CS"/>
        </w:rPr>
        <w:t>uar</w:t>
      </w:r>
      <w:r w:rsidRPr="00E82B00">
        <w:rPr>
          <w:rFonts w:ascii="Sylfaen" w:eastAsia="Times New Roman" w:hAnsi="Sylfaen" w:cs="Times New Roman"/>
          <w:lang w:val="sq-AL" w:eastAsia="sr-Latn-CS"/>
        </w:rPr>
        <w:t xml:space="preserve"> me</w:t>
      </w:r>
      <w:r w:rsidRPr="00E82B00">
        <w:rPr>
          <w:rFonts w:ascii="Sylfaen" w:eastAsia="MS Mincho" w:hAnsi="Sylfaen" w:cs="Times New Roman"/>
          <w:lang w:val="sq-AL" w:eastAsia="sr-Latn-CS"/>
        </w:rPr>
        <w:t xml:space="preserve"> UA 07/2018</w:t>
      </w:r>
      <w:r w:rsidR="00DE654D" w:rsidRPr="00E82B00">
        <w:rPr>
          <w:rFonts w:ascii="Sylfaen" w:eastAsia="MS Mincho" w:hAnsi="Sylfaen" w:cs="Times New Roman"/>
          <w:lang w:val="sq-AL" w:eastAsia="sr-Latn-CS"/>
        </w:rPr>
        <w:t>,</w:t>
      </w:r>
      <w:r w:rsidR="00DE654D" w:rsidRPr="00E82B00">
        <w:rPr>
          <w:lang w:val="sq-AL"/>
        </w:rPr>
        <w:t xml:space="preserve"> për Planifikimin dhe Hartimin e Dokumenteve Strategjike dhe Planeve të Veprimit, </w:t>
      </w:r>
      <w:r w:rsidR="00DE654D" w:rsidRPr="00E82B00">
        <w:rPr>
          <w:rFonts w:ascii="Sylfaen" w:hAnsi="Sylfaen" w:cstheme="majorHAnsi"/>
          <w:color w:val="000000" w:themeColor="text1"/>
          <w:lang w:val="sq-AL"/>
        </w:rPr>
        <w:t>Rregulloren për Standardet Minimale për Konsultimet Publike</w:t>
      </w:r>
      <w:r w:rsidRPr="00E82B00">
        <w:rPr>
          <w:rFonts w:ascii="Sylfaen" w:eastAsia="MS Mincho" w:hAnsi="Sylfaen" w:cs="Times New Roman"/>
          <w:lang w:val="sq-AL" w:eastAsia="sr-Latn-CS"/>
        </w:rPr>
        <w:t xml:space="preserve"> por edhe ka marrë miratimin e MF për buxhetin që është ndarë për të gjitha këto aktivitete që janë të parapara.</w:t>
      </w:r>
    </w:p>
    <w:p w14:paraId="71F3AECD" w14:textId="77777777" w:rsidR="008F39AB" w:rsidRPr="00E82B00" w:rsidRDefault="008F39AB" w:rsidP="008F39AB">
      <w:pPr>
        <w:spacing w:after="200" w:line="276" w:lineRule="auto"/>
        <w:jc w:val="both"/>
        <w:rPr>
          <w:rFonts w:ascii="Sylfaen" w:eastAsia="Times New Roman" w:hAnsi="Sylfaen" w:cs="Times New Roman"/>
          <w:lang w:val="sq-AL" w:eastAsia="sr-Latn-CS"/>
        </w:rPr>
      </w:pPr>
      <w:r w:rsidRPr="00E82B00">
        <w:rPr>
          <w:rFonts w:ascii="Sylfaen" w:eastAsia="MS Mincho" w:hAnsi="Sylfaen" w:cs="Times New Roman"/>
          <w:lang w:val="sq-AL" w:eastAsia="sr-Latn-CS"/>
        </w:rPr>
        <w:t xml:space="preserve"> Objektivat strategjike, specifike dhe aktivitetet në strategjinë në fjalë </w:t>
      </w:r>
      <w:r w:rsidRPr="00E82B00">
        <w:rPr>
          <w:rFonts w:ascii="Sylfaen" w:eastAsia="Times New Roman" w:hAnsi="Sylfaen" w:cs="Times New Roman"/>
          <w:lang w:val="sq-AL" w:eastAsia="sr-Latn-CS"/>
        </w:rPr>
        <w:t xml:space="preserve">kanë  listuar pesë objektivat strategjike përkatës: </w:t>
      </w:r>
    </w:p>
    <w:p w14:paraId="2C85DBF2" w14:textId="77777777" w:rsidR="008F39AB" w:rsidRPr="00E82B00" w:rsidRDefault="008F39AB" w:rsidP="008F39AB">
      <w:pPr>
        <w:pStyle w:val="ListParagraph"/>
        <w:numPr>
          <w:ilvl w:val="0"/>
          <w:numId w:val="2"/>
        </w:numPr>
        <w:spacing w:after="200" w:line="276" w:lineRule="auto"/>
        <w:jc w:val="both"/>
        <w:rPr>
          <w:rFonts w:ascii="Sylfaen" w:eastAsia="Times New Roman" w:hAnsi="Sylfaen" w:cstheme="majorHAnsi"/>
          <w:color w:val="000000" w:themeColor="text1"/>
          <w:lang w:val="sq-AL" w:eastAsia="sr-Latn-CS"/>
        </w:rPr>
      </w:pPr>
      <w:r w:rsidRPr="00E82B00">
        <w:rPr>
          <w:rFonts w:ascii="Sylfaen" w:eastAsia="Times New Roman" w:hAnsi="Sylfaen" w:cstheme="majorHAnsi"/>
          <w:color w:val="000000" w:themeColor="text1"/>
          <w:lang w:val="sq-AL" w:eastAsia="sr-Latn-CS"/>
        </w:rPr>
        <w:t xml:space="preserve">Rritja e pjesëmarrjes së shoqërisë civile në bërjen e politikave, </w:t>
      </w:r>
    </w:p>
    <w:p w14:paraId="265394EE" w14:textId="77777777" w:rsidR="008F39AB" w:rsidRPr="00E82B00" w:rsidRDefault="008F39AB" w:rsidP="008F39AB">
      <w:pPr>
        <w:pStyle w:val="ListParagraph"/>
        <w:numPr>
          <w:ilvl w:val="0"/>
          <w:numId w:val="2"/>
        </w:numPr>
        <w:spacing w:after="200" w:line="276" w:lineRule="auto"/>
        <w:jc w:val="both"/>
        <w:rPr>
          <w:rFonts w:ascii="Sylfaen" w:eastAsia="Times New Roman" w:hAnsi="Sylfaen" w:cstheme="majorHAnsi"/>
          <w:color w:val="000000" w:themeColor="text1"/>
          <w:lang w:val="sq-AL" w:eastAsia="sr-Latn-CS"/>
        </w:rPr>
      </w:pPr>
      <w:r w:rsidRPr="00E82B00">
        <w:rPr>
          <w:rFonts w:ascii="Sylfaen" w:eastAsia="Times New Roman" w:hAnsi="Sylfaen" w:cstheme="majorHAnsi"/>
          <w:color w:val="000000" w:themeColor="text1"/>
          <w:lang w:val="sq-AL" w:eastAsia="sr-Latn-CS"/>
        </w:rPr>
        <w:t xml:space="preserve">Rritja e llogaridhënies dhe transparencës në financimin publik për OSHC-të, </w:t>
      </w:r>
    </w:p>
    <w:p w14:paraId="6F8522E8" w14:textId="77777777" w:rsidR="008F39AB" w:rsidRPr="00E82B00" w:rsidRDefault="008F39AB" w:rsidP="008F39AB">
      <w:pPr>
        <w:pStyle w:val="ListParagraph"/>
        <w:numPr>
          <w:ilvl w:val="0"/>
          <w:numId w:val="2"/>
        </w:numPr>
        <w:spacing w:after="200" w:line="276" w:lineRule="auto"/>
        <w:jc w:val="both"/>
        <w:rPr>
          <w:rFonts w:ascii="Sylfaen" w:eastAsia="Times New Roman" w:hAnsi="Sylfaen" w:cstheme="majorHAnsi"/>
          <w:color w:val="000000" w:themeColor="text1"/>
          <w:lang w:val="sq-AL" w:eastAsia="sr-Latn-CS"/>
        </w:rPr>
      </w:pPr>
      <w:r w:rsidRPr="00E82B00">
        <w:rPr>
          <w:rFonts w:ascii="Sylfaen" w:eastAsia="Times New Roman" w:hAnsi="Sylfaen" w:cstheme="majorHAnsi"/>
          <w:color w:val="000000" w:themeColor="text1"/>
          <w:lang w:val="sq-AL" w:eastAsia="sr-Latn-CS"/>
        </w:rPr>
        <w:t xml:space="preserve">Zhvillimi i praktikave dhe procedurave për kontraktimin e OSHC-ve për ofrimin e shërbimeve publike, dhe </w:t>
      </w:r>
    </w:p>
    <w:p w14:paraId="6199242D" w14:textId="77777777" w:rsidR="008F39AB" w:rsidRPr="00E82B00" w:rsidRDefault="008F39AB" w:rsidP="008F39AB">
      <w:pPr>
        <w:pStyle w:val="ListParagraph"/>
        <w:numPr>
          <w:ilvl w:val="0"/>
          <w:numId w:val="2"/>
        </w:numPr>
        <w:spacing w:after="200" w:line="276" w:lineRule="auto"/>
        <w:jc w:val="both"/>
        <w:rPr>
          <w:rFonts w:ascii="Sylfaen" w:eastAsia="Times New Roman" w:hAnsi="Sylfaen" w:cstheme="majorHAnsi"/>
          <w:color w:val="000000" w:themeColor="text1"/>
          <w:lang w:val="sq-AL" w:eastAsia="sr-Latn-CS"/>
        </w:rPr>
      </w:pPr>
      <w:r w:rsidRPr="00E82B00">
        <w:rPr>
          <w:rFonts w:ascii="Sylfaen" w:eastAsia="Times New Roman" w:hAnsi="Sylfaen" w:cstheme="majorHAnsi"/>
          <w:color w:val="000000" w:themeColor="text1"/>
          <w:lang w:val="sq-AL" w:eastAsia="sr-Latn-CS"/>
        </w:rPr>
        <w:t xml:space="preserve">Nxitja dhe promovimi i vullnetarizmit në programet në interes publik.  </w:t>
      </w:r>
    </w:p>
    <w:p w14:paraId="4B0DC2F7" w14:textId="77777777" w:rsidR="008F39AB" w:rsidRPr="00E82B00" w:rsidRDefault="008F39AB" w:rsidP="008F39AB">
      <w:pPr>
        <w:spacing w:after="0" w:line="276" w:lineRule="auto"/>
        <w:contextualSpacing/>
        <w:jc w:val="both"/>
        <w:rPr>
          <w:rFonts w:ascii="Sylfaen" w:hAnsi="Sylfaen" w:cstheme="majorHAnsi"/>
          <w:color w:val="000000" w:themeColor="text1"/>
          <w:lang w:val="sq-AL"/>
        </w:rPr>
      </w:pPr>
      <w:r w:rsidRPr="00E82B00">
        <w:rPr>
          <w:rFonts w:ascii="Sylfaen" w:hAnsi="Sylfaen" w:cstheme="majorHAnsi"/>
          <w:color w:val="000000" w:themeColor="text1"/>
          <w:lang w:val="sq-AL"/>
        </w:rPr>
        <w:t>Objektivat e Strategjisë 2019-2023 janë vendosur në bazë të konsultimeve me shoqërinë civile duke i marrë parasysh rezultatet e vlerësimit për strategjinë e mëparshme si dhe prioritetet e vendosura në dokumentet përkatëse të Bashkimit Evropian. Në këtë mënyrë është siguruar përmbushja dhe vazhdimësia e objektivave dhe masave të planifikuara në dokumentet e tjera strategjike përkatëse të qeverisë, gjegjësisht në Programin e Qeverisë së Republikës së Kosovës 2017-2021, Strategjinë Kombëtare për zhvillimore 2016-2021, Strategjinë për Rregullim më të Mirë 2017-2021,Strategjinë për Përmirësimin e Planifikimit dhe Bashkërendimit të Politikave në Kosovë 2017-2021.</w:t>
      </w:r>
    </w:p>
    <w:p w14:paraId="69FD57CB" w14:textId="77777777" w:rsidR="008F39AB" w:rsidRPr="00E82B00" w:rsidRDefault="008F39AB" w:rsidP="00600440">
      <w:pPr>
        <w:spacing w:after="0" w:line="240" w:lineRule="auto"/>
        <w:jc w:val="both"/>
        <w:rPr>
          <w:rFonts w:ascii="Sylfaen" w:eastAsia="MS Mincho" w:hAnsi="Sylfaen" w:cs="Times New Roman"/>
          <w:lang w:val="sq-AL"/>
        </w:rPr>
      </w:pPr>
    </w:p>
    <w:p w14:paraId="371DED53" w14:textId="77777777" w:rsidR="008F39AB" w:rsidRPr="00E82B00" w:rsidRDefault="008F39AB" w:rsidP="00600440">
      <w:pPr>
        <w:spacing w:after="0" w:line="240" w:lineRule="auto"/>
        <w:jc w:val="both"/>
        <w:rPr>
          <w:rFonts w:ascii="Sylfaen" w:eastAsia="MS Mincho" w:hAnsi="Sylfaen" w:cs="Times New Roman"/>
          <w:lang w:val="sq-AL"/>
        </w:rPr>
      </w:pPr>
    </w:p>
    <w:p w14:paraId="1226562F" w14:textId="6F1435E1" w:rsidR="00600440" w:rsidRPr="00E82B00" w:rsidRDefault="00600440" w:rsidP="00600440">
      <w:pPr>
        <w:spacing w:after="0" w:line="240" w:lineRule="auto"/>
        <w:jc w:val="center"/>
        <w:rPr>
          <w:rFonts w:ascii="Sylfaen" w:hAnsi="Sylfaen"/>
          <w:b/>
          <w:sz w:val="28"/>
          <w:lang w:val="sq-AL"/>
        </w:rPr>
      </w:pPr>
      <w:r w:rsidRPr="00E82B00">
        <w:rPr>
          <w:rFonts w:ascii="Sylfaen" w:hAnsi="Sylfaen"/>
          <w:b/>
          <w:sz w:val="28"/>
          <w:lang w:val="sq-AL"/>
        </w:rPr>
        <w:t xml:space="preserve">Ecuria </w:t>
      </w:r>
      <w:r w:rsidR="00BB746B">
        <w:rPr>
          <w:rFonts w:ascii="Sylfaen" w:hAnsi="Sylfaen"/>
          <w:b/>
          <w:sz w:val="28"/>
          <w:lang w:val="sq-AL"/>
        </w:rPr>
        <w:t xml:space="preserve">e </w:t>
      </w:r>
      <w:r w:rsidRPr="00E82B00">
        <w:rPr>
          <w:rFonts w:ascii="Sylfaen" w:hAnsi="Sylfaen"/>
          <w:b/>
          <w:sz w:val="28"/>
          <w:lang w:val="sq-AL"/>
        </w:rPr>
        <w:t>procesit të konsultimit</w:t>
      </w:r>
    </w:p>
    <w:p w14:paraId="63C4F20F" w14:textId="77777777" w:rsidR="008F39AB" w:rsidRPr="00E82B00" w:rsidRDefault="008F39AB" w:rsidP="00600440">
      <w:pPr>
        <w:spacing w:after="0" w:line="240" w:lineRule="auto"/>
        <w:jc w:val="both"/>
        <w:rPr>
          <w:rFonts w:ascii="Sylfaen" w:hAnsi="Sylfaen" w:cs="Times New Roman"/>
          <w:lang w:val="sq-AL"/>
        </w:rPr>
      </w:pPr>
    </w:p>
    <w:p w14:paraId="15871101" w14:textId="77777777" w:rsidR="00A97410" w:rsidRPr="00E82B00" w:rsidRDefault="00A97410" w:rsidP="008F39AB">
      <w:pPr>
        <w:spacing w:after="0" w:line="276" w:lineRule="auto"/>
        <w:contextualSpacing/>
        <w:jc w:val="both"/>
        <w:rPr>
          <w:rFonts w:ascii="Sylfaen" w:hAnsi="Sylfaen" w:cstheme="majorHAnsi"/>
          <w:color w:val="000000" w:themeColor="text1"/>
          <w:lang w:val="sq-AL"/>
        </w:rPr>
      </w:pPr>
    </w:p>
    <w:p w14:paraId="79A407E3" w14:textId="77777777" w:rsidR="008F39AB" w:rsidRPr="00E82B00" w:rsidRDefault="008F39AB" w:rsidP="008F39AB">
      <w:pPr>
        <w:spacing w:after="0" w:line="276" w:lineRule="auto"/>
        <w:contextualSpacing/>
        <w:jc w:val="both"/>
        <w:rPr>
          <w:rFonts w:ascii="Sylfaen" w:hAnsi="Sylfaen" w:cstheme="majorHAnsi"/>
          <w:color w:val="000000" w:themeColor="text1"/>
          <w:lang w:val="sq-AL"/>
        </w:rPr>
      </w:pPr>
      <w:r w:rsidRPr="00E82B00">
        <w:rPr>
          <w:rFonts w:ascii="Sylfaen" w:hAnsi="Sylfaen" w:cstheme="majorHAnsi"/>
          <w:color w:val="000000" w:themeColor="text1"/>
          <w:lang w:val="sq-AL"/>
        </w:rPr>
        <w:t xml:space="preserve">Ekipi i Punues (EP) për hartimin e Strategjisë është </w:t>
      </w:r>
      <w:r w:rsidR="000E0A5C" w:rsidRPr="00E82B00">
        <w:rPr>
          <w:rFonts w:ascii="Sylfaen" w:hAnsi="Sylfaen" w:cstheme="majorHAnsi"/>
          <w:color w:val="000000" w:themeColor="text1"/>
          <w:lang w:val="sq-AL"/>
        </w:rPr>
        <w:t xml:space="preserve">krijuar </w:t>
      </w:r>
      <w:r w:rsidRPr="00E82B00">
        <w:rPr>
          <w:rFonts w:ascii="Sylfaen" w:hAnsi="Sylfaen" w:cstheme="majorHAnsi"/>
          <w:color w:val="000000" w:themeColor="text1"/>
          <w:lang w:val="sq-AL"/>
        </w:rPr>
        <w:t xml:space="preserve"> me vendimin e datës 12 korrik 2017, nga Sekretari i Përgjithshëm i ZKM-së. Ekipi është udhëhequr nga Zyra për Qeverisje të Mirë/Zyra e Kryeministrit në bashkë kryesim me Platformën Civikos në përbërje të te cilit kanë qene përfaqësues nga Ministritë e linjës dhe Organizatat e Shoqërisë Civile. </w:t>
      </w:r>
    </w:p>
    <w:p w14:paraId="24CF75F8" w14:textId="77777777" w:rsidR="008F39AB" w:rsidRPr="00E82B00" w:rsidRDefault="008F39AB" w:rsidP="008F39AB">
      <w:pPr>
        <w:spacing w:after="0" w:line="276" w:lineRule="auto"/>
        <w:contextualSpacing/>
        <w:jc w:val="both"/>
        <w:rPr>
          <w:rFonts w:ascii="Sylfaen" w:hAnsi="Sylfaen" w:cstheme="majorHAnsi"/>
          <w:color w:val="000000" w:themeColor="text1"/>
          <w:lang w:val="sq-AL"/>
        </w:rPr>
      </w:pPr>
      <w:r w:rsidRPr="00E82B00">
        <w:rPr>
          <w:rFonts w:ascii="Sylfaen" w:hAnsi="Sylfaen" w:cstheme="majorHAnsi"/>
          <w:color w:val="000000" w:themeColor="text1"/>
          <w:lang w:val="sq-AL"/>
        </w:rPr>
        <w:t xml:space="preserve">Mjeti kryesor i analizës për hartimin e Strategjisë së re ka qenë “analiza e shkakut bazë”. Analiza e shkakut bazë është përdorur për të identifikuar problemet, sfidat dhe pengesat në zbatimin e Strategjisë së mëparshme. Ajo në thelb i ka përkufizuar problemet e bashkëpunimit në mes të qeverisë dhe shoqërisë civile si dhe mësimet e nxjerra për Strategjinë e re. Aktivitetet e ndërmarra për ketë analizës kanë përfshirë sesionet me Ekipin e punës dhe tryezat e rrumbullakëta me shoqërinë civile. Menjëherë pas mbledhjes dhe analizimit të të gjitha të dhënave për problemet dhe shkaqet bazë, gjetjet janë </w:t>
      </w:r>
      <w:r w:rsidRPr="00E82B00">
        <w:rPr>
          <w:rFonts w:ascii="Sylfaen" w:hAnsi="Sylfaen" w:cstheme="majorHAnsi"/>
          <w:bCs/>
          <w:color w:val="000000" w:themeColor="text1"/>
          <w:lang w:val="sq-AL"/>
        </w:rPr>
        <w:t>diskutuar</w:t>
      </w:r>
      <w:r w:rsidRPr="00E82B00">
        <w:rPr>
          <w:rFonts w:ascii="Sylfaen" w:hAnsi="Sylfaen" w:cstheme="majorHAnsi"/>
          <w:color w:val="000000" w:themeColor="text1"/>
          <w:lang w:val="sq-AL"/>
        </w:rPr>
        <w:t xml:space="preserve"> dhe </w:t>
      </w:r>
      <w:r w:rsidRPr="00E82B00">
        <w:rPr>
          <w:rFonts w:ascii="Sylfaen" w:hAnsi="Sylfaen" w:cstheme="majorHAnsi"/>
          <w:bCs/>
          <w:color w:val="000000" w:themeColor="text1"/>
          <w:lang w:val="sq-AL"/>
        </w:rPr>
        <w:t>vërtetuar</w:t>
      </w:r>
      <w:r w:rsidRPr="00E82B00">
        <w:rPr>
          <w:rFonts w:ascii="Sylfaen" w:hAnsi="Sylfaen" w:cstheme="majorHAnsi"/>
          <w:color w:val="000000" w:themeColor="text1"/>
          <w:lang w:val="sq-AL"/>
        </w:rPr>
        <w:t xml:space="preserve"> përmes aktiviteteve të organizuara nga Zyra për Qeverisje të Mirë/Zyra e Kryeministrit.</w:t>
      </w:r>
      <w:r w:rsidR="00EE709B" w:rsidRPr="00E82B00">
        <w:rPr>
          <w:rFonts w:ascii="Sylfaen" w:hAnsi="Sylfaen" w:cstheme="majorHAnsi"/>
          <w:color w:val="000000" w:themeColor="text1"/>
          <w:lang w:val="sq-AL"/>
        </w:rPr>
        <w:t xml:space="preserve"> EP që në fillim të punës së tij ka përgatitur planin e konsultimit të kësaj strategjie bazuar në nenin 11 të Rregullorës për standardet minimale pët konsultime publike.</w:t>
      </w:r>
    </w:p>
    <w:p w14:paraId="45ED7127" w14:textId="7CC9AEFF" w:rsidR="008F39AB" w:rsidRPr="00E82B00" w:rsidRDefault="008F39AB" w:rsidP="008F39AB">
      <w:pPr>
        <w:spacing w:after="0" w:line="276" w:lineRule="auto"/>
        <w:contextualSpacing/>
        <w:jc w:val="both"/>
        <w:rPr>
          <w:rFonts w:ascii="Sylfaen" w:hAnsi="Sylfaen" w:cstheme="majorHAnsi"/>
          <w:color w:val="000000" w:themeColor="text1"/>
          <w:lang w:val="sq-AL"/>
        </w:rPr>
      </w:pPr>
      <w:r w:rsidRPr="00E82B00">
        <w:rPr>
          <w:rFonts w:ascii="Sylfaen" w:hAnsi="Sylfaen" w:cstheme="majorHAnsi"/>
          <w:color w:val="000000" w:themeColor="text1"/>
          <w:lang w:val="sq-AL"/>
        </w:rPr>
        <w:t xml:space="preserve">Ekipi i punës ka punuar profesionalisht në vendosjen e objektivave të dokumentit dhe bazuar në ketë analizë ka zhvilluar draftin e parë të Strategjisë, i cili ka kaluar të gjitha fazat e konsultimit. Procesi i konsultimit publik të dokumentit së bashku me të gjitha detyrimet e përcaktuara me Rregulloren për Standardet Minimale për Konsultimet Publike është zhvilluar me sukses me disa sesione konsultative nëpër rajone. Me qëllim të sigurimit të kontributit sa më të gjerë nga OSHC-të dhe palët e tjera, janë zhvilluar takime konsultative në 5 rajone - Mitrovicë, Pejë, Prishtinë, Prizren dhe Gjilan, në tetor dhe nëntor 2018. Paralelisht, Strategjia dhe teksti i Planit të Veprimit janë vënë në dispozicion për konsultim për të gjithë qytetarët e interesuar në </w:t>
      </w:r>
      <w:hyperlink r:id="rId8" w:history="1">
        <w:r w:rsidRPr="00E82B00">
          <w:rPr>
            <w:rFonts w:ascii="Sylfaen" w:hAnsi="Sylfaen" w:cstheme="majorHAnsi"/>
            <w:color w:val="000000" w:themeColor="text1"/>
            <w:lang w:val="sq-AL"/>
          </w:rPr>
          <w:t>Platformën Online për konsultime publike</w:t>
        </w:r>
      </w:hyperlink>
      <w:r w:rsidRPr="00E82B00">
        <w:rPr>
          <w:rFonts w:ascii="Sylfaen" w:hAnsi="Sylfaen" w:cstheme="majorHAnsi"/>
          <w:color w:val="000000" w:themeColor="text1"/>
          <w:lang w:val="sq-AL"/>
        </w:rPr>
        <w:t xml:space="preserve"> (konsultime.rks-gov.net) duke filluar nga data 4 tetor deri me 9 nëntor</w:t>
      </w:r>
      <w:r w:rsidRPr="00E82B00">
        <w:rPr>
          <w:rFonts w:ascii="Sylfaen" w:hAnsi="Sylfaen" w:cstheme="majorHAnsi"/>
          <w:color w:val="000000" w:themeColor="text1"/>
          <w:vertAlign w:val="superscript"/>
          <w:lang w:val="sq-AL"/>
        </w:rPr>
        <w:footnoteReference w:id="1"/>
      </w:r>
      <w:r w:rsidRPr="00E82B00">
        <w:rPr>
          <w:rFonts w:ascii="Sylfaen" w:hAnsi="Sylfaen" w:cstheme="majorHAnsi"/>
          <w:color w:val="000000" w:themeColor="text1"/>
          <w:lang w:val="sq-AL"/>
        </w:rPr>
        <w:t xml:space="preserve"> (34 ditë). Pas përfundimit të procesit të konsultimit publik, Ekipi i Punës është takuar dhe i ka analizuar e diskutuar të gjitha kontributet e pranuara nga procesi i konsultimit për ta finalizuar draftin e fundit që është përcjellë për miratim në Qeveri. </w:t>
      </w:r>
    </w:p>
    <w:p w14:paraId="328D0BB8" w14:textId="77777777" w:rsidR="00BB746B" w:rsidRDefault="00BB746B" w:rsidP="007C0882">
      <w:pPr>
        <w:spacing w:after="0" w:line="276" w:lineRule="auto"/>
        <w:contextualSpacing/>
        <w:jc w:val="both"/>
        <w:rPr>
          <w:rFonts w:ascii="Sylfaen" w:hAnsi="Sylfaen" w:cstheme="majorHAnsi"/>
          <w:b/>
          <w:color w:val="000000" w:themeColor="text1"/>
          <w:sz w:val="28"/>
          <w:u w:val="single"/>
          <w:lang w:val="sq-AL"/>
        </w:rPr>
      </w:pPr>
    </w:p>
    <w:p w14:paraId="604B5C81" w14:textId="77777777" w:rsidR="00174E4A" w:rsidRDefault="00174E4A" w:rsidP="007C0882">
      <w:pPr>
        <w:spacing w:after="0" w:line="276" w:lineRule="auto"/>
        <w:contextualSpacing/>
        <w:jc w:val="both"/>
        <w:rPr>
          <w:rFonts w:ascii="Sylfaen" w:hAnsi="Sylfaen" w:cstheme="majorHAnsi"/>
          <w:b/>
          <w:color w:val="000000" w:themeColor="text1"/>
          <w:sz w:val="28"/>
          <w:u w:val="single"/>
          <w:lang w:val="sq-AL"/>
        </w:rPr>
      </w:pPr>
    </w:p>
    <w:p w14:paraId="392A2C64" w14:textId="1FDD7064" w:rsidR="00600440" w:rsidRPr="00E82B00" w:rsidRDefault="007C0882" w:rsidP="007C0882">
      <w:pPr>
        <w:spacing w:after="0" w:line="276" w:lineRule="auto"/>
        <w:contextualSpacing/>
        <w:jc w:val="both"/>
        <w:rPr>
          <w:rFonts w:ascii="Sylfaen" w:hAnsi="Sylfaen" w:cstheme="majorHAnsi"/>
          <w:b/>
          <w:color w:val="000000" w:themeColor="text1"/>
          <w:sz w:val="28"/>
          <w:u w:val="single"/>
          <w:lang w:val="sq-AL"/>
        </w:rPr>
      </w:pPr>
      <w:r w:rsidRPr="00E82B00">
        <w:rPr>
          <w:rFonts w:ascii="Sylfaen" w:hAnsi="Sylfaen" w:cstheme="majorHAnsi"/>
          <w:b/>
          <w:color w:val="000000" w:themeColor="text1"/>
          <w:sz w:val="28"/>
          <w:u w:val="single"/>
          <w:lang w:val="sq-AL"/>
        </w:rPr>
        <w:lastRenderedPageBreak/>
        <w:t>Lista e metodave t</w:t>
      </w:r>
      <w:r w:rsidR="00174E4A">
        <w:rPr>
          <w:rFonts w:ascii="Sylfaen" w:hAnsi="Sylfaen" w:cstheme="majorHAnsi"/>
          <w:b/>
          <w:color w:val="000000" w:themeColor="text1"/>
          <w:sz w:val="28"/>
          <w:u w:val="single"/>
          <w:lang w:val="sq-AL"/>
        </w:rPr>
        <w:t>ë</w:t>
      </w:r>
      <w:r w:rsidRPr="00E82B00">
        <w:rPr>
          <w:rFonts w:ascii="Sylfaen" w:hAnsi="Sylfaen" w:cstheme="majorHAnsi"/>
          <w:b/>
          <w:color w:val="000000" w:themeColor="text1"/>
          <w:sz w:val="28"/>
          <w:u w:val="single"/>
          <w:lang w:val="sq-AL"/>
        </w:rPr>
        <w:t xml:space="preserve"> konsultimit publik dhe detajet e pjesmarrjes</w:t>
      </w:r>
    </w:p>
    <w:p w14:paraId="21F5D6BD" w14:textId="77777777" w:rsidR="008F39AB" w:rsidRPr="00E82B00" w:rsidRDefault="008F39AB" w:rsidP="00600440">
      <w:pPr>
        <w:spacing w:after="0" w:line="240" w:lineRule="auto"/>
        <w:jc w:val="both"/>
        <w:rPr>
          <w:rFonts w:ascii="Sylfaen" w:hAnsi="Sylfaen"/>
          <w:i/>
          <w:lang w:val="sq-AL"/>
        </w:rPr>
      </w:pPr>
    </w:p>
    <w:tbl>
      <w:tblPr>
        <w:tblStyle w:val="GridTable1Light-Accent51"/>
        <w:tblW w:w="13320" w:type="dxa"/>
        <w:tblLook w:val="04A0" w:firstRow="1" w:lastRow="0" w:firstColumn="1" w:lastColumn="0" w:noHBand="0" w:noVBand="1"/>
      </w:tblPr>
      <w:tblGrid>
        <w:gridCol w:w="2692"/>
        <w:gridCol w:w="1980"/>
        <w:gridCol w:w="1702"/>
        <w:gridCol w:w="2701"/>
        <w:gridCol w:w="4245"/>
      </w:tblGrid>
      <w:tr w:rsidR="00E74252" w:rsidRPr="00E82B00" w14:paraId="0678E847" w14:textId="77777777" w:rsidTr="00EE7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6F3BE567" w14:textId="77777777" w:rsidR="00E74252" w:rsidRPr="00E82B00" w:rsidRDefault="00E74252" w:rsidP="00DE6341">
            <w:pPr>
              <w:pStyle w:val="Default"/>
              <w:rPr>
                <w:rFonts w:ascii="Sylfaen" w:hAnsi="Sylfaen"/>
                <w:color w:val="auto"/>
                <w:sz w:val="22"/>
                <w:szCs w:val="22"/>
                <w:lang w:val="sq-AL"/>
              </w:rPr>
            </w:pPr>
            <w:r w:rsidRPr="00E82B00">
              <w:rPr>
                <w:rFonts w:ascii="Sylfaen" w:hAnsi="Sylfaen"/>
                <w:color w:val="auto"/>
                <w:sz w:val="22"/>
                <w:szCs w:val="22"/>
                <w:lang w:val="sq-AL"/>
              </w:rPr>
              <w:t>Metodat e Konsultimit</w:t>
            </w:r>
          </w:p>
        </w:tc>
        <w:tc>
          <w:tcPr>
            <w:tcW w:w="1980" w:type="dxa"/>
            <w:shd w:val="clear" w:color="auto" w:fill="FBE4D5" w:themeFill="accent2" w:themeFillTint="33"/>
          </w:tcPr>
          <w:p w14:paraId="67DC8AF7"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Datat/kohëzgjatja</w:t>
            </w:r>
          </w:p>
        </w:tc>
        <w:tc>
          <w:tcPr>
            <w:tcW w:w="1702" w:type="dxa"/>
            <w:shd w:val="clear" w:color="auto" w:fill="FBE4D5" w:themeFill="accent2" w:themeFillTint="33"/>
          </w:tcPr>
          <w:p w14:paraId="12CC0AF6"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 xml:space="preserve">Numri i pjesmarresve </w:t>
            </w:r>
          </w:p>
        </w:tc>
        <w:tc>
          <w:tcPr>
            <w:tcW w:w="2701" w:type="dxa"/>
            <w:shd w:val="clear" w:color="auto" w:fill="FBE4D5" w:themeFill="accent2" w:themeFillTint="33"/>
          </w:tcPr>
          <w:p w14:paraId="38CD420E"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 xml:space="preserve">Numri i pjesmarresve te cilet kane kontribuar </w:t>
            </w:r>
          </w:p>
        </w:tc>
        <w:tc>
          <w:tcPr>
            <w:tcW w:w="4245" w:type="dxa"/>
            <w:shd w:val="clear" w:color="auto" w:fill="FBE4D5" w:themeFill="accent2" w:themeFillTint="33"/>
          </w:tcPr>
          <w:p w14:paraId="356BDFE3" w14:textId="77777777" w:rsidR="00E74252" w:rsidRPr="00E82B00" w:rsidRDefault="00E74252" w:rsidP="00DE6341">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Numri i komenteve  te pranuara</w:t>
            </w:r>
          </w:p>
        </w:tc>
      </w:tr>
      <w:tr w:rsidR="00E74252" w:rsidRPr="00E82B00" w14:paraId="70C03739" w14:textId="77777777" w:rsidTr="00EE709B">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677392FA" w14:textId="77777777" w:rsidR="00E74252" w:rsidRPr="00E82B00" w:rsidRDefault="00E74252" w:rsidP="00E74252">
            <w:pPr>
              <w:pStyle w:val="Default"/>
              <w:numPr>
                <w:ilvl w:val="0"/>
                <w:numId w:val="4"/>
              </w:numPr>
              <w:ind w:left="454"/>
              <w:rPr>
                <w:rFonts w:ascii="Sylfaen" w:hAnsi="Sylfaen"/>
                <w:b w:val="0"/>
                <w:sz w:val="22"/>
                <w:szCs w:val="22"/>
                <w:lang w:val="sq-AL"/>
              </w:rPr>
            </w:pPr>
            <w:r w:rsidRPr="00E82B00">
              <w:rPr>
                <w:rFonts w:ascii="Sylfaen" w:hAnsi="Sylfaen"/>
                <w:b w:val="0"/>
                <w:sz w:val="22"/>
                <w:szCs w:val="22"/>
                <w:lang w:val="sq-AL"/>
              </w:rPr>
              <w:t>Konsultimet me shkrim / në mënyrë elektronike;</w:t>
            </w:r>
          </w:p>
        </w:tc>
        <w:tc>
          <w:tcPr>
            <w:tcW w:w="1980" w:type="dxa"/>
          </w:tcPr>
          <w:p w14:paraId="57DA80F2" w14:textId="5D7EA2FF" w:rsidR="00E74252" w:rsidRPr="00E82B00" w:rsidRDefault="00E74252" w:rsidP="00DE654D">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p>
        </w:tc>
        <w:tc>
          <w:tcPr>
            <w:tcW w:w="1702" w:type="dxa"/>
          </w:tcPr>
          <w:p w14:paraId="7491B4FA" w14:textId="1946A5C7" w:rsidR="00E74252" w:rsidRPr="00E82B00" w:rsidRDefault="00CF0163"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2</w:t>
            </w:r>
          </w:p>
        </w:tc>
        <w:tc>
          <w:tcPr>
            <w:tcW w:w="2701" w:type="dxa"/>
          </w:tcPr>
          <w:p w14:paraId="14D8DEB2" w14:textId="0B49FCB8" w:rsidR="00E74252" w:rsidRPr="00E82B00" w:rsidRDefault="00CF0163"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2</w:t>
            </w:r>
          </w:p>
        </w:tc>
        <w:tc>
          <w:tcPr>
            <w:tcW w:w="4245" w:type="dxa"/>
          </w:tcPr>
          <w:p w14:paraId="5EE42083" w14:textId="78959E6E" w:rsidR="00E74252" w:rsidRPr="00E82B00" w:rsidRDefault="008C1780"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Pr>
                <w:rFonts w:ascii="Sylfaen" w:hAnsi="Sylfaen"/>
                <w:color w:val="auto"/>
                <w:sz w:val="22"/>
                <w:szCs w:val="22"/>
                <w:lang w:val="sq-AL"/>
              </w:rPr>
              <w:t xml:space="preserve"> 3</w:t>
            </w:r>
          </w:p>
        </w:tc>
      </w:tr>
      <w:tr w:rsidR="00E74252" w:rsidRPr="00E82B00" w14:paraId="474CFC8C" w14:textId="77777777" w:rsidTr="00EE709B">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19138CA8" w14:textId="77777777" w:rsidR="00E74252" w:rsidRPr="00E82B00" w:rsidRDefault="00E74252" w:rsidP="00E74252">
            <w:pPr>
              <w:pStyle w:val="Default"/>
              <w:numPr>
                <w:ilvl w:val="0"/>
                <w:numId w:val="4"/>
              </w:numPr>
              <w:ind w:left="454"/>
              <w:rPr>
                <w:rFonts w:ascii="Sylfaen" w:hAnsi="Sylfaen"/>
                <w:b w:val="0"/>
                <w:color w:val="auto"/>
                <w:sz w:val="22"/>
                <w:szCs w:val="22"/>
                <w:lang w:val="sq-AL"/>
              </w:rPr>
            </w:pPr>
            <w:r w:rsidRPr="00E82B00">
              <w:rPr>
                <w:rFonts w:ascii="Sylfaen" w:hAnsi="Sylfaen"/>
                <w:b w:val="0"/>
                <w:sz w:val="22"/>
                <w:szCs w:val="22"/>
                <w:lang w:val="sq-AL"/>
              </w:rPr>
              <w:t>Publikimi në ueb faqe/Platforma elektronike</w:t>
            </w:r>
          </w:p>
          <w:p w14:paraId="1E07C1C1" w14:textId="77777777" w:rsidR="00A97410" w:rsidRPr="00E82B00" w:rsidRDefault="00A97410" w:rsidP="00A97410">
            <w:pPr>
              <w:pStyle w:val="Default"/>
              <w:ind w:left="454"/>
              <w:rPr>
                <w:rFonts w:ascii="Sylfaen" w:hAnsi="Sylfaen"/>
                <w:b w:val="0"/>
                <w:color w:val="auto"/>
                <w:sz w:val="22"/>
                <w:szCs w:val="22"/>
                <w:lang w:val="sq-AL"/>
              </w:rPr>
            </w:pPr>
          </w:p>
        </w:tc>
        <w:tc>
          <w:tcPr>
            <w:tcW w:w="1980" w:type="dxa"/>
          </w:tcPr>
          <w:p w14:paraId="2AA0CFD9" w14:textId="77777777" w:rsidR="00E74252" w:rsidRPr="008C178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8C1780">
              <w:rPr>
                <w:rFonts w:ascii="Sylfaen" w:hAnsi="Sylfaen"/>
                <w:color w:val="auto"/>
                <w:sz w:val="22"/>
                <w:szCs w:val="22"/>
                <w:lang w:val="sq-AL"/>
              </w:rPr>
              <w:t>04 tetor - 09 nëntor/34 ditë</w:t>
            </w:r>
          </w:p>
        </w:tc>
        <w:tc>
          <w:tcPr>
            <w:tcW w:w="1702" w:type="dxa"/>
          </w:tcPr>
          <w:p w14:paraId="76527D4A" w14:textId="77777777" w:rsidR="00E7425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0</w:t>
            </w:r>
          </w:p>
        </w:tc>
        <w:tc>
          <w:tcPr>
            <w:tcW w:w="2701" w:type="dxa"/>
          </w:tcPr>
          <w:p w14:paraId="559D6855" w14:textId="77777777" w:rsidR="00E7425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0</w:t>
            </w:r>
          </w:p>
        </w:tc>
        <w:tc>
          <w:tcPr>
            <w:tcW w:w="4245" w:type="dxa"/>
          </w:tcPr>
          <w:p w14:paraId="12B866D0" w14:textId="77777777" w:rsidR="00E7425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0</w:t>
            </w:r>
          </w:p>
        </w:tc>
      </w:tr>
      <w:tr w:rsidR="00E74252" w:rsidRPr="00E82B00" w14:paraId="187F9458" w14:textId="77777777" w:rsidTr="00EE709B">
        <w:tc>
          <w:tcPr>
            <w:cnfStyle w:val="001000000000" w:firstRow="0" w:lastRow="0" w:firstColumn="1" w:lastColumn="0" w:oddVBand="0" w:evenVBand="0" w:oddHBand="0" w:evenHBand="0" w:firstRowFirstColumn="0" w:firstRowLastColumn="0" w:lastRowFirstColumn="0" w:lastRowLastColumn="0"/>
            <w:tcW w:w="2692" w:type="dxa"/>
            <w:shd w:val="clear" w:color="auto" w:fill="FBE4D5" w:themeFill="accent2" w:themeFillTint="33"/>
          </w:tcPr>
          <w:p w14:paraId="6F816F88" w14:textId="77777777" w:rsidR="00E74252" w:rsidRPr="00E82B00" w:rsidRDefault="00E74252" w:rsidP="00E74252">
            <w:pPr>
              <w:pStyle w:val="Default"/>
              <w:numPr>
                <w:ilvl w:val="0"/>
                <w:numId w:val="4"/>
              </w:numPr>
              <w:ind w:left="454"/>
              <w:rPr>
                <w:rFonts w:ascii="Sylfaen" w:hAnsi="Sylfaen"/>
                <w:b w:val="0"/>
                <w:color w:val="auto"/>
                <w:sz w:val="22"/>
                <w:szCs w:val="22"/>
                <w:lang w:val="sq-AL"/>
              </w:rPr>
            </w:pPr>
            <w:r w:rsidRPr="00E82B00">
              <w:rPr>
                <w:rFonts w:ascii="Sylfaen" w:hAnsi="Sylfaen"/>
                <w:b w:val="0"/>
                <w:sz w:val="22"/>
                <w:szCs w:val="22"/>
                <w:lang w:val="sq-AL"/>
              </w:rPr>
              <w:t>Takimet publike</w:t>
            </w:r>
          </w:p>
        </w:tc>
        <w:tc>
          <w:tcPr>
            <w:tcW w:w="1980" w:type="dxa"/>
          </w:tcPr>
          <w:p w14:paraId="53A0AB17" w14:textId="77777777" w:rsidR="00E7425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Mitrovicë me 09 tetor 2018;</w:t>
            </w:r>
          </w:p>
          <w:p w14:paraId="55D086C4" w14:textId="77777777" w:rsidR="007C088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Pejë me 12 tetor 2018</w:t>
            </w:r>
          </w:p>
          <w:p w14:paraId="3BCEFF3F" w14:textId="77777777" w:rsidR="007C088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Prishtinë me 29 tetor 2018</w:t>
            </w:r>
          </w:p>
          <w:p w14:paraId="0F22D8E6" w14:textId="77777777" w:rsidR="007C088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Prizreni me 30 tetor 2018 dhe</w:t>
            </w:r>
          </w:p>
          <w:p w14:paraId="46E7AE32" w14:textId="77777777" w:rsidR="007C088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Gjilan me 05 nentor 2018</w:t>
            </w:r>
          </w:p>
          <w:p w14:paraId="4112884F" w14:textId="77777777" w:rsidR="00A97410" w:rsidRPr="00E82B00" w:rsidRDefault="00A97410"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p>
        </w:tc>
        <w:tc>
          <w:tcPr>
            <w:tcW w:w="1702" w:type="dxa"/>
          </w:tcPr>
          <w:p w14:paraId="7F0417DC" w14:textId="77777777" w:rsidR="00E7425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54</w:t>
            </w:r>
          </w:p>
        </w:tc>
        <w:tc>
          <w:tcPr>
            <w:tcW w:w="2701" w:type="dxa"/>
          </w:tcPr>
          <w:p w14:paraId="5B1458F8" w14:textId="77777777" w:rsidR="00E74252" w:rsidRPr="00E82B00" w:rsidRDefault="007C088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r w:rsidRPr="00E82B00">
              <w:rPr>
                <w:rFonts w:ascii="Sylfaen" w:hAnsi="Sylfaen"/>
                <w:color w:val="auto"/>
                <w:sz w:val="22"/>
                <w:szCs w:val="22"/>
                <w:lang w:val="sq-AL"/>
              </w:rPr>
              <w:t>43</w:t>
            </w:r>
          </w:p>
        </w:tc>
        <w:tc>
          <w:tcPr>
            <w:tcW w:w="4245" w:type="dxa"/>
          </w:tcPr>
          <w:p w14:paraId="36A5FA49" w14:textId="77777777" w:rsidR="00E74252" w:rsidRPr="00E82B00" w:rsidRDefault="00E74252" w:rsidP="00DE6341">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2"/>
                <w:szCs w:val="22"/>
                <w:lang w:val="sq-AL"/>
              </w:rPr>
            </w:pPr>
          </w:p>
        </w:tc>
      </w:tr>
    </w:tbl>
    <w:p w14:paraId="716AB4EE" w14:textId="77777777" w:rsidR="008F39AB" w:rsidRPr="00E82B00" w:rsidRDefault="008F39AB" w:rsidP="00600440">
      <w:pPr>
        <w:spacing w:after="0" w:line="240" w:lineRule="auto"/>
        <w:jc w:val="both"/>
        <w:rPr>
          <w:rFonts w:ascii="Sylfaen" w:hAnsi="Sylfaen"/>
          <w:i/>
          <w:lang w:val="sq-AL"/>
        </w:rPr>
      </w:pPr>
    </w:p>
    <w:p w14:paraId="25ABFACF" w14:textId="77777777" w:rsidR="00E74252" w:rsidRPr="00E82B00" w:rsidRDefault="00E74252" w:rsidP="00600440">
      <w:pPr>
        <w:spacing w:after="0" w:line="240" w:lineRule="auto"/>
        <w:jc w:val="both"/>
        <w:rPr>
          <w:rFonts w:ascii="Sylfaen" w:hAnsi="Sylfaen"/>
          <w:i/>
          <w:lang w:val="sq-AL"/>
        </w:rPr>
      </w:pPr>
    </w:p>
    <w:p w14:paraId="51C1A3DA" w14:textId="77777777" w:rsidR="00600440" w:rsidRDefault="00600440" w:rsidP="00600440">
      <w:pPr>
        <w:spacing w:after="0" w:line="240" w:lineRule="auto"/>
        <w:jc w:val="center"/>
        <w:rPr>
          <w:rFonts w:ascii="Sylfaen" w:hAnsi="Sylfaen"/>
          <w:b/>
          <w:lang w:val="sq-AL"/>
        </w:rPr>
      </w:pPr>
    </w:p>
    <w:p w14:paraId="68076816" w14:textId="77777777" w:rsidR="00BB746B" w:rsidRDefault="00BB746B" w:rsidP="00600440">
      <w:pPr>
        <w:spacing w:after="0" w:line="240" w:lineRule="auto"/>
        <w:jc w:val="center"/>
        <w:rPr>
          <w:rFonts w:ascii="Sylfaen" w:hAnsi="Sylfaen"/>
          <w:b/>
          <w:lang w:val="sq-AL"/>
        </w:rPr>
      </w:pPr>
    </w:p>
    <w:p w14:paraId="7F30F073" w14:textId="77777777" w:rsidR="00BB746B" w:rsidRDefault="00BB746B" w:rsidP="00600440">
      <w:pPr>
        <w:spacing w:after="0" w:line="240" w:lineRule="auto"/>
        <w:jc w:val="center"/>
        <w:rPr>
          <w:rFonts w:ascii="Sylfaen" w:hAnsi="Sylfaen"/>
          <w:b/>
          <w:lang w:val="sq-AL"/>
        </w:rPr>
      </w:pPr>
    </w:p>
    <w:p w14:paraId="13857187" w14:textId="77777777" w:rsidR="00BB746B" w:rsidRPr="00E82B00" w:rsidRDefault="00BB746B" w:rsidP="00600440">
      <w:pPr>
        <w:spacing w:after="0" w:line="240" w:lineRule="auto"/>
        <w:jc w:val="center"/>
        <w:rPr>
          <w:rFonts w:ascii="Sylfaen" w:hAnsi="Sylfaen"/>
          <w:b/>
          <w:lang w:val="sq-AL"/>
        </w:rPr>
      </w:pPr>
    </w:p>
    <w:p w14:paraId="0CB7B512" w14:textId="77777777" w:rsidR="007C0882" w:rsidRPr="00E82B00" w:rsidRDefault="007C0882" w:rsidP="00600440">
      <w:pPr>
        <w:spacing w:after="0" w:line="240" w:lineRule="auto"/>
        <w:jc w:val="center"/>
        <w:rPr>
          <w:rFonts w:ascii="Sylfaen" w:hAnsi="Sylfaen"/>
          <w:b/>
          <w:lang w:val="sq-AL"/>
        </w:rPr>
      </w:pPr>
    </w:p>
    <w:p w14:paraId="7EAA22F7" w14:textId="77777777" w:rsidR="007C0882" w:rsidRPr="00E82B00" w:rsidRDefault="007C0882" w:rsidP="00600440">
      <w:pPr>
        <w:spacing w:after="0" w:line="240" w:lineRule="auto"/>
        <w:jc w:val="center"/>
        <w:rPr>
          <w:rFonts w:ascii="Sylfaen" w:hAnsi="Sylfaen"/>
          <w:b/>
          <w:lang w:val="sq-AL"/>
        </w:rPr>
      </w:pPr>
    </w:p>
    <w:p w14:paraId="600C5D1B" w14:textId="77777777" w:rsidR="007C0882" w:rsidRPr="00E82B00" w:rsidRDefault="007C0882" w:rsidP="00600440">
      <w:pPr>
        <w:spacing w:after="0" w:line="240" w:lineRule="auto"/>
        <w:jc w:val="center"/>
        <w:rPr>
          <w:rFonts w:ascii="Sylfaen" w:hAnsi="Sylfaen"/>
          <w:b/>
          <w:lang w:val="sq-AL"/>
        </w:rPr>
      </w:pPr>
    </w:p>
    <w:p w14:paraId="555CCCEB" w14:textId="77777777" w:rsidR="00E74252" w:rsidRPr="00E82B00" w:rsidRDefault="00E74252" w:rsidP="00E74252">
      <w:pPr>
        <w:jc w:val="center"/>
        <w:rPr>
          <w:rFonts w:ascii="Sylfaen" w:hAnsi="Sylfaen"/>
          <w:b/>
          <w:lang w:val="sq-AL"/>
        </w:rPr>
      </w:pPr>
      <w:r w:rsidRPr="00E82B00">
        <w:rPr>
          <w:rFonts w:ascii="Sylfaen" w:hAnsi="Sylfaen"/>
          <w:b/>
          <w:lang w:val="sq-AL"/>
        </w:rPr>
        <w:lastRenderedPageBreak/>
        <w:t xml:space="preserve">Përmbledhje e  kontributeve të pranuara gjatë procesit të konsultimit dhe kategoritë e kontribuesve </w:t>
      </w:r>
    </w:p>
    <w:p w14:paraId="5B97CE77" w14:textId="27B06357" w:rsidR="00BB746B" w:rsidRPr="00BB746B" w:rsidRDefault="00A24990" w:rsidP="00BB746B">
      <w:pPr>
        <w:spacing w:line="276" w:lineRule="auto"/>
        <w:jc w:val="both"/>
        <w:rPr>
          <w:rFonts w:ascii="Sylfaen" w:hAnsi="Sylfaen" w:cs="Segoe UI Light"/>
          <w:lang w:val="sq-AL"/>
        </w:rPr>
      </w:pPr>
      <w:r>
        <w:rPr>
          <w:rFonts w:ascii="Sylfaen" w:hAnsi="Sylfaen"/>
          <w:color w:val="000000" w:themeColor="text1"/>
        </w:rPr>
        <w:t xml:space="preserve">Pas </w:t>
      </w:r>
      <w:proofErr w:type="spellStart"/>
      <w:r>
        <w:rPr>
          <w:rFonts w:ascii="Sylfaen" w:hAnsi="Sylfaen"/>
          <w:color w:val="000000" w:themeColor="text1"/>
        </w:rPr>
        <w:t>një</w:t>
      </w:r>
      <w:proofErr w:type="spellEnd"/>
      <w:r>
        <w:rPr>
          <w:rFonts w:ascii="Sylfaen" w:hAnsi="Sylfaen"/>
          <w:color w:val="000000" w:themeColor="text1"/>
        </w:rPr>
        <w:t xml:space="preserve"> </w:t>
      </w:r>
      <w:proofErr w:type="spellStart"/>
      <w:r>
        <w:rPr>
          <w:rFonts w:ascii="Sylfaen" w:hAnsi="Sylfaen"/>
          <w:color w:val="000000" w:themeColor="text1"/>
        </w:rPr>
        <w:t>pune</w:t>
      </w:r>
      <w:proofErr w:type="spellEnd"/>
      <w:r>
        <w:rPr>
          <w:rFonts w:ascii="Sylfaen" w:hAnsi="Sylfaen"/>
          <w:color w:val="000000" w:themeColor="text1"/>
        </w:rPr>
        <w:t xml:space="preserve"> </w:t>
      </w:r>
      <w:proofErr w:type="spellStart"/>
      <w:r>
        <w:rPr>
          <w:rFonts w:ascii="Sylfaen" w:hAnsi="Sylfaen"/>
          <w:color w:val="000000" w:themeColor="text1"/>
        </w:rPr>
        <w:t>gati</w:t>
      </w:r>
      <w:proofErr w:type="spellEnd"/>
      <w:r>
        <w:rPr>
          <w:rFonts w:ascii="Sylfaen" w:hAnsi="Sylfaen"/>
          <w:color w:val="000000" w:themeColor="text1"/>
        </w:rPr>
        <w:t xml:space="preserve"> </w:t>
      </w:r>
      <w:proofErr w:type="spellStart"/>
      <w:r>
        <w:rPr>
          <w:rFonts w:ascii="Sylfaen" w:hAnsi="Sylfaen"/>
          <w:color w:val="000000" w:themeColor="text1"/>
        </w:rPr>
        <w:t>një</w:t>
      </w:r>
      <w:proofErr w:type="spellEnd"/>
      <w:r w:rsidR="00F75F86">
        <w:rPr>
          <w:rFonts w:ascii="Sylfaen" w:hAnsi="Sylfaen"/>
          <w:color w:val="000000" w:themeColor="text1"/>
        </w:rPr>
        <w:t xml:space="preserve"> </w:t>
      </w:r>
      <w:proofErr w:type="spellStart"/>
      <w:r w:rsidR="00F75F86">
        <w:rPr>
          <w:rFonts w:ascii="Sylfaen" w:hAnsi="Sylfaen"/>
          <w:color w:val="000000" w:themeColor="text1"/>
        </w:rPr>
        <w:t>vjec</w:t>
      </w:r>
      <w:r>
        <w:rPr>
          <w:rFonts w:ascii="Sylfaen" w:hAnsi="Sylfaen"/>
          <w:color w:val="000000" w:themeColor="text1"/>
        </w:rPr>
        <w:t>are</w:t>
      </w:r>
      <w:proofErr w:type="spellEnd"/>
      <w:r>
        <w:rPr>
          <w:rFonts w:ascii="Sylfaen" w:hAnsi="Sylfaen"/>
          <w:color w:val="000000" w:themeColor="text1"/>
        </w:rPr>
        <w:t xml:space="preserve"> të </w:t>
      </w:r>
      <w:proofErr w:type="spellStart"/>
      <w:r>
        <w:rPr>
          <w:rFonts w:ascii="Sylfaen" w:hAnsi="Sylfaen"/>
          <w:color w:val="000000" w:themeColor="text1"/>
        </w:rPr>
        <w:t>Ekipit</w:t>
      </w:r>
      <w:proofErr w:type="spellEnd"/>
      <w:r>
        <w:rPr>
          <w:rFonts w:ascii="Sylfaen" w:hAnsi="Sylfaen"/>
          <w:color w:val="000000" w:themeColor="text1"/>
        </w:rPr>
        <w:t xml:space="preserve"> të Punës</w:t>
      </w:r>
      <w:r w:rsidR="00F75F86">
        <w:rPr>
          <w:rFonts w:ascii="Sylfaen" w:hAnsi="Sylfaen"/>
          <w:color w:val="000000" w:themeColor="text1"/>
        </w:rPr>
        <w:t xml:space="preserve"> </w:t>
      </w:r>
      <w:proofErr w:type="spellStart"/>
      <w:r w:rsidR="00F75F86">
        <w:rPr>
          <w:rFonts w:ascii="Sylfaen" w:hAnsi="Sylfaen"/>
          <w:color w:val="000000" w:themeColor="text1"/>
        </w:rPr>
        <w:t>për</w:t>
      </w:r>
      <w:proofErr w:type="spellEnd"/>
      <w:r w:rsidR="00F75F86">
        <w:rPr>
          <w:rFonts w:ascii="Sylfaen" w:hAnsi="Sylfaen"/>
          <w:color w:val="000000" w:themeColor="text1"/>
        </w:rPr>
        <w:t xml:space="preserve"> </w:t>
      </w:r>
      <w:proofErr w:type="spellStart"/>
      <w:r w:rsidR="00F75F86">
        <w:rPr>
          <w:rFonts w:ascii="Sylfaen" w:hAnsi="Sylfaen"/>
          <w:color w:val="000000" w:themeColor="text1"/>
        </w:rPr>
        <w:t>hartimin</w:t>
      </w:r>
      <w:proofErr w:type="spellEnd"/>
      <w:r w:rsidR="00F75F86">
        <w:rPr>
          <w:rFonts w:ascii="Sylfaen" w:hAnsi="Sylfaen"/>
          <w:color w:val="000000" w:themeColor="text1"/>
        </w:rPr>
        <w:t xml:space="preserve"> e </w:t>
      </w:r>
      <w:proofErr w:type="spellStart"/>
      <w:r w:rsidR="00F75F86">
        <w:rPr>
          <w:rFonts w:ascii="Sylfaen" w:hAnsi="Sylfaen"/>
          <w:color w:val="000000" w:themeColor="text1"/>
        </w:rPr>
        <w:t>këtij</w:t>
      </w:r>
      <w:proofErr w:type="spellEnd"/>
      <w:r w:rsidR="00F75F86">
        <w:rPr>
          <w:rFonts w:ascii="Sylfaen" w:hAnsi="Sylfaen"/>
          <w:color w:val="000000" w:themeColor="text1"/>
        </w:rPr>
        <w:t xml:space="preserve"> </w:t>
      </w:r>
      <w:proofErr w:type="spellStart"/>
      <w:r w:rsidR="00F75F86">
        <w:rPr>
          <w:rFonts w:ascii="Sylfaen" w:hAnsi="Sylfaen"/>
          <w:color w:val="000000" w:themeColor="text1"/>
        </w:rPr>
        <w:t>dokumnti</w:t>
      </w:r>
      <w:proofErr w:type="spellEnd"/>
      <w:r>
        <w:rPr>
          <w:rFonts w:ascii="Sylfaen" w:hAnsi="Sylfaen"/>
          <w:color w:val="000000" w:themeColor="text1"/>
        </w:rPr>
        <w:t xml:space="preserve">, </w:t>
      </w:r>
      <w:proofErr w:type="spellStart"/>
      <w:r>
        <w:rPr>
          <w:rFonts w:ascii="Sylfaen" w:hAnsi="Sylfaen"/>
          <w:color w:val="000000" w:themeColor="text1"/>
        </w:rPr>
        <w:t>k</w:t>
      </w:r>
      <w:r w:rsidR="00BB746B">
        <w:rPr>
          <w:rFonts w:ascii="Sylfaen" w:hAnsi="Sylfaen"/>
          <w:color w:val="000000" w:themeColor="text1"/>
        </w:rPr>
        <w:t>onsultimi</w:t>
      </w:r>
      <w:proofErr w:type="spellEnd"/>
      <w:r w:rsidR="00BB746B">
        <w:rPr>
          <w:rFonts w:ascii="Sylfaen" w:hAnsi="Sylfaen"/>
          <w:color w:val="000000" w:themeColor="text1"/>
        </w:rPr>
        <w:t xml:space="preserve"> </w:t>
      </w:r>
      <w:proofErr w:type="spellStart"/>
      <w:r w:rsidR="00BB746B">
        <w:rPr>
          <w:rFonts w:ascii="Sylfaen" w:hAnsi="Sylfaen"/>
          <w:color w:val="000000" w:themeColor="text1"/>
        </w:rPr>
        <w:t>publik</w:t>
      </w:r>
      <w:proofErr w:type="spellEnd"/>
      <w:r w:rsidR="00BB746B">
        <w:rPr>
          <w:rFonts w:ascii="Sylfaen" w:hAnsi="Sylfaen"/>
          <w:color w:val="000000" w:themeColor="text1"/>
        </w:rPr>
        <w:t xml:space="preserve"> ka </w:t>
      </w:r>
      <w:proofErr w:type="spellStart"/>
      <w:r w:rsidR="00BB746B">
        <w:rPr>
          <w:rFonts w:ascii="Sylfaen" w:hAnsi="Sylfaen"/>
          <w:color w:val="000000" w:themeColor="text1"/>
        </w:rPr>
        <w:t>filluar</w:t>
      </w:r>
      <w:proofErr w:type="spellEnd"/>
      <w:r w:rsidR="00BB746B">
        <w:rPr>
          <w:rFonts w:ascii="Sylfaen" w:hAnsi="Sylfaen"/>
          <w:color w:val="000000" w:themeColor="text1"/>
        </w:rPr>
        <w:t xml:space="preserve"> nga dat</w:t>
      </w:r>
      <w:r>
        <w:rPr>
          <w:rFonts w:ascii="Sylfaen" w:hAnsi="Sylfaen"/>
          <w:color w:val="000000" w:themeColor="text1"/>
        </w:rPr>
        <w:t>a</w:t>
      </w:r>
      <w:r w:rsidR="00BB746B" w:rsidRPr="00BB746B">
        <w:rPr>
          <w:rFonts w:ascii="Sylfaen" w:hAnsi="Sylfaen"/>
          <w:color w:val="000000" w:themeColor="text1"/>
        </w:rPr>
        <w:t xml:space="preserve"> </w:t>
      </w:r>
      <w:r w:rsidR="00BB746B">
        <w:rPr>
          <w:rFonts w:ascii="Sylfaen" w:hAnsi="Sylfaen"/>
          <w:lang w:val="sq-AL"/>
        </w:rPr>
        <w:t xml:space="preserve">04 tetor deri me </w:t>
      </w:r>
      <w:r w:rsidR="00BB746B" w:rsidRPr="008C1780">
        <w:rPr>
          <w:rFonts w:ascii="Sylfaen" w:hAnsi="Sylfaen"/>
          <w:lang w:val="sq-AL"/>
        </w:rPr>
        <w:t>09 nëntor</w:t>
      </w:r>
      <w:r w:rsidR="00F75F86">
        <w:rPr>
          <w:rFonts w:ascii="Sylfaen" w:hAnsi="Sylfaen"/>
          <w:lang w:val="sq-AL"/>
        </w:rPr>
        <w:t xml:space="preserve"> 2018</w:t>
      </w:r>
      <w:r w:rsidR="00BB746B" w:rsidRPr="008C1780">
        <w:rPr>
          <w:rFonts w:ascii="Sylfaen" w:hAnsi="Sylfaen"/>
          <w:lang w:val="sq-AL"/>
        </w:rPr>
        <w:t>/34 ditë</w:t>
      </w:r>
      <w:r w:rsidR="00BB746B">
        <w:rPr>
          <w:rFonts w:ascii="Sylfaen" w:hAnsi="Sylfaen"/>
          <w:lang w:val="sq-AL"/>
        </w:rPr>
        <w:t xml:space="preserve">, vetëm e vetëm </w:t>
      </w:r>
      <w:r>
        <w:rPr>
          <w:rFonts w:ascii="Sylfaen" w:hAnsi="Sylfaen"/>
          <w:lang w:val="sq-AL"/>
        </w:rPr>
        <w:t xml:space="preserve">që në procesin e konsultimit me publikun </w:t>
      </w:r>
      <w:r w:rsidR="00BB746B">
        <w:rPr>
          <w:rFonts w:ascii="Sylfaen" w:hAnsi="Sylfaen"/>
          <w:lang w:val="sq-AL"/>
        </w:rPr>
        <w:t xml:space="preserve">të përfshihen sa më shumë </w:t>
      </w:r>
      <w:r>
        <w:rPr>
          <w:rFonts w:ascii="Sylfaen" w:hAnsi="Sylfaen"/>
          <w:lang w:val="sq-AL"/>
        </w:rPr>
        <w:t>publiku</w:t>
      </w:r>
      <w:r w:rsidR="00F75F86">
        <w:rPr>
          <w:rFonts w:ascii="Sylfaen" w:hAnsi="Sylfaen"/>
          <w:lang w:val="sq-AL"/>
        </w:rPr>
        <w:t xml:space="preserve"> i gjërë, ekspertë të fushës </w:t>
      </w:r>
      <w:r>
        <w:rPr>
          <w:rFonts w:ascii="Sylfaen" w:hAnsi="Sylfaen"/>
          <w:lang w:val="sq-AL"/>
        </w:rPr>
        <w:t xml:space="preserve">dhe </w:t>
      </w:r>
      <w:r w:rsidR="00BB746B">
        <w:rPr>
          <w:rFonts w:ascii="Sylfaen" w:hAnsi="Sylfaen"/>
          <w:lang w:val="sq-AL"/>
        </w:rPr>
        <w:t xml:space="preserve">organizata </w:t>
      </w:r>
      <w:r w:rsidR="00F75F86">
        <w:rPr>
          <w:rFonts w:ascii="Sylfaen" w:hAnsi="Sylfaen"/>
          <w:lang w:val="sq-AL"/>
        </w:rPr>
        <w:t xml:space="preserve">të cilët kanë qenë </w:t>
      </w:r>
      <w:r w:rsidR="00BB746B">
        <w:rPr>
          <w:rFonts w:ascii="Sylfaen" w:hAnsi="Sylfaen"/>
          <w:lang w:val="sq-AL"/>
        </w:rPr>
        <w:t>pjesë e vendosjes së</w:t>
      </w:r>
      <w:r>
        <w:rPr>
          <w:rFonts w:ascii="Sylfaen" w:hAnsi="Sylfaen"/>
          <w:lang w:val="sq-AL"/>
        </w:rPr>
        <w:t xml:space="preserve"> masave e aktiviteteve</w:t>
      </w:r>
      <w:r w:rsidR="00F75F86">
        <w:rPr>
          <w:rFonts w:ascii="Sylfaen" w:hAnsi="Sylfaen"/>
          <w:lang w:val="sq-AL"/>
        </w:rPr>
        <w:t xml:space="preserve"> në strategji dhe do të jenë </w:t>
      </w:r>
      <w:r>
        <w:rPr>
          <w:rFonts w:ascii="Sylfaen" w:hAnsi="Sylfaen"/>
          <w:lang w:val="sq-AL"/>
        </w:rPr>
        <w:t>pjesë e punës së tyre</w:t>
      </w:r>
      <w:r w:rsidR="00F75F86">
        <w:rPr>
          <w:rFonts w:ascii="Sylfaen" w:hAnsi="Sylfaen"/>
          <w:lang w:val="sq-AL"/>
        </w:rPr>
        <w:t xml:space="preserve"> të përditshme</w:t>
      </w:r>
      <w:r>
        <w:rPr>
          <w:rFonts w:ascii="Sylfaen" w:hAnsi="Sylfaen"/>
          <w:lang w:val="sq-AL"/>
        </w:rPr>
        <w:t xml:space="preserve">. Krahas kësaj periudhe Zyra për Qeverisje të Mirë/Zyra e Kryeministrit si bartëse e këtij procesi kemi organizuara takime rajonale duke filluar me </w:t>
      </w:r>
      <w:r w:rsidR="00BB746B" w:rsidRPr="00BB746B">
        <w:rPr>
          <w:rFonts w:ascii="Sylfaen" w:hAnsi="Sylfaen"/>
          <w:lang w:val="sq-AL"/>
        </w:rPr>
        <w:t xml:space="preserve"> Mitrovicë</w:t>
      </w:r>
      <w:r>
        <w:rPr>
          <w:rFonts w:ascii="Sylfaen" w:hAnsi="Sylfaen"/>
          <w:lang w:val="sq-AL"/>
        </w:rPr>
        <w:t>n</w:t>
      </w:r>
      <w:r w:rsidR="00BB746B" w:rsidRPr="00BB746B">
        <w:rPr>
          <w:rFonts w:ascii="Sylfaen" w:hAnsi="Sylfaen"/>
          <w:lang w:val="sq-AL"/>
        </w:rPr>
        <w:t xml:space="preserve"> me 09 tetor 2018, Pejë</w:t>
      </w:r>
      <w:r>
        <w:rPr>
          <w:rFonts w:ascii="Sylfaen" w:hAnsi="Sylfaen"/>
          <w:lang w:val="sq-AL"/>
        </w:rPr>
        <w:t>n</w:t>
      </w:r>
      <w:r w:rsidR="00BB746B" w:rsidRPr="00BB746B">
        <w:rPr>
          <w:rFonts w:ascii="Sylfaen" w:hAnsi="Sylfaen"/>
          <w:lang w:val="sq-AL"/>
        </w:rPr>
        <w:t xml:space="preserve"> me 12 tetor 2018, Prishtinë</w:t>
      </w:r>
      <w:r>
        <w:rPr>
          <w:rFonts w:ascii="Sylfaen" w:hAnsi="Sylfaen"/>
          <w:lang w:val="sq-AL"/>
        </w:rPr>
        <w:t>n</w:t>
      </w:r>
      <w:r w:rsidR="00BB746B" w:rsidRPr="00BB746B">
        <w:rPr>
          <w:rFonts w:ascii="Sylfaen" w:hAnsi="Sylfaen"/>
          <w:lang w:val="sq-AL"/>
        </w:rPr>
        <w:t xml:space="preserve"> me 29 tetor 2018, Prizreni</w:t>
      </w:r>
      <w:r>
        <w:rPr>
          <w:rFonts w:ascii="Sylfaen" w:hAnsi="Sylfaen"/>
          <w:lang w:val="sq-AL"/>
        </w:rPr>
        <w:t>n</w:t>
      </w:r>
      <w:r w:rsidR="00BB746B" w:rsidRPr="00BB746B">
        <w:rPr>
          <w:rFonts w:ascii="Sylfaen" w:hAnsi="Sylfaen"/>
          <w:lang w:val="sq-AL"/>
        </w:rPr>
        <w:t xml:space="preserve"> me 30 tetor 2018 dhe Gjilan</w:t>
      </w:r>
      <w:r>
        <w:rPr>
          <w:rFonts w:ascii="Sylfaen" w:hAnsi="Sylfaen"/>
          <w:lang w:val="sq-AL"/>
        </w:rPr>
        <w:t>in</w:t>
      </w:r>
      <w:r w:rsidR="00BB746B" w:rsidRPr="00BB746B">
        <w:rPr>
          <w:rFonts w:ascii="Sylfaen" w:hAnsi="Sylfaen"/>
          <w:lang w:val="sq-AL"/>
        </w:rPr>
        <w:t xml:space="preserve"> me 05 nëntor 2018.  </w:t>
      </w:r>
      <w:r w:rsidR="00BB746B" w:rsidRPr="00BB746B">
        <w:rPr>
          <w:rFonts w:ascii="Sylfaen" w:hAnsi="Sylfaen" w:cs="Segoe UI Light"/>
          <w:lang w:val="sq-AL"/>
        </w:rPr>
        <w:t>Në përgjithësi, 54 përfaqësues të OSHC-ve, palëve të interesuara dhe qytetarëve kanë marrë pjesë në takimet konsultuese. Takimet kanë rezultuar me 43 rekomandime dhe komente specifike.</w:t>
      </w:r>
      <w:r w:rsidR="00BB746B" w:rsidRPr="00BB746B">
        <w:rPr>
          <w:rFonts w:ascii="Sylfaen" w:hAnsi="Sylfaen" w:cs="Calibri Light"/>
          <w:color w:val="000000" w:themeColor="text1"/>
          <w:lang w:val="sq-AL"/>
        </w:rPr>
        <w:t xml:space="preserve"> </w:t>
      </w:r>
      <w:r w:rsidR="00BB746B" w:rsidRPr="00BB746B">
        <w:rPr>
          <w:rFonts w:ascii="Sylfaen" w:hAnsi="Sylfaen" w:cs="Segoe UI Light"/>
          <w:lang w:val="sq-AL"/>
        </w:rPr>
        <w:t xml:space="preserve">Afati fillestar për konsultim u zgjat nga 1 deri në 9 nëntor për të lejuar procesin e konsultimeve on-line të shoqërojnë takimet rajonale të konsultimeve dhe të sigurojnë hapësirë për komentet shtesë që do të sigurohen nga organizatat dhe palët e interesuara. Janë konfirmuar 22 komente të cilat janë dhënë nga </w:t>
      </w:r>
      <w:r w:rsidR="00F75F86">
        <w:rPr>
          <w:rFonts w:ascii="Sylfaen" w:hAnsi="Sylfaen" w:cs="Segoe UI Light"/>
          <w:lang w:val="sq-AL"/>
        </w:rPr>
        <w:t>kontribu</w:t>
      </w:r>
      <w:r w:rsidR="00F75F86" w:rsidRPr="00BB746B">
        <w:rPr>
          <w:rFonts w:ascii="Sylfaen" w:hAnsi="Sylfaen" w:cs="Segoe UI Light"/>
          <w:lang w:val="sq-AL"/>
        </w:rPr>
        <w:t>uesit</w:t>
      </w:r>
      <w:r w:rsidR="00BB746B" w:rsidRPr="00BB746B">
        <w:rPr>
          <w:rFonts w:ascii="Sylfaen" w:hAnsi="Sylfaen" w:cs="Segoe UI Light"/>
          <w:lang w:val="sq-AL"/>
        </w:rPr>
        <w:t xml:space="preserve">, dhjetë nga to janë pranuar dhe tri nga to janë refuzuar. </w:t>
      </w:r>
    </w:p>
    <w:p w14:paraId="48D78F4C" w14:textId="77777777" w:rsidR="00E74252" w:rsidRPr="00E82B00" w:rsidRDefault="00E74252" w:rsidP="00E74252">
      <w:pPr>
        <w:jc w:val="center"/>
        <w:rPr>
          <w:rFonts w:ascii="Sylfaen" w:hAnsi="Sylfaen"/>
          <w:b/>
          <w:lang w:val="sq-AL"/>
        </w:rPr>
      </w:pPr>
      <w:r w:rsidRPr="00E82B00">
        <w:rPr>
          <w:rFonts w:ascii="Sylfaen" w:hAnsi="Sylfaen"/>
          <w:b/>
          <w:lang w:val="sq-AL"/>
        </w:rPr>
        <w:t>Çështje tjera</w:t>
      </w:r>
    </w:p>
    <w:p w14:paraId="10A122E4" w14:textId="77777777" w:rsidR="00E74252" w:rsidRPr="00E82B00" w:rsidRDefault="00E74252" w:rsidP="00E74252">
      <w:pPr>
        <w:jc w:val="both"/>
        <w:rPr>
          <w:rFonts w:ascii="Sylfaen" w:hAnsi="Sylfaen"/>
          <w:i/>
          <w:lang w:val="sq-AL"/>
        </w:rPr>
      </w:pPr>
    </w:p>
    <w:p w14:paraId="522C9FF5" w14:textId="5715A4D7" w:rsidR="00E74252" w:rsidRDefault="00F75F86" w:rsidP="00E74252">
      <w:pPr>
        <w:jc w:val="both"/>
        <w:rPr>
          <w:rFonts w:ascii="Sylfaen" w:hAnsi="Sylfaen"/>
          <w:lang w:val="sq-AL"/>
        </w:rPr>
      </w:pPr>
      <w:r>
        <w:rPr>
          <w:rFonts w:ascii="Sylfaen" w:hAnsi="Sylfaen"/>
          <w:color w:val="000000" w:themeColor="text1"/>
        </w:rPr>
        <w:t xml:space="preserve">Zyra </w:t>
      </w:r>
      <w:proofErr w:type="spellStart"/>
      <w:r>
        <w:rPr>
          <w:rFonts w:ascii="Sylfaen" w:hAnsi="Sylfaen"/>
          <w:color w:val="000000" w:themeColor="text1"/>
        </w:rPr>
        <w:t>për</w:t>
      </w:r>
      <w:proofErr w:type="spellEnd"/>
      <w:r>
        <w:rPr>
          <w:rFonts w:ascii="Sylfaen" w:hAnsi="Sylfaen"/>
          <w:color w:val="000000" w:themeColor="text1"/>
        </w:rPr>
        <w:t xml:space="preserve"> </w:t>
      </w:r>
      <w:proofErr w:type="spellStart"/>
      <w:r>
        <w:rPr>
          <w:rFonts w:ascii="Sylfaen" w:hAnsi="Sylfaen"/>
          <w:color w:val="000000" w:themeColor="text1"/>
        </w:rPr>
        <w:t>Qeverisje</w:t>
      </w:r>
      <w:proofErr w:type="spellEnd"/>
      <w:r>
        <w:rPr>
          <w:rFonts w:ascii="Sylfaen" w:hAnsi="Sylfaen"/>
          <w:color w:val="000000" w:themeColor="text1"/>
        </w:rPr>
        <w:t xml:space="preserve"> të </w:t>
      </w:r>
      <w:proofErr w:type="spellStart"/>
      <w:r>
        <w:rPr>
          <w:rFonts w:ascii="Sylfaen" w:hAnsi="Sylfaen"/>
          <w:color w:val="000000" w:themeColor="text1"/>
        </w:rPr>
        <w:t>Mirë</w:t>
      </w:r>
      <w:proofErr w:type="spellEnd"/>
      <w:r>
        <w:rPr>
          <w:rFonts w:ascii="Sylfaen" w:hAnsi="Sylfaen"/>
          <w:color w:val="000000" w:themeColor="text1"/>
        </w:rPr>
        <w:t xml:space="preserve">/Zyra e </w:t>
      </w:r>
      <w:proofErr w:type="spellStart"/>
      <w:r>
        <w:rPr>
          <w:rFonts w:ascii="Sylfaen" w:hAnsi="Sylfaen"/>
          <w:color w:val="000000" w:themeColor="text1"/>
        </w:rPr>
        <w:t>Kryeministrit</w:t>
      </w:r>
      <w:proofErr w:type="spellEnd"/>
      <w:r>
        <w:rPr>
          <w:rFonts w:ascii="Sylfaen" w:hAnsi="Sylfaen"/>
          <w:color w:val="000000" w:themeColor="text1"/>
        </w:rPr>
        <w:t xml:space="preserve"> </w:t>
      </w:r>
      <w:proofErr w:type="spellStart"/>
      <w:r>
        <w:rPr>
          <w:rFonts w:ascii="Sylfaen" w:hAnsi="Sylfaen"/>
          <w:color w:val="000000" w:themeColor="text1"/>
        </w:rPr>
        <w:t>bashkë</w:t>
      </w:r>
      <w:proofErr w:type="spellEnd"/>
      <w:r>
        <w:rPr>
          <w:rFonts w:ascii="Sylfaen" w:hAnsi="Sylfaen"/>
          <w:color w:val="000000" w:themeColor="text1"/>
        </w:rPr>
        <w:t xml:space="preserve"> me </w:t>
      </w:r>
      <w:proofErr w:type="spellStart"/>
      <w:r>
        <w:rPr>
          <w:rFonts w:ascii="Sylfaen" w:hAnsi="Sylfaen"/>
          <w:color w:val="000000" w:themeColor="text1"/>
        </w:rPr>
        <w:t>Ekipin</w:t>
      </w:r>
      <w:proofErr w:type="spellEnd"/>
      <w:r>
        <w:rPr>
          <w:rFonts w:ascii="Sylfaen" w:hAnsi="Sylfaen"/>
          <w:color w:val="000000" w:themeColor="text1"/>
        </w:rPr>
        <w:t xml:space="preserve"> e Punës </w:t>
      </w:r>
      <w:proofErr w:type="spellStart"/>
      <w:r>
        <w:rPr>
          <w:rFonts w:ascii="Sylfaen" w:hAnsi="Sylfaen"/>
          <w:color w:val="000000" w:themeColor="text1"/>
        </w:rPr>
        <w:t>për</w:t>
      </w:r>
      <w:proofErr w:type="spellEnd"/>
      <w:r>
        <w:rPr>
          <w:rFonts w:ascii="Sylfaen" w:hAnsi="Sylfaen"/>
          <w:color w:val="000000" w:themeColor="text1"/>
        </w:rPr>
        <w:t xml:space="preserve"> </w:t>
      </w:r>
      <w:proofErr w:type="spellStart"/>
      <w:r>
        <w:rPr>
          <w:rFonts w:ascii="Sylfaen" w:hAnsi="Sylfaen"/>
          <w:color w:val="000000" w:themeColor="text1"/>
        </w:rPr>
        <w:t>hartimin</w:t>
      </w:r>
      <w:proofErr w:type="spellEnd"/>
      <w:r>
        <w:rPr>
          <w:rFonts w:ascii="Sylfaen" w:hAnsi="Sylfaen"/>
          <w:color w:val="000000" w:themeColor="text1"/>
        </w:rPr>
        <w:t xml:space="preserve"> e </w:t>
      </w:r>
      <w:proofErr w:type="spellStart"/>
      <w:r>
        <w:rPr>
          <w:rFonts w:ascii="Sylfaen" w:hAnsi="Sylfaen"/>
          <w:color w:val="000000" w:themeColor="text1"/>
        </w:rPr>
        <w:t>këtij</w:t>
      </w:r>
      <w:proofErr w:type="spellEnd"/>
      <w:r>
        <w:rPr>
          <w:rFonts w:ascii="Sylfaen" w:hAnsi="Sylfaen"/>
          <w:color w:val="000000" w:themeColor="text1"/>
        </w:rPr>
        <w:t xml:space="preserve"> </w:t>
      </w:r>
      <w:proofErr w:type="spellStart"/>
      <w:r>
        <w:rPr>
          <w:rFonts w:ascii="Sylfaen" w:hAnsi="Sylfaen"/>
          <w:color w:val="000000" w:themeColor="text1"/>
        </w:rPr>
        <w:t>dokumenti</w:t>
      </w:r>
      <w:proofErr w:type="spellEnd"/>
      <w:r>
        <w:rPr>
          <w:rFonts w:ascii="Sylfaen" w:hAnsi="Sylfaen"/>
          <w:color w:val="000000" w:themeColor="text1"/>
        </w:rPr>
        <w:t xml:space="preserve">, </w:t>
      </w:r>
      <w:proofErr w:type="spellStart"/>
      <w:r>
        <w:rPr>
          <w:rFonts w:ascii="Sylfaen" w:hAnsi="Sylfaen"/>
          <w:color w:val="000000" w:themeColor="text1"/>
        </w:rPr>
        <w:t>objektivat</w:t>
      </w:r>
      <w:proofErr w:type="spellEnd"/>
      <w:r>
        <w:rPr>
          <w:rFonts w:ascii="Sylfaen" w:hAnsi="Sylfaen"/>
          <w:color w:val="000000" w:themeColor="text1"/>
        </w:rPr>
        <w:t xml:space="preserve"> e </w:t>
      </w:r>
      <w:proofErr w:type="spellStart"/>
      <w:r>
        <w:rPr>
          <w:rFonts w:ascii="Sylfaen" w:hAnsi="Sylfaen"/>
          <w:color w:val="000000" w:themeColor="text1"/>
        </w:rPr>
        <w:t>s</w:t>
      </w:r>
      <w:r w:rsidRPr="00BB746B">
        <w:rPr>
          <w:rFonts w:ascii="Sylfaen" w:hAnsi="Sylfaen"/>
          <w:color w:val="000000" w:themeColor="text1"/>
        </w:rPr>
        <w:t>trategjisë</w:t>
      </w:r>
      <w:proofErr w:type="spellEnd"/>
      <w:r w:rsidRPr="00BB746B">
        <w:rPr>
          <w:rFonts w:ascii="Sylfaen" w:hAnsi="Sylfaen"/>
          <w:color w:val="000000" w:themeColor="text1"/>
        </w:rPr>
        <w:t xml:space="preserve"> 2019-2023 </w:t>
      </w:r>
      <w:r>
        <w:rPr>
          <w:rFonts w:ascii="Sylfaen" w:hAnsi="Sylfaen"/>
          <w:color w:val="000000" w:themeColor="text1"/>
        </w:rPr>
        <w:t xml:space="preserve">i </w:t>
      </w:r>
      <w:proofErr w:type="spellStart"/>
      <w:r>
        <w:rPr>
          <w:rFonts w:ascii="Sylfaen" w:hAnsi="Sylfaen"/>
          <w:color w:val="000000" w:themeColor="text1"/>
        </w:rPr>
        <w:t>kanë</w:t>
      </w:r>
      <w:proofErr w:type="spellEnd"/>
      <w:r>
        <w:rPr>
          <w:rFonts w:ascii="Sylfaen" w:hAnsi="Sylfaen"/>
          <w:color w:val="000000" w:themeColor="text1"/>
        </w:rPr>
        <w:t xml:space="preserve"> </w:t>
      </w:r>
      <w:proofErr w:type="spellStart"/>
      <w:r w:rsidRPr="00BB746B">
        <w:rPr>
          <w:rFonts w:ascii="Sylfaen" w:hAnsi="Sylfaen"/>
          <w:color w:val="000000" w:themeColor="text1"/>
        </w:rPr>
        <w:t>vendosur</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në</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bazë</w:t>
      </w:r>
      <w:proofErr w:type="spellEnd"/>
      <w:r w:rsidRPr="00BB746B">
        <w:rPr>
          <w:rFonts w:ascii="Sylfaen" w:hAnsi="Sylfaen"/>
          <w:color w:val="000000" w:themeColor="text1"/>
        </w:rPr>
        <w:t xml:space="preserve"> të </w:t>
      </w:r>
      <w:proofErr w:type="spellStart"/>
      <w:r w:rsidRPr="00BB746B">
        <w:rPr>
          <w:rFonts w:ascii="Sylfaen" w:hAnsi="Sylfaen"/>
          <w:color w:val="000000" w:themeColor="text1"/>
        </w:rPr>
        <w:t>konsultimeve</w:t>
      </w:r>
      <w:proofErr w:type="spellEnd"/>
      <w:r w:rsidRPr="00BB746B">
        <w:rPr>
          <w:rFonts w:ascii="Sylfaen" w:hAnsi="Sylfaen"/>
          <w:color w:val="000000" w:themeColor="text1"/>
        </w:rPr>
        <w:t xml:space="preserve"> me </w:t>
      </w:r>
      <w:proofErr w:type="spellStart"/>
      <w:r w:rsidRPr="00BB746B">
        <w:rPr>
          <w:rFonts w:ascii="Sylfaen" w:hAnsi="Sylfaen"/>
          <w:color w:val="000000" w:themeColor="text1"/>
        </w:rPr>
        <w:t>shoqërinë</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civile</w:t>
      </w:r>
      <w:proofErr w:type="spellEnd"/>
      <w:r w:rsidRPr="00BB746B">
        <w:rPr>
          <w:rFonts w:ascii="Sylfaen" w:hAnsi="Sylfaen"/>
          <w:color w:val="000000" w:themeColor="text1"/>
        </w:rPr>
        <w:t xml:space="preserve"> duke i </w:t>
      </w:r>
      <w:proofErr w:type="spellStart"/>
      <w:r w:rsidRPr="00BB746B">
        <w:rPr>
          <w:rFonts w:ascii="Sylfaen" w:hAnsi="Sylfaen"/>
          <w:color w:val="000000" w:themeColor="text1"/>
        </w:rPr>
        <w:t>marrë</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parasysh</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rezultatet</w:t>
      </w:r>
      <w:proofErr w:type="spellEnd"/>
      <w:r w:rsidRPr="00BB746B">
        <w:rPr>
          <w:rFonts w:ascii="Sylfaen" w:hAnsi="Sylfaen"/>
          <w:color w:val="000000" w:themeColor="text1"/>
        </w:rPr>
        <w:t xml:space="preserve"> e </w:t>
      </w:r>
      <w:proofErr w:type="spellStart"/>
      <w:r w:rsidRPr="00BB746B">
        <w:rPr>
          <w:rFonts w:ascii="Sylfaen" w:hAnsi="Sylfaen"/>
          <w:color w:val="000000" w:themeColor="text1"/>
        </w:rPr>
        <w:t>vlerësimit</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për</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strategjinë</w:t>
      </w:r>
      <w:proofErr w:type="spellEnd"/>
      <w:r w:rsidRPr="00BB746B">
        <w:rPr>
          <w:rFonts w:ascii="Sylfaen" w:hAnsi="Sylfaen"/>
          <w:color w:val="000000" w:themeColor="text1"/>
        </w:rPr>
        <w:t xml:space="preserve"> e </w:t>
      </w:r>
      <w:proofErr w:type="spellStart"/>
      <w:r w:rsidRPr="00BB746B">
        <w:rPr>
          <w:rFonts w:ascii="Sylfaen" w:hAnsi="Sylfaen"/>
          <w:color w:val="000000" w:themeColor="text1"/>
        </w:rPr>
        <w:t>mëparshme</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si</w:t>
      </w:r>
      <w:proofErr w:type="spellEnd"/>
      <w:r w:rsidRPr="00BB746B">
        <w:rPr>
          <w:rFonts w:ascii="Sylfaen" w:hAnsi="Sylfaen"/>
          <w:color w:val="000000" w:themeColor="text1"/>
        </w:rPr>
        <w:t xml:space="preserve"> dhe </w:t>
      </w:r>
      <w:proofErr w:type="spellStart"/>
      <w:r w:rsidRPr="00BB746B">
        <w:rPr>
          <w:rFonts w:ascii="Sylfaen" w:hAnsi="Sylfaen"/>
          <w:color w:val="000000" w:themeColor="text1"/>
        </w:rPr>
        <w:t>prioritetet</w:t>
      </w:r>
      <w:proofErr w:type="spellEnd"/>
      <w:r w:rsidRPr="00BB746B">
        <w:rPr>
          <w:rFonts w:ascii="Sylfaen" w:hAnsi="Sylfaen"/>
          <w:color w:val="000000" w:themeColor="text1"/>
        </w:rPr>
        <w:t xml:space="preserve"> e </w:t>
      </w:r>
      <w:proofErr w:type="spellStart"/>
      <w:r w:rsidRPr="00BB746B">
        <w:rPr>
          <w:rFonts w:ascii="Sylfaen" w:hAnsi="Sylfaen"/>
          <w:color w:val="000000" w:themeColor="text1"/>
        </w:rPr>
        <w:t>gjera</w:t>
      </w:r>
      <w:proofErr w:type="spellEnd"/>
      <w:r w:rsidRPr="00BB746B">
        <w:rPr>
          <w:rFonts w:ascii="Sylfaen" w:hAnsi="Sylfaen"/>
          <w:color w:val="000000" w:themeColor="text1"/>
        </w:rPr>
        <w:t xml:space="preserve"> të </w:t>
      </w:r>
      <w:proofErr w:type="spellStart"/>
      <w:r w:rsidRPr="00BB746B">
        <w:rPr>
          <w:rFonts w:ascii="Sylfaen" w:hAnsi="Sylfaen"/>
          <w:color w:val="000000" w:themeColor="text1"/>
        </w:rPr>
        <w:t>vendosura</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në</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dokumentet</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përkatëse</w:t>
      </w:r>
      <w:proofErr w:type="spellEnd"/>
      <w:r w:rsidRPr="00BB746B">
        <w:rPr>
          <w:rFonts w:ascii="Sylfaen" w:hAnsi="Sylfaen"/>
          <w:color w:val="000000" w:themeColor="text1"/>
        </w:rPr>
        <w:t xml:space="preserve"> të </w:t>
      </w:r>
      <w:proofErr w:type="spellStart"/>
      <w:r w:rsidRPr="00BB746B">
        <w:rPr>
          <w:rFonts w:ascii="Sylfaen" w:hAnsi="Sylfaen"/>
          <w:color w:val="000000" w:themeColor="text1"/>
        </w:rPr>
        <w:t>Bashkimit</w:t>
      </w:r>
      <w:proofErr w:type="spellEnd"/>
      <w:r w:rsidRPr="00BB746B">
        <w:rPr>
          <w:rFonts w:ascii="Sylfaen" w:hAnsi="Sylfaen"/>
          <w:color w:val="000000" w:themeColor="text1"/>
        </w:rPr>
        <w:t xml:space="preserve"> </w:t>
      </w:r>
      <w:proofErr w:type="spellStart"/>
      <w:r w:rsidRPr="00BB746B">
        <w:rPr>
          <w:rFonts w:ascii="Sylfaen" w:hAnsi="Sylfaen"/>
          <w:color w:val="000000" w:themeColor="text1"/>
        </w:rPr>
        <w:t>Evropian</w:t>
      </w:r>
      <w:proofErr w:type="spellEnd"/>
      <w:r w:rsidRPr="00BB746B">
        <w:rPr>
          <w:rFonts w:ascii="Sylfaen" w:hAnsi="Sylfaen"/>
          <w:color w:val="000000" w:themeColor="text1"/>
        </w:rPr>
        <w:t>.</w:t>
      </w:r>
    </w:p>
    <w:p w14:paraId="2203ECC4" w14:textId="77777777" w:rsidR="00BB746B" w:rsidRPr="00E82B00" w:rsidRDefault="00BB746B" w:rsidP="00E74252">
      <w:pPr>
        <w:jc w:val="both"/>
        <w:rPr>
          <w:rFonts w:ascii="Sylfaen" w:hAnsi="Sylfaen"/>
          <w:lang w:val="sq-AL"/>
        </w:rPr>
      </w:pPr>
    </w:p>
    <w:p w14:paraId="15015126" w14:textId="77777777" w:rsidR="00E74252" w:rsidRPr="00E82B00" w:rsidRDefault="00E74252" w:rsidP="00E74252">
      <w:pPr>
        <w:jc w:val="center"/>
        <w:rPr>
          <w:rFonts w:ascii="Sylfaen" w:hAnsi="Sylfaen"/>
          <w:b/>
          <w:lang w:val="sq-AL"/>
        </w:rPr>
      </w:pPr>
      <w:r w:rsidRPr="00E82B00">
        <w:rPr>
          <w:rFonts w:ascii="Sylfaen" w:hAnsi="Sylfaen"/>
          <w:b/>
          <w:lang w:val="sq-AL"/>
        </w:rPr>
        <w:t>Hapat e ardhshëm</w:t>
      </w:r>
    </w:p>
    <w:p w14:paraId="12E9C1AA" w14:textId="1D448BAE" w:rsidR="00F75F86" w:rsidRPr="00A24990" w:rsidRDefault="00F75F86" w:rsidP="00F75F86">
      <w:pPr>
        <w:jc w:val="both"/>
        <w:rPr>
          <w:rFonts w:ascii="Sylfaen" w:hAnsi="Sylfaen"/>
          <w:lang w:val="sq-AL"/>
        </w:rPr>
      </w:pPr>
      <w:r>
        <w:rPr>
          <w:rFonts w:ascii="Sylfaen" w:hAnsi="Sylfaen"/>
          <w:lang w:val="sq-AL"/>
        </w:rPr>
        <w:t>P</w:t>
      </w:r>
      <w:r w:rsidRPr="00A24990">
        <w:rPr>
          <w:rFonts w:ascii="Sylfaen" w:hAnsi="Sylfaen"/>
          <w:lang w:val="sq-AL"/>
        </w:rPr>
        <w:t>rocesi i konsultimit është përmbyllur ne jemi në finalizim t</w:t>
      </w:r>
      <w:r>
        <w:rPr>
          <w:rFonts w:ascii="Sylfaen" w:hAnsi="Sylfaen"/>
          <w:lang w:val="sq-AL"/>
        </w:rPr>
        <w:t xml:space="preserve">ë dokumenti dhe </w:t>
      </w:r>
      <w:r w:rsidRPr="00A24990">
        <w:rPr>
          <w:rFonts w:ascii="Sylfaen" w:hAnsi="Sylfaen"/>
          <w:lang w:val="sq-AL"/>
        </w:rPr>
        <w:t xml:space="preserve">procedimin e dokumentit </w:t>
      </w:r>
      <w:r>
        <w:rPr>
          <w:rFonts w:ascii="Sylfaen" w:hAnsi="Sylfaen"/>
          <w:lang w:val="sq-AL"/>
        </w:rPr>
        <w:t xml:space="preserve">për aprovim </w:t>
      </w:r>
      <w:r w:rsidRPr="00A24990">
        <w:rPr>
          <w:rFonts w:ascii="Sylfaen" w:hAnsi="Sylfaen"/>
          <w:lang w:val="sq-AL"/>
        </w:rPr>
        <w:t xml:space="preserve">sipas procedurave të parapara të qeverisë. </w:t>
      </w:r>
      <w:r>
        <w:rPr>
          <w:rFonts w:ascii="Sylfaen" w:hAnsi="Sylfaen"/>
          <w:lang w:val="sq-AL"/>
        </w:rPr>
        <w:t>Raporti i konsultimit dhe verzioni i fundit i dokumentit do te publikohen ne platformën për konsultime me publikun .</w:t>
      </w:r>
    </w:p>
    <w:p w14:paraId="0D015799" w14:textId="35AF31ED" w:rsidR="00E74252" w:rsidRPr="00A24990" w:rsidRDefault="00E74252" w:rsidP="00E74252">
      <w:pPr>
        <w:rPr>
          <w:rFonts w:ascii="Sylfaen" w:hAnsi="Sylfaen"/>
          <w:lang w:val="sq-AL"/>
        </w:rPr>
      </w:pPr>
    </w:p>
    <w:p w14:paraId="1D1B15F6" w14:textId="33262F12" w:rsidR="00414FA7" w:rsidRPr="00E82B00" w:rsidRDefault="00414FA7" w:rsidP="00E74252">
      <w:pPr>
        <w:rPr>
          <w:rFonts w:ascii="Sylfaen" w:hAnsi="Sylfaen"/>
          <w:lang w:val="sq-AL"/>
        </w:rPr>
      </w:pPr>
    </w:p>
    <w:p w14:paraId="44E33D6D" w14:textId="77777777" w:rsidR="00414FA7" w:rsidRPr="00E82B00" w:rsidRDefault="00414FA7" w:rsidP="00E74252">
      <w:pPr>
        <w:rPr>
          <w:rFonts w:ascii="Sylfaen" w:hAnsi="Sylfaen"/>
          <w:lang w:val="sq-AL"/>
        </w:rPr>
      </w:pPr>
    </w:p>
    <w:p w14:paraId="078A40A2" w14:textId="77777777" w:rsidR="00E74252" w:rsidRPr="00E82B00" w:rsidRDefault="00E74252" w:rsidP="00E74252">
      <w:pPr>
        <w:rPr>
          <w:rFonts w:ascii="Sylfaen" w:hAnsi="Sylfaen"/>
          <w:lang w:val="sq-AL"/>
        </w:rPr>
      </w:pPr>
      <w:r w:rsidRPr="00E82B00">
        <w:rPr>
          <w:rFonts w:ascii="Sylfaen" w:hAnsi="Sylfaen"/>
          <w:lang w:val="sq-AL"/>
        </w:rPr>
        <w:lastRenderedPageBreak/>
        <w:t xml:space="preserve">Tabela e detajuar me informatat per kontribuesit, arsyetimet për përgjigjet e pranuara dhe të refuzuara.  </w:t>
      </w:r>
    </w:p>
    <w:tbl>
      <w:tblPr>
        <w:tblStyle w:val="GridTable1Light-Accent51"/>
        <w:tblW w:w="13585" w:type="dxa"/>
        <w:tblLook w:val="0420" w:firstRow="1" w:lastRow="0" w:firstColumn="0" w:lastColumn="0" w:noHBand="0" w:noVBand="1"/>
      </w:tblPr>
      <w:tblGrid>
        <w:gridCol w:w="1683"/>
        <w:gridCol w:w="2731"/>
        <w:gridCol w:w="3198"/>
        <w:gridCol w:w="5973"/>
      </w:tblGrid>
      <w:tr w:rsidR="00E74252" w:rsidRPr="00E82B00" w14:paraId="490FFBAB" w14:textId="77777777" w:rsidTr="00276D87">
        <w:trPr>
          <w:cnfStyle w:val="100000000000" w:firstRow="1" w:lastRow="0" w:firstColumn="0" w:lastColumn="0" w:oddVBand="0" w:evenVBand="0" w:oddHBand="0" w:evenHBand="0" w:firstRowFirstColumn="0" w:firstRowLastColumn="0" w:lastRowFirstColumn="0" w:lastRowLastColumn="0"/>
          <w:trHeight w:val="1582"/>
        </w:trPr>
        <w:tc>
          <w:tcPr>
            <w:tcW w:w="1683" w:type="dxa"/>
            <w:shd w:val="clear" w:color="auto" w:fill="FBE4D5" w:themeFill="accent2" w:themeFillTint="33"/>
            <w:hideMark/>
          </w:tcPr>
          <w:p w14:paraId="30AD02FC"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Emri   i organizatës /individit</w:t>
            </w:r>
          </w:p>
        </w:tc>
        <w:tc>
          <w:tcPr>
            <w:tcW w:w="2731" w:type="dxa"/>
            <w:shd w:val="clear" w:color="auto" w:fill="FBE4D5" w:themeFill="accent2" w:themeFillTint="33"/>
            <w:hideMark/>
          </w:tcPr>
          <w:p w14:paraId="78583C42"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Koment i organizatës /individit</w:t>
            </w:r>
          </w:p>
        </w:tc>
        <w:tc>
          <w:tcPr>
            <w:tcW w:w="3198" w:type="dxa"/>
            <w:shd w:val="clear" w:color="auto" w:fill="FBE4D5" w:themeFill="accent2" w:themeFillTint="33"/>
            <w:hideMark/>
          </w:tcPr>
          <w:p w14:paraId="6C0CB173" w14:textId="6FFA958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 xml:space="preserve">Përgjigja nga </w:t>
            </w:r>
            <w:r w:rsidR="00414FA7" w:rsidRPr="00E82B00">
              <w:rPr>
                <w:rFonts w:ascii="Sylfaen" w:hAnsi="Sylfaen"/>
                <w:b w:val="0"/>
                <w:bCs w:val="0"/>
                <w:sz w:val="22"/>
                <w:szCs w:val="22"/>
                <w:lang w:val="sq-AL"/>
              </w:rPr>
              <w:t>Zyra per Qeverisje te mirë/ Zyra e Kryeministrit</w:t>
            </w:r>
          </w:p>
          <w:p w14:paraId="3E00842F"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E pranuar plotësisht</w:t>
            </w:r>
          </w:p>
          <w:p w14:paraId="34DBDF35"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 xml:space="preserve">E pranuar pjesërisht </w:t>
            </w:r>
          </w:p>
          <w:p w14:paraId="720ECFD0" w14:textId="77777777" w:rsidR="00E74252" w:rsidRPr="00E82B00" w:rsidRDefault="00E74252" w:rsidP="00DE6341">
            <w:pPr>
              <w:rPr>
                <w:rFonts w:ascii="Sylfaen" w:hAnsi="Sylfaen"/>
                <w:sz w:val="22"/>
                <w:szCs w:val="22"/>
                <w:lang w:val="sq-AL"/>
              </w:rPr>
            </w:pPr>
            <w:r w:rsidRPr="00E82B00">
              <w:rPr>
                <w:rFonts w:ascii="Sylfaen" w:hAnsi="Sylfaen"/>
                <w:b w:val="0"/>
                <w:bCs w:val="0"/>
                <w:sz w:val="22"/>
                <w:szCs w:val="22"/>
                <w:lang w:val="sq-AL"/>
              </w:rPr>
              <w:t>E refuzuar</w:t>
            </w:r>
          </w:p>
          <w:p w14:paraId="3D475D6B" w14:textId="77777777" w:rsidR="00E74252" w:rsidRPr="00E82B00" w:rsidRDefault="00E74252" w:rsidP="00DE6341">
            <w:pPr>
              <w:rPr>
                <w:rFonts w:ascii="Sylfaen" w:hAnsi="Sylfaen"/>
                <w:sz w:val="22"/>
                <w:szCs w:val="22"/>
                <w:lang w:val="sq-AL"/>
              </w:rPr>
            </w:pPr>
          </w:p>
        </w:tc>
        <w:tc>
          <w:tcPr>
            <w:tcW w:w="5973" w:type="dxa"/>
            <w:shd w:val="clear" w:color="auto" w:fill="FBE4D5" w:themeFill="accent2" w:themeFillTint="33"/>
            <w:hideMark/>
          </w:tcPr>
          <w:p w14:paraId="2D5331DB" w14:textId="77777777" w:rsidR="00414FA7" w:rsidRPr="00E82B00" w:rsidRDefault="00E74252" w:rsidP="00414FA7">
            <w:pPr>
              <w:rPr>
                <w:rFonts w:ascii="Sylfaen" w:hAnsi="Sylfaen"/>
                <w:sz w:val="22"/>
                <w:szCs w:val="22"/>
                <w:lang w:val="sq-AL"/>
              </w:rPr>
            </w:pPr>
            <w:r w:rsidRPr="00E82B00">
              <w:rPr>
                <w:rFonts w:ascii="Sylfaen" w:hAnsi="Sylfaen"/>
                <w:b w:val="0"/>
                <w:bCs w:val="0"/>
                <w:sz w:val="22"/>
                <w:szCs w:val="22"/>
                <w:lang w:val="sq-AL"/>
              </w:rPr>
              <w:t xml:space="preserve">Sqarim nga </w:t>
            </w:r>
            <w:r w:rsidR="00414FA7" w:rsidRPr="00E82B00">
              <w:rPr>
                <w:rFonts w:ascii="Sylfaen" w:hAnsi="Sylfaen"/>
                <w:b w:val="0"/>
                <w:bCs w:val="0"/>
                <w:sz w:val="22"/>
                <w:szCs w:val="22"/>
                <w:lang w:val="sq-AL"/>
              </w:rPr>
              <w:t>Zyra per Qeverisje te mirë/ Zyra e Kryeministrit</w:t>
            </w:r>
          </w:p>
          <w:p w14:paraId="6B20169A" w14:textId="6BAC70E7" w:rsidR="00E74252" w:rsidRPr="00E82B00" w:rsidRDefault="00414FA7" w:rsidP="00414FA7">
            <w:pPr>
              <w:tabs>
                <w:tab w:val="left" w:pos="2556"/>
              </w:tabs>
              <w:ind w:right="541"/>
              <w:rPr>
                <w:rFonts w:ascii="Sylfaen" w:hAnsi="Sylfaen"/>
                <w:sz w:val="22"/>
                <w:szCs w:val="22"/>
                <w:lang w:val="sq-AL"/>
              </w:rPr>
            </w:pPr>
            <w:r w:rsidRPr="00E82B00">
              <w:rPr>
                <w:rFonts w:ascii="Sylfaen" w:hAnsi="Sylfaen"/>
                <w:b w:val="0"/>
                <w:bCs w:val="0"/>
                <w:sz w:val="22"/>
                <w:szCs w:val="22"/>
                <w:lang w:val="sq-AL"/>
              </w:rPr>
              <w:t xml:space="preserve"> </w:t>
            </w:r>
            <w:r w:rsidR="00E74252" w:rsidRPr="00E82B00">
              <w:rPr>
                <w:rFonts w:ascii="Sylfaen" w:hAnsi="Sylfaen"/>
                <w:b w:val="0"/>
                <w:bCs w:val="0"/>
                <w:sz w:val="22"/>
                <w:szCs w:val="22"/>
                <w:lang w:val="sq-AL"/>
              </w:rPr>
              <w:t>(veçanërisht arsyet për të mos pranuar komente të caktuara)</w:t>
            </w:r>
          </w:p>
        </w:tc>
      </w:tr>
      <w:tr w:rsidR="00CF0163" w:rsidRPr="00CF0163" w14:paraId="7E48AE62" w14:textId="77777777" w:rsidTr="00276D87">
        <w:trPr>
          <w:trHeight w:val="530"/>
        </w:trPr>
        <w:tc>
          <w:tcPr>
            <w:tcW w:w="4414" w:type="dxa"/>
            <w:gridSpan w:val="2"/>
            <w:shd w:val="clear" w:color="auto" w:fill="F2F2F2" w:themeFill="background1" w:themeFillShade="F2"/>
          </w:tcPr>
          <w:p w14:paraId="020900E9" w14:textId="5C4B28FB" w:rsidR="00CF0163" w:rsidRPr="00CF0163" w:rsidRDefault="00CF0163" w:rsidP="00CF0163">
            <w:pPr>
              <w:rPr>
                <w:rFonts w:ascii="Segoe UI Light" w:hAnsi="Segoe UI Light" w:cs="Segoe UI Light"/>
                <w:b/>
                <w:sz w:val="28"/>
                <w:szCs w:val="16"/>
                <w:lang w:val="sq-AL"/>
              </w:rPr>
            </w:pPr>
            <w:r>
              <w:rPr>
                <w:rFonts w:ascii="Sylfaen" w:hAnsi="Sylfaen"/>
                <w:b/>
                <w:sz w:val="28"/>
                <w:lang w:val="sq-AL"/>
              </w:rPr>
              <w:t>MITROVICA</w:t>
            </w:r>
          </w:p>
        </w:tc>
        <w:tc>
          <w:tcPr>
            <w:tcW w:w="3198" w:type="dxa"/>
            <w:shd w:val="clear" w:color="auto" w:fill="F2F2F2" w:themeFill="background1" w:themeFillShade="F2"/>
          </w:tcPr>
          <w:p w14:paraId="2E749BF3" w14:textId="77777777" w:rsidR="00CF0163" w:rsidRPr="00CF0163" w:rsidRDefault="00CF0163" w:rsidP="00CA3EBD">
            <w:pPr>
              <w:pStyle w:val="Heading2"/>
              <w:spacing w:before="0" w:beforeAutospacing="0" w:after="0" w:afterAutospacing="0"/>
              <w:jc w:val="center"/>
              <w:outlineLvl w:val="1"/>
              <w:rPr>
                <w:rFonts w:ascii="Segoe UI Light" w:hAnsi="Segoe UI Light" w:cs="Segoe UI Light"/>
                <w:color w:val="000000"/>
                <w:sz w:val="28"/>
                <w:szCs w:val="16"/>
                <w:lang w:val="sq-AL"/>
              </w:rPr>
            </w:pPr>
          </w:p>
        </w:tc>
        <w:tc>
          <w:tcPr>
            <w:tcW w:w="5973" w:type="dxa"/>
            <w:shd w:val="clear" w:color="auto" w:fill="F2F2F2" w:themeFill="background1" w:themeFillShade="F2"/>
          </w:tcPr>
          <w:p w14:paraId="4A8F80B0" w14:textId="77777777" w:rsidR="00CF0163" w:rsidRPr="00CF0163" w:rsidRDefault="00CF0163" w:rsidP="00CA3EBD">
            <w:pPr>
              <w:pStyle w:val="Heading2"/>
              <w:spacing w:after="0"/>
              <w:jc w:val="center"/>
              <w:outlineLvl w:val="1"/>
              <w:rPr>
                <w:rFonts w:ascii="Segoe UI Light" w:hAnsi="Segoe UI Light" w:cs="Segoe UI Light"/>
                <w:sz w:val="28"/>
                <w:szCs w:val="16"/>
                <w:lang w:val="sq-AL"/>
              </w:rPr>
            </w:pPr>
          </w:p>
        </w:tc>
      </w:tr>
      <w:tr w:rsidR="00E74252" w:rsidRPr="00F75F86" w14:paraId="792F199E" w14:textId="77777777" w:rsidTr="00276D87">
        <w:trPr>
          <w:trHeight w:val="510"/>
        </w:trPr>
        <w:tc>
          <w:tcPr>
            <w:tcW w:w="1683" w:type="dxa"/>
            <w:hideMark/>
          </w:tcPr>
          <w:p w14:paraId="0536B45A" w14:textId="77777777" w:rsidR="00E74252" w:rsidRPr="00F75F86" w:rsidRDefault="00E74252" w:rsidP="00DE6341">
            <w:pPr>
              <w:rPr>
                <w:rFonts w:ascii="Sylfaen" w:hAnsi="Sylfaen"/>
                <w:sz w:val="22"/>
                <w:szCs w:val="22"/>
                <w:lang w:val="sq-AL"/>
              </w:rPr>
            </w:pPr>
          </w:p>
        </w:tc>
        <w:tc>
          <w:tcPr>
            <w:tcW w:w="2731" w:type="dxa"/>
            <w:hideMark/>
          </w:tcPr>
          <w:p w14:paraId="1EB1A362" w14:textId="134A6867" w:rsidR="00E74252" w:rsidRPr="00F75F86" w:rsidRDefault="00B148B3" w:rsidP="00DE6341">
            <w:pPr>
              <w:rPr>
                <w:rFonts w:ascii="Sylfaen" w:hAnsi="Sylfaen"/>
                <w:sz w:val="22"/>
                <w:szCs w:val="22"/>
                <w:lang w:val="sq-AL"/>
              </w:rPr>
            </w:pPr>
            <w:r w:rsidRPr="00F75F86">
              <w:rPr>
                <w:rFonts w:ascii="Sylfaen" w:hAnsi="Sylfaen" w:cs="Segoe UI Light"/>
                <w:sz w:val="22"/>
                <w:szCs w:val="22"/>
                <w:lang w:val="sq-AL"/>
              </w:rPr>
              <w:t>Strategjia duhet të theksojë qartë se buxheti është vetëm për zbatimin e saj dhe nuk përfshin fondet që do t'u jepen OSHC-ve si rezultat i zbatimit të objektivave strategjikë;</w:t>
            </w:r>
          </w:p>
        </w:tc>
        <w:tc>
          <w:tcPr>
            <w:tcW w:w="3198" w:type="dxa"/>
            <w:hideMark/>
          </w:tcPr>
          <w:p w14:paraId="3554DB33" w14:textId="2875D74A" w:rsidR="00B148B3" w:rsidRPr="00F75F86" w:rsidRDefault="00B148B3" w:rsidP="00B148B3">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p w14:paraId="1FD5B368" w14:textId="77777777" w:rsidR="00E74252" w:rsidRPr="00F75F86" w:rsidRDefault="00E74252" w:rsidP="00B148B3">
            <w:pPr>
              <w:pStyle w:val="Heading2"/>
              <w:spacing w:before="0" w:beforeAutospacing="0" w:after="0" w:afterAutospacing="0"/>
              <w:outlineLvl w:val="1"/>
              <w:rPr>
                <w:rFonts w:ascii="Sylfaen" w:hAnsi="Sylfaen" w:cs="Segoe UI Light"/>
                <w:b w:val="0"/>
                <w:color w:val="000000"/>
                <w:sz w:val="22"/>
                <w:szCs w:val="22"/>
                <w:lang w:val="sq-AL"/>
              </w:rPr>
            </w:pPr>
          </w:p>
        </w:tc>
        <w:tc>
          <w:tcPr>
            <w:tcW w:w="5973" w:type="dxa"/>
            <w:hideMark/>
          </w:tcPr>
          <w:p w14:paraId="64505739" w14:textId="46EFFD93" w:rsidR="00E74252" w:rsidRPr="00F75F86" w:rsidRDefault="00B148B3" w:rsidP="00DE6341">
            <w:pPr>
              <w:ind w:right="667"/>
              <w:rPr>
                <w:rFonts w:ascii="Sylfaen" w:hAnsi="Sylfaen"/>
                <w:sz w:val="22"/>
                <w:szCs w:val="22"/>
                <w:lang w:val="sq-AL"/>
              </w:rPr>
            </w:pPr>
            <w:r w:rsidRPr="00F75F86">
              <w:rPr>
                <w:rFonts w:ascii="Sylfaen" w:hAnsi="Sylfaen" w:cs="Segoe UI Light"/>
                <w:color w:val="000000"/>
                <w:sz w:val="22"/>
                <w:szCs w:val="22"/>
                <w:lang w:val="sq-AL"/>
              </w:rPr>
              <w:t>Është shpjeguar në seksionin Ndikimet Financiare në Implementimin e Strategjisë: "Buxheti i llogaritur për zbatimin e Strategjisë dhe Planit të Veprimit është 500.000 EUR</w:t>
            </w:r>
            <w:r w:rsidRPr="00F75F86">
              <w:rPr>
                <w:rFonts w:ascii="Sylfaen" w:hAnsi="Sylfaen" w:cs="Segoe UI Light"/>
                <w:sz w:val="22"/>
                <w:szCs w:val="22"/>
                <w:lang w:val="sq-AL"/>
              </w:rPr>
              <w:t>.”</w:t>
            </w:r>
          </w:p>
        </w:tc>
      </w:tr>
      <w:tr w:rsidR="00B148B3" w:rsidRPr="00F75F86" w14:paraId="4052AD34" w14:textId="77777777" w:rsidTr="00276D87">
        <w:trPr>
          <w:trHeight w:val="440"/>
        </w:trPr>
        <w:tc>
          <w:tcPr>
            <w:tcW w:w="1683" w:type="dxa"/>
            <w:hideMark/>
          </w:tcPr>
          <w:p w14:paraId="1EF6C287" w14:textId="77777777" w:rsidR="00B148B3" w:rsidRPr="00F75F86" w:rsidRDefault="00B148B3" w:rsidP="00B148B3">
            <w:pPr>
              <w:rPr>
                <w:rFonts w:ascii="Sylfaen" w:hAnsi="Sylfaen"/>
                <w:sz w:val="22"/>
                <w:szCs w:val="22"/>
                <w:lang w:val="sq-AL"/>
              </w:rPr>
            </w:pPr>
          </w:p>
        </w:tc>
        <w:tc>
          <w:tcPr>
            <w:tcW w:w="2731" w:type="dxa"/>
            <w:hideMark/>
          </w:tcPr>
          <w:p w14:paraId="7B917FE5" w14:textId="0D3874C8" w:rsidR="00B148B3" w:rsidRPr="00F75F86" w:rsidRDefault="00B148B3" w:rsidP="00B148B3">
            <w:pPr>
              <w:rPr>
                <w:rFonts w:ascii="Sylfaen" w:hAnsi="Sylfaen"/>
                <w:sz w:val="22"/>
                <w:szCs w:val="22"/>
                <w:lang w:val="sq-AL"/>
              </w:rPr>
            </w:pPr>
            <w:r w:rsidRPr="00F75F86">
              <w:rPr>
                <w:rFonts w:ascii="Sylfaen" w:hAnsi="Sylfaen" w:cs="Segoe UI Light"/>
                <w:sz w:val="22"/>
                <w:szCs w:val="22"/>
                <w:lang w:val="sq-AL"/>
              </w:rPr>
              <w:t>Shumë nga objektivat dhe aktivitetet përsëriten nga strategjia e mëparshme;</w:t>
            </w:r>
          </w:p>
        </w:tc>
        <w:tc>
          <w:tcPr>
            <w:tcW w:w="3198" w:type="dxa"/>
            <w:hideMark/>
          </w:tcPr>
          <w:p w14:paraId="17E45FA4" w14:textId="1F80EED7" w:rsidR="00B148B3" w:rsidRPr="00F75F86" w:rsidRDefault="00B148B3" w:rsidP="00B148B3">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hideMark/>
          </w:tcPr>
          <w:p w14:paraId="2F35DC56" w14:textId="771CD178" w:rsidR="00B148B3" w:rsidRPr="00F75F86" w:rsidRDefault="00B148B3" w:rsidP="00B148B3">
            <w:pPr>
              <w:rPr>
                <w:rFonts w:ascii="Sylfaen" w:hAnsi="Sylfaen"/>
                <w:sz w:val="22"/>
                <w:szCs w:val="22"/>
                <w:lang w:val="sq-AL"/>
              </w:rPr>
            </w:pPr>
            <w:r w:rsidRPr="00F75F86">
              <w:rPr>
                <w:rFonts w:ascii="Sylfaen" w:hAnsi="Sylfaen" w:cs="Segoe UI Light"/>
                <w:color w:val="000000"/>
                <w:sz w:val="22"/>
                <w:szCs w:val="22"/>
                <w:lang w:val="sq-AL"/>
              </w:rPr>
              <w:t>Është shpjeguar në seksionin Përmbledhje Ekzekutive: "Ky vlerësim po ashtu ka theksuar rëndësinë e vazhdueshme të këtyre objektivave strategjike por ka adresuar edhe sfidat dhe mësimet e nxjerra</w:t>
            </w:r>
            <w:r w:rsidRPr="00F75F86">
              <w:rPr>
                <w:rFonts w:ascii="Sylfaen" w:hAnsi="Sylfaen" w:cs="Segoe UI Light"/>
                <w:sz w:val="22"/>
                <w:szCs w:val="22"/>
                <w:lang w:val="sq-AL"/>
              </w:rPr>
              <w:t>.”</w:t>
            </w:r>
          </w:p>
        </w:tc>
      </w:tr>
      <w:tr w:rsidR="00B148B3" w:rsidRPr="00F75F86" w14:paraId="6D4C494C" w14:textId="77777777" w:rsidTr="00276D87">
        <w:trPr>
          <w:trHeight w:val="530"/>
        </w:trPr>
        <w:tc>
          <w:tcPr>
            <w:tcW w:w="1683" w:type="dxa"/>
          </w:tcPr>
          <w:p w14:paraId="3ECB7530" w14:textId="77777777" w:rsidR="00B148B3" w:rsidRPr="00F75F86" w:rsidRDefault="00B148B3" w:rsidP="00B148B3">
            <w:pPr>
              <w:rPr>
                <w:rFonts w:ascii="Sylfaen" w:hAnsi="Sylfaen"/>
                <w:sz w:val="22"/>
                <w:szCs w:val="22"/>
                <w:lang w:val="sq-AL"/>
              </w:rPr>
            </w:pPr>
          </w:p>
        </w:tc>
        <w:tc>
          <w:tcPr>
            <w:tcW w:w="2731" w:type="dxa"/>
          </w:tcPr>
          <w:p w14:paraId="1E5B8F5A" w14:textId="7CA2ECE7" w:rsidR="00B148B3" w:rsidRPr="00F75F86" w:rsidRDefault="00B148B3" w:rsidP="00B148B3">
            <w:pPr>
              <w:rPr>
                <w:rFonts w:ascii="Sylfaen" w:hAnsi="Sylfaen"/>
                <w:sz w:val="22"/>
                <w:szCs w:val="22"/>
                <w:lang w:val="sq-AL"/>
              </w:rPr>
            </w:pPr>
            <w:r w:rsidRPr="00F75F86">
              <w:rPr>
                <w:rFonts w:ascii="Sylfaen" w:hAnsi="Sylfaen" w:cs="Segoe UI Light"/>
                <w:sz w:val="22"/>
                <w:szCs w:val="22"/>
                <w:lang w:val="sq-AL"/>
              </w:rPr>
              <w:t>Disa pjesëmarrës diskutuan përvojën e tyre (negative) me financimet nga niveli shtetëror dhe ai lokal në kuptimin që ata janë diskriminuar kundrejt atyre që kanë lidhje me institucionet dhe se në shumë raste fondet janë ndarë në mënyrë jo transparente;</w:t>
            </w:r>
          </w:p>
        </w:tc>
        <w:tc>
          <w:tcPr>
            <w:tcW w:w="3198" w:type="dxa"/>
          </w:tcPr>
          <w:p w14:paraId="39972C2A" w14:textId="30577B35" w:rsidR="00B148B3" w:rsidRPr="00F75F86" w:rsidRDefault="00B148B3" w:rsidP="00B148B3">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0A34C4F2" w14:textId="77777777" w:rsidR="00B148B3" w:rsidRPr="00F75F86" w:rsidRDefault="00B148B3" w:rsidP="00B148B3">
            <w:pPr>
              <w:pStyle w:val="Heading2"/>
              <w:spacing w:before="0" w:beforeAutospacing="0" w:after="0" w:afterAutospacing="0"/>
              <w:outlineLvl w:val="1"/>
              <w:rPr>
                <w:rFonts w:ascii="Sylfaen" w:hAnsi="Sylfaen" w:cs="Segoe UI Light"/>
                <w:b w:val="0"/>
                <w:sz w:val="22"/>
                <w:szCs w:val="22"/>
                <w:lang w:val="sq-AL"/>
              </w:rPr>
            </w:pPr>
            <w:r w:rsidRPr="00F75F86">
              <w:rPr>
                <w:rFonts w:ascii="Sylfaen" w:hAnsi="Sylfaen" w:cs="Segoe UI Light"/>
                <w:b w:val="0"/>
                <w:color w:val="000000"/>
                <w:sz w:val="22"/>
                <w:szCs w:val="22"/>
                <w:lang w:val="sq-AL"/>
              </w:rPr>
              <w:t>Është shpjeguar dhe trajtuar në seksionin Objektivat Strategjike 2. Përmirësimi i kornizës institucionale dhe ligjore për financim në zhvillimin e qëndrueshëm të programeve dhe projekteve të OShC-ve me interes publik</w:t>
            </w:r>
            <w:r w:rsidRPr="00F75F86">
              <w:rPr>
                <w:rFonts w:ascii="Sylfaen" w:hAnsi="Sylfaen" w:cs="Segoe UI Light"/>
                <w:b w:val="0"/>
                <w:sz w:val="22"/>
                <w:szCs w:val="22"/>
                <w:lang w:val="sq-AL"/>
              </w:rPr>
              <w:t>.</w:t>
            </w:r>
          </w:p>
          <w:p w14:paraId="77861122" w14:textId="77777777" w:rsidR="00B148B3" w:rsidRPr="00F75F86" w:rsidRDefault="00B148B3" w:rsidP="00B148B3">
            <w:pPr>
              <w:rPr>
                <w:rFonts w:ascii="Sylfaen" w:hAnsi="Sylfaen"/>
                <w:sz w:val="22"/>
                <w:szCs w:val="22"/>
                <w:lang w:val="sq-AL"/>
              </w:rPr>
            </w:pPr>
          </w:p>
        </w:tc>
      </w:tr>
      <w:tr w:rsidR="00EB036B" w:rsidRPr="00F75F86" w14:paraId="0E2931C0" w14:textId="77777777" w:rsidTr="00276D87">
        <w:trPr>
          <w:trHeight w:val="530"/>
        </w:trPr>
        <w:tc>
          <w:tcPr>
            <w:tcW w:w="1683" w:type="dxa"/>
          </w:tcPr>
          <w:p w14:paraId="2B2F657F" w14:textId="77777777" w:rsidR="00EB036B" w:rsidRPr="00F75F86" w:rsidRDefault="00EB036B" w:rsidP="00B148B3">
            <w:pPr>
              <w:rPr>
                <w:rFonts w:ascii="Sylfaen" w:hAnsi="Sylfaen"/>
                <w:sz w:val="22"/>
                <w:szCs w:val="22"/>
                <w:lang w:val="sq-AL"/>
              </w:rPr>
            </w:pPr>
          </w:p>
        </w:tc>
        <w:tc>
          <w:tcPr>
            <w:tcW w:w="2731" w:type="dxa"/>
          </w:tcPr>
          <w:p w14:paraId="54557228" w14:textId="5D66470C" w:rsidR="00EB036B" w:rsidRPr="00F75F86" w:rsidRDefault="00EB036B" w:rsidP="00B148B3">
            <w:pPr>
              <w:rPr>
                <w:rFonts w:ascii="Sylfaen" w:hAnsi="Sylfaen" w:cs="Segoe UI Light"/>
                <w:sz w:val="22"/>
                <w:szCs w:val="22"/>
                <w:lang w:val="sq-AL"/>
              </w:rPr>
            </w:pPr>
            <w:r w:rsidRPr="00F75F86">
              <w:rPr>
                <w:rFonts w:ascii="Sylfaen" w:hAnsi="Sylfaen" w:cs="Segoe UI Light"/>
                <w:sz w:val="22"/>
                <w:szCs w:val="22"/>
                <w:lang w:val="sq-AL"/>
              </w:rPr>
              <w:t>Treguesit për aktivitetet për ngritjen e ndërgjegjësimit duhet të forcohen, sidomos në drejtim të matjes së efekteve, e jo vetëm rezultateve, duke marrë parasysh mjetet në dispozicion për t’i monitoruar dhe verifikuar efektet e aktiviteteve të tilla;</w:t>
            </w:r>
          </w:p>
        </w:tc>
        <w:tc>
          <w:tcPr>
            <w:tcW w:w="3198" w:type="dxa"/>
          </w:tcPr>
          <w:p w14:paraId="573C23C4" w14:textId="77777777" w:rsidR="00EB036B" w:rsidRPr="00F75F86" w:rsidRDefault="00EB036B" w:rsidP="00EB036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 plotësisht</w:t>
            </w:r>
          </w:p>
          <w:p w14:paraId="6D094B22" w14:textId="77777777" w:rsidR="00EB036B" w:rsidRPr="00F75F86" w:rsidRDefault="00EB036B" w:rsidP="00EB036B">
            <w:pPr>
              <w:pStyle w:val="Heading2"/>
              <w:spacing w:before="0" w:beforeAutospacing="0" w:after="0" w:afterAutospacing="0"/>
              <w:outlineLvl w:val="1"/>
              <w:rPr>
                <w:rFonts w:ascii="Sylfaen" w:hAnsi="Sylfaen" w:cs="Segoe UI Light"/>
                <w:b w:val="0"/>
                <w:color w:val="000000"/>
                <w:sz w:val="22"/>
                <w:szCs w:val="22"/>
                <w:lang w:val="sq-AL"/>
              </w:rPr>
            </w:pPr>
          </w:p>
        </w:tc>
        <w:tc>
          <w:tcPr>
            <w:tcW w:w="5973" w:type="dxa"/>
          </w:tcPr>
          <w:p w14:paraId="3C8C37F1" w14:textId="77777777" w:rsidR="00EB036B" w:rsidRPr="00F75F86" w:rsidRDefault="00EB036B" w:rsidP="00B148B3">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EP-ja rekomandoi që kjo të trajtohet duke përmirësuar formulimin e Masës 1.2. në trajtimin e problemeve për përmirësimin e pjesëmarrjes në konsultime me metoda të tjera përveç platformës online</w:t>
            </w:r>
            <w:r w:rsidRPr="00F75F86">
              <w:rPr>
                <w:rFonts w:ascii="Sylfaen" w:hAnsi="Sylfaen" w:cs="Segoe UI Light"/>
                <w:b w:val="0"/>
                <w:color w:val="000000"/>
                <w:sz w:val="22"/>
                <w:szCs w:val="22"/>
                <w:lang w:val="sq-AL"/>
              </w:rPr>
              <w:tab/>
            </w:r>
          </w:p>
          <w:p w14:paraId="1894590E" w14:textId="1EEE71B0" w:rsidR="00EB036B" w:rsidRPr="00F75F86" w:rsidRDefault="00EB036B" w:rsidP="00B148B3">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Përshkrimi i përditësuar i Objektivit Strategjik 1. Rritja e pjesëmarrjes së shoqërisë civile në politikë-bërje: "... si dhe përmirësimi i pjesëmarrjes në konsultime me metoda të tjera përveç konsultimeve online, të tilla si pjesëmarrja në grupe punuese, takime publike, punëtori etj...”</w:t>
            </w:r>
          </w:p>
        </w:tc>
      </w:tr>
      <w:tr w:rsidR="00EB036B" w:rsidRPr="00F75F86" w14:paraId="562921C0" w14:textId="77777777" w:rsidTr="00276D87">
        <w:trPr>
          <w:trHeight w:val="530"/>
        </w:trPr>
        <w:tc>
          <w:tcPr>
            <w:tcW w:w="1683" w:type="dxa"/>
          </w:tcPr>
          <w:p w14:paraId="3B6FE5B7" w14:textId="77777777" w:rsidR="00EB036B" w:rsidRPr="00F75F86" w:rsidRDefault="00EB036B" w:rsidP="00B148B3">
            <w:pPr>
              <w:rPr>
                <w:rFonts w:ascii="Sylfaen" w:hAnsi="Sylfaen"/>
                <w:sz w:val="22"/>
                <w:szCs w:val="22"/>
                <w:lang w:val="sq-AL"/>
              </w:rPr>
            </w:pPr>
          </w:p>
        </w:tc>
        <w:tc>
          <w:tcPr>
            <w:tcW w:w="2731" w:type="dxa"/>
          </w:tcPr>
          <w:p w14:paraId="4ECC603E" w14:textId="3F601FAF" w:rsidR="00EB036B" w:rsidRPr="00F75F86" w:rsidRDefault="00EB036B" w:rsidP="00B148B3">
            <w:pPr>
              <w:rPr>
                <w:rFonts w:ascii="Sylfaen" w:hAnsi="Sylfaen" w:cs="Segoe UI Light"/>
                <w:sz w:val="22"/>
                <w:szCs w:val="22"/>
                <w:lang w:val="sq-AL"/>
              </w:rPr>
            </w:pPr>
            <w:r w:rsidRPr="00F75F86">
              <w:rPr>
                <w:rFonts w:ascii="Sylfaen" w:hAnsi="Sylfaen" w:cs="Segoe UI Light"/>
                <w:sz w:val="22"/>
                <w:szCs w:val="22"/>
                <w:lang w:val="sq-AL"/>
              </w:rPr>
              <w:t>Ekziston një grup organizatash në zonën e Mitrovicës, të cilat janë aktive në monitorimin e proceseve të konsultimit nga ana e autoriteteve lokale dhe të cilat mund të lidhen dhe të mbështesin monitorimin e progresit në këtë fushë në nivel lokal për periudhën strategjike. Në këtë drejtim, në PV mund të përfshihen tregues shtesë për efikasitetin e konsultimit në nivel lokal;</w:t>
            </w:r>
          </w:p>
        </w:tc>
        <w:tc>
          <w:tcPr>
            <w:tcW w:w="3198" w:type="dxa"/>
          </w:tcPr>
          <w:p w14:paraId="3A756549" w14:textId="77777777" w:rsidR="008B449B" w:rsidRPr="00F75F86" w:rsidRDefault="008B449B" w:rsidP="008B449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 plotësisht</w:t>
            </w:r>
          </w:p>
          <w:p w14:paraId="1194FE4C" w14:textId="77777777" w:rsidR="00EB036B" w:rsidRPr="00F75F86" w:rsidRDefault="00EB036B" w:rsidP="00EB036B">
            <w:pPr>
              <w:pStyle w:val="Heading2"/>
              <w:spacing w:before="0" w:beforeAutospacing="0" w:after="0" w:afterAutospacing="0"/>
              <w:outlineLvl w:val="1"/>
              <w:rPr>
                <w:rFonts w:ascii="Sylfaen" w:hAnsi="Sylfaen" w:cs="Segoe UI Light"/>
                <w:b w:val="0"/>
                <w:color w:val="000000"/>
                <w:sz w:val="22"/>
                <w:szCs w:val="22"/>
                <w:lang w:val="sq-AL"/>
              </w:rPr>
            </w:pPr>
          </w:p>
        </w:tc>
        <w:tc>
          <w:tcPr>
            <w:tcW w:w="5973" w:type="dxa"/>
          </w:tcPr>
          <w:p w14:paraId="796D095B" w14:textId="77777777" w:rsidR="008B449B" w:rsidRPr="00F75F86" w:rsidRDefault="008B449B" w:rsidP="008B449B">
            <w:pPr>
              <w:pStyle w:val="Heading2"/>
              <w:spacing w:after="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EP-ja rekomandoi që komunat duhet të jenë të përfshira në procesin e zbatimit dhe monitorimit, si dhe që nevojitet bashkërendimi me MAPL-në. MAPL të përfshihet me shqyrtim publik në nivel lokal. EP-ja rekomandoi që kjo të shtohet në masat nën Objektivin Strategjik 1. Rritja e pjesëmarrjes së shoqërisë civile në politikë-bërje.</w:t>
            </w:r>
          </w:p>
          <w:p w14:paraId="1BEC5FEF" w14:textId="7639D872" w:rsidR="00EB036B" w:rsidRPr="00F75F86" w:rsidRDefault="008B449B" w:rsidP="008B449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Përshkrimi i përditësuar i Objektivit Strategjik 1: Rritja e pjesëmarrjes së shoqërisë civile në politikë-bërje: "Për më tepër, proceset e konsultimit (online dhe offline) në nivel lokal ku vendimet ndikojnë drejtpërsëdrejti në jetën e përditshme të qytetarëve duhet të përmirësohen përmes informimit dhe ngritjes së kapaciteteve lidhur me standardet e përcaktuara në Rregullore". Masat 1.1.1, 1.1.2, 1.1.6, 1.1.7, 1.1.8, 1.2.2. të Planit të Veprimit e përfshijnë MAPL-në si institucion mbështetës në zbatimin e këtyre masave..</w:t>
            </w:r>
          </w:p>
        </w:tc>
      </w:tr>
      <w:tr w:rsidR="008B449B" w:rsidRPr="00F75F86" w14:paraId="3FA95304" w14:textId="77777777" w:rsidTr="00276D87">
        <w:trPr>
          <w:trHeight w:val="530"/>
        </w:trPr>
        <w:tc>
          <w:tcPr>
            <w:tcW w:w="1683" w:type="dxa"/>
          </w:tcPr>
          <w:p w14:paraId="30CC2450" w14:textId="77777777" w:rsidR="008B449B" w:rsidRPr="00F75F86" w:rsidRDefault="008B449B" w:rsidP="00B148B3">
            <w:pPr>
              <w:rPr>
                <w:rFonts w:ascii="Sylfaen" w:hAnsi="Sylfaen"/>
                <w:sz w:val="22"/>
                <w:szCs w:val="22"/>
                <w:lang w:val="sq-AL"/>
              </w:rPr>
            </w:pPr>
          </w:p>
        </w:tc>
        <w:tc>
          <w:tcPr>
            <w:tcW w:w="2731" w:type="dxa"/>
          </w:tcPr>
          <w:p w14:paraId="2299E848" w14:textId="65E36365" w:rsidR="008B449B" w:rsidRPr="00F75F86" w:rsidRDefault="008B449B" w:rsidP="00B148B3">
            <w:pPr>
              <w:rPr>
                <w:rFonts w:ascii="Sylfaen" w:hAnsi="Sylfaen" w:cs="Segoe UI Light"/>
                <w:sz w:val="22"/>
                <w:szCs w:val="22"/>
                <w:lang w:val="sq-AL"/>
              </w:rPr>
            </w:pPr>
            <w:r w:rsidRPr="00F75F86">
              <w:rPr>
                <w:rFonts w:ascii="Sylfaen" w:hAnsi="Sylfaen" w:cs="Segoe UI Light"/>
                <w:sz w:val="22"/>
                <w:szCs w:val="22"/>
                <w:lang w:val="sq-AL"/>
              </w:rPr>
              <w:t xml:space="preserve">Disa pjesëmarrës ishin të interesuar nëse Strategjia dhe miratimi i saj janë të lidhura me procesin politik </w:t>
            </w:r>
            <w:r w:rsidRPr="00F75F86">
              <w:rPr>
                <w:rFonts w:ascii="Sylfaen" w:hAnsi="Sylfaen" w:cs="Segoe UI Light"/>
                <w:sz w:val="22"/>
                <w:szCs w:val="22"/>
                <w:lang w:val="sq-AL"/>
              </w:rPr>
              <w:lastRenderedPageBreak/>
              <w:t>dhe marrëveshjen e Brukselit;</w:t>
            </w:r>
          </w:p>
        </w:tc>
        <w:tc>
          <w:tcPr>
            <w:tcW w:w="3198" w:type="dxa"/>
          </w:tcPr>
          <w:p w14:paraId="0570D61F" w14:textId="4A278A4B" w:rsidR="008B449B" w:rsidRPr="00F75F86" w:rsidRDefault="00BB746B" w:rsidP="00BB746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 xml:space="preserve">E refuzuar </w:t>
            </w:r>
          </w:p>
        </w:tc>
        <w:tc>
          <w:tcPr>
            <w:tcW w:w="5973" w:type="dxa"/>
          </w:tcPr>
          <w:p w14:paraId="54D30D12" w14:textId="582B6B65" w:rsidR="008B449B" w:rsidRPr="00F75F86" w:rsidRDefault="008B449B" w:rsidP="008B449B">
            <w:pPr>
              <w:pStyle w:val="Heading2"/>
              <w:spacing w:after="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 xml:space="preserve">Këto qështje nuk ështe relevante sepse </w:t>
            </w:r>
            <w:r w:rsidRPr="00F75F86">
              <w:rPr>
                <w:rFonts w:ascii="Sylfaen" w:hAnsi="Sylfaen" w:cs="Segoe UI Light"/>
                <w:b w:val="0"/>
                <w:sz w:val="22"/>
                <w:szCs w:val="22"/>
                <w:lang w:val="sq-AL"/>
              </w:rPr>
              <w:t>Strategjia dhe miratimi i saj nuk janë të lidhura me procesin politik dhe marrëveshjen e Brukselit;</w:t>
            </w:r>
          </w:p>
        </w:tc>
      </w:tr>
      <w:tr w:rsidR="008B449B" w:rsidRPr="00F75F86" w14:paraId="3C209C52" w14:textId="77777777" w:rsidTr="00276D87">
        <w:trPr>
          <w:trHeight w:val="530"/>
        </w:trPr>
        <w:tc>
          <w:tcPr>
            <w:tcW w:w="1683" w:type="dxa"/>
          </w:tcPr>
          <w:p w14:paraId="3EFB8449" w14:textId="77777777" w:rsidR="008B449B" w:rsidRPr="00F75F86" w:rsidRDefault="008B449B" w:rsidP="00B148B3">
            <w:pPr>
              <w:rPr>
                <w:rFonts w:ascii="Sylfaen" w:hAnsi="Sylfaen"/>
                <w:sz w:val="22"/>
                <w:szCs w:val="22"/>
                <w:lang w:val="sq-AL"/>
              </w:rPr>
            </w:pPr>
          </w:p>
        </w:tc>
        <w:tc>
          <w:tcPr>
            <w:tcW w:w="2731" w:type="dxa"/>
          </w:tcPr>
          <w:p w14:paraId="520EC1A8" w14:textId="4A19C00B" w:rsidR="008B449B" w:rsidRPr="00F75F86" w:rsidRDefault="008B449B" w:rsidP="00B148B3">
            <w:pPr>
              <w:rPr>
                <w:rFonts w:ascii="Sylfaen" w:hAnsi="Sylfaen" w:cs="Segoe UI Light"/>
                <w:sz w:val="22"/>
                <w:szCs w:val="22"/>
                <w:lang w:val="sq-AL"/>
              </w:rPr>
            </w:pPr>
            <w:r w:rsidRPr="00F75F86">
              <w:rPr>
                <w:rFonts w:ascii="Sylfaen" w:hAnsi="Sylfaen" w:cs="Segoe UI Light"/>
                <w:sz w:val="22"/>
                <w:szCs w:val="22"/>
                <w:lang w:val="sq-AL"/>
              </w:rPr>
              <w:t>Është e rëndësishme që të përfshihen sa më shumë organizata të jetë e mundur, përtej rrjeteve ekzistuese në procesin e konsultimit;</w:t>
            </w:r>
          </w:p>
        </w:tc>
        <w:tc>
          <w:tcPr>
            <w:tcW w:w="3198" w:type="dxa"/>
          </w:tcPr>
          <w:p w14:paraId="1B281B68" w14:textId="344761E1" w:rsidR="008B449B" w:rsidRPr="00F75F86" w:rsidRDefault="008B449B" w:rsidP="008B449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6CB0224C" w14:textId="0AD6DECA" w:rsidR="008B449B" w:rsidRPr="00F75F86" w:rsidRDefault="008B449B" w:rsidP="008B449B">
            <w:pPr>
              <w:pStyle w:val="Heading2"/>
              <w:spacing w:after="0"/>
              <w:outlineLvl w:val="1"/>
              <w:rPr>
                <w:rFonts w:ascii="Sylfaen" w:hAnsi="Sylfaen" w:cs="Segoe UI Light"/>
                <w:b w:val="0"/>
                <w:sz w:val="22"/>
                <w:szCs w:val="22"/>
                <w:lang w:val="sq-AL"/>
              </w:rPr>
            </w:pPr>
            <w:r w:rsidRPr="00F75F86">
              <w:rPr>
                <w:rFonts w:ascii="Sylfaen" w:hAnsi="Sylfaen" w:cs="Segoe UI Light"/>
                <w:b w:val="0"/>
                <w:sz w:val="22"/>
                <w:szCs w:val="22"/>
                <w:lang w:val="sq-AL"/>
              </w:rPr>
              <w:t>Është shpjeguar dhe trajtuar në përshkrimin e seksionin Objektivat Strategjike 1: Rritja e pjesëmarrjes së shoqërisë civile në politikë-bërje, sipas komenteve nr. 4) dhe 5) më lart.</w:t>
            </w:r>
          </w:p>
        </w:tc>
      </w:tr>
      <w:tr w:rsidR="008B449B" w:rsidRPr="00F75F86" w14:paraId="516DEDDF" w14:textId="77777777" w:rsidTr="00276D87">
        <w:trPr>
          <w:trHeight w:val="530"/>
        </w:trPr>
        <w:tc>
          <w:tcPr>
            <w:tcW w:w="1683" w:type="dxa"/>
            <w:shd w:val="clear" w:color="auto" w:fill="F2F2F2" w:themeFill="background1" w:themeFillShade="F2"/>
          </w:tcPr>
          <w:p w14:paraId="209AF1C5" w14:textId="77A117A4" w:rsidR="008B449B" w:rsidRPr="00F75F86" w:rsidRDefault="008B449B" w:rsidP="00CF0163">
            <w:pPr>
              <w:jc w:val="center"/>
              <w:rPr>
                <w:rFonts w:ascii="Sylfaen" w:hAnsi="Sylfaen"/>
                <w:b/>
                <w:sz w:val="22"/>
                <w:szCs w:val="22"/>
                <w:lang w:val="sq-AL"/>
              </w:rPr>
            </w:pPr>
            <w:r w:rsidRPr="00F75F86">
              <w:rPr>
                <w:rFonts w:ascii="Sylfaen" w:hAnsi="Sylfaen"/>
                <w:b/>
                <w:sz w:val="22"/>
                <w:szCs w:val="22"/>
                <w:lang w:val="sq-AL"/>
              </w:rPr>
              <w:t>PEJA</w:t>
            </w:r>
          </w:p>
        </w:tc>
        <w:tc>
          <w:tcPr>
            <w:tcW w:w="2731" w:type="dxa"/>
            <w:shd w:val="clear" w:color="auto" w:fill="F2F2F2" w:themeFill="background1" w:themeFillShade="F2"/>
          </w:tcPr>
          <w:p w14:paraId="7339E80F" w14:textId="5DAF3E78" w:rsidR="008B449B" w:rsidRPr="00F75F86" w:rsidRDefault="008B449B" w:rsidP="00CF0163">
            <w:pPr>
              <w:jc w:val="center"/>
              <w:rPr>
                <w:rFonts w:ascii="Sylfaen" w:hAnsi="Sylfaen" w:cs="Segoe UI Light"/>
                <w:b/>
                <w:sz w:val="22"/>
                <w:szCs w:val="22"/>
                <w:lang w:val="sq-AL"/>
              </w:rPr>
            </w:pPr>
          </w:p>
        </w:tc>
        <w:tc>
          <w:tcPr>
            <w:tcW w:w="3198" w:type="dxa"/>
            <w:shd w:val="clear" w:color="auto" w:fill="F2F2F2" w:themeFill="background1" w:themeFillShade="F2"/>
          </w:tcPr>
          <w:p w14:paraId="0F886AF5" w14:textId="77777777" w:rsidR="008B449B" w:rsidRPr="00F75F86" w:rsidRDefault="008B449B" w:rsidP="00CF0163">
            <w:pPr>
              <w:pStyle w:val="Heading2"/>
              <w:spacing w:before="0" w:beforeAutospacing="0" w:after="0" w:afterAutospacing="0"/>
              <w:jc w:val="center"/>
              <w:outlineLvl w:val="1"/>
              <w:rPr>
                <w:rFonts w:ascii="Sylfaen" w:hAnsi="Sylfaen" w:cs="Segoe UI Light"/>
                <w:color w:val="000000"/>
                <w:sz w:val="22"/>
                <w:szCs w:val="22"/>
                <w:lang w:val="sq-AL"/>
              </w:rPr>
            </w:pPr>
          </w:p>
        </w:tc>
        <w:tc>
          <w:tcPr>
            <w:tcW w:w="5973" w:type="dxa"/>
            <w:shd w:val="clear" w:color="auto" w:fill="F2F2F2" w:themeFill="background1" w:themeFillShade="F2"/>
          </w:tcPr>
          <w:p w14:paraId="7F7BF4DE" w14:textId="77777777" w:rsidR="008B449B" w:rsidRPr="00F75F86" w:rsidRDefault="008B449B" w:rsidP="00CF0163">
            <w:pPr>
              <w:pStyle w:val="Heading2"/>
              <w:spacing w:after="0"/>
              <w:jc w:val="center"/>
              <w:outlineLvl w:val="1"/>
              <w:rPr>
                <w:rFonts w:ascii="Sylfaen" w:hAnsi="Sylfaen" w:cs="Segoe UI Light"/>
                <w:sz w:val="22"/>
                <w:szCs w:val="22"/>
                <w:lang w:val="sq-AL"/>
              </w:rPr>
            </w:pPr>
          </w:p>
        </w:tc>
      </w:tr>
      <w:tr w:rsidR="008B449B" w:rsidRPr="00F75F86" w14:paraId="3CE2EEA6" w14:textId="77777777" w:rsidTr="00276D87">
        <w:trPr>
          <w:trHeight w:val="530"/>
        </w:trPr>
        <w:tc>
          <w:tcPr>
            <w:tcW w:w="1683" w:type="dxa"/>
          </w:tcPr>
          <w:p w14:paraId="0343A5C8" w14:textId="77777777" w:rsidR="008B449B" w:rsidRPr="00F75F86" w:rsidRDefault="008B449B" w:rsidP="00B148B3">
            <w:pPr>
              <w:rPr>
                <w:rFonts w:ascii="Sylfaen" w:hAnsi="Sylfaen"/>
                <w:sz w:val="22"/>
                <w:szCs w:val="22"/>
                <w:lang w:val="sq-AL"/>
              </w:rPr>
            </w:pPr>
          </w:p>
        </w:tc>
        <w:tc>
          <w:tcPr>
            <w:tcW w:w="2731" w:type="dxa"/>
          </w:tcPr>
          <w:p w14:paraId="553B94AA" w14:textId="13E0D467" w:rsidR="008B449B" w:rsidRPr="00F75F86" w:rsidRDefault="008B449B" w:rsidP="00B148B3">
            <w:pPr>
              <w:rPr>
                <w:rFonts w:ascii="Sylfaen" w:hAnsi="Sylfaen" w:cs="Segoe UI Light"/>
                <w:sz w:val="22"/>
                <w:szCs w:val="22"/>
                <w:lang w:val="sq-AL"/>
              </w:rPr>
            </w:pPr>
            <w:r w:rsidRPr="00F75F86">
              <w:rPr>
                <w:rFonts w:ascii="Sylfaen" w:hAnsi="Sylfaen" w:cs="Segoe UI Light"/>
                <w:sz w:val="22"/>
                <w:szCs w:val="22"/>
                <w:lang w:val="sq-AL"/>
              </w:rPr>
              <w:t xml:space="preserve">Thirrjet dhe ndarja e fondeve për OSHC-të në nivel lokal në kontekstin e Pejës u diskutua si mungesë e transparencës. Çështjet në të cilat punojnë OSHC-të nuk mbulohen. Vetëm organizatat e përzgjedhura kanë qasje në fonde. U diskutuan implikimet e Rregullores MF-04/2017 për nivelin lokal. Disa pjesëmarrës folën gjithashtu për përvojën kur organizatat u ankuan se ka qenë shumë e vështirë për to që t’i përmbushin kërkesat. Gjithashtu duhet të përmirësohet transparenca nga ana e OSHC-ve në shpenzimin e </w:t>
            </w:r>
            <w:r w:rsidRPr="00F75F86">
              <w:rPr>
                <w:rFonts w:ascii="Sylfaen" w:hAnsi="Sylfaen" w:cs="Segoe UI Light"/>
                <w:sz w:val="22"/>
                <w:szCs w:val="22"/>
                <w:lang w:val="sq-AL"/>
              </w:rPr>
              <w:lastRenderedPageBreak/>
              <w:t xml:space="preserve">parave publike. Një pjesëmarrës nga rajoni i Deçanit raportoi se komuna nuk ka ndonjë procedurë në lidhje me fondet publike për OSHC-të. Përvoja nga përgatitja e buxhetit të komunës së Pejës është se ajo nuk përfshin financimin e grupeve të margjinalizuara dhe të rinisë, në të cilat punojnë OSHC-të, por më tepër përfshin infrastrukturën. </w:t>
            </w:r>
          </w:p>
        </w:tc>
        <w:tc>
          <w:tcPr>
            <w:tcW w:w="3198" w:type="dxa"/>
          </w:tcPr>
          <w:p w14:paraId="69C321A3" w14:textId="7FE51EF0" w:rsidR="008B449B" w:rsidRPr="00F75F86" w:rsidRDefault="00A34B0C" w:rsidP="008B449B">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E konfirmuar</w:t>
            </w:r>
          </w:p>
        </w:tc>
        <w:tc>
          <w:tcPr>
            <w:tcW w:w="5973" w:type="dxa"/>
          </w:tcPr>
          <w:p w14:paraId="1F2A5532" w14:textId="77777777" w:rsidR="00A34B0C" w:rsidRPr="00F75F86" w:rsidRDefault="00A34B0C" w:rsidP="00A34B0C">
            <w:pPr>
              <w:pStyle w:val="Heading2"/>
              <w:spacing w:before="0" w:beforeAutospacing="0" w:after="0" w:afterAutospacing="0"/>
              <w:outlineLvl w:val="1"/>
              <w:rPr>
                <w:rFonts w:ascii="Sylfaen" w:hAnsi="Sylfaen" w:cs="Segoe UI Light"/>
                <w:b w:val="0"/>
                <w:sz w:val="22"/>
                <w:szCs w:val="22"/>
                <w:lang w:val="sq-AL"/>
              </w:rPr>
            </w:pPr>
            <w:r w:rsidRPr="00F75F86">
              <w:rPr>
                <w:rFonts w:ascii="Sylfaen" w:hAnsi="Sylfaen" w:cs="Segoe UI Light"/>
                <w:b w:val="0"/>
                <w:color w:val="000000"/>
                <w:sz w:val="22"/>
                <w:szCs w:val="22"/>
                <w:lang w:val="sq-AL"/>
              </w:rPr>
              <w:t>Është shpjeguar dhe trajtuar në seksionin Objektivat Strategjike 2. Përmirësimi i kornizës institucionale dhe ligjore për financim në zhvillimin e qëndrueshëm të programeve dhe projekteve të OShC-ve me interes publik</w:t>
            </w:r>
            <w:r w:rsidRPr="00F75F86">
              <w:rPr>
                <w:rFonts w:ascii="Sylfaen" w:hAnsi="Sylfaen" w:cs="Segoe UI Light"/>
                <w:b w:val="0"/>
                <w:sz w:val="22"/>
                <w:szCs w:val="22"/>
                <w:lang w:val="sq-AL"/>
              </w:rPr>
              <w:t>.</w:t>
            </w:r>
          </w:p>
          <w:p w14:paraId="7DEE5FEC" w14:textId="77777777" w:rsidR="008B449B" w:rsidRPr="00F75F86" w:rsidRDefault="008B449B" w:rsidP="008B449B">
            <w:pPr>
              <w:pStyle w:val="Heading2"/>
              <w:spacing w:after="0"/>
              <w:outlineLvl w:val="1"/>
              <w:rPr>
                <w:rFonts w:ascii="Sylfaen" w:hAnsi="Sylfaen" w:cs="Segoe UI Light"/>
                <w:b w:val="0"/>
                <w:sz w:val="22"/>
                <w:szCs w:val="22"/>
                <w:lang w:val="sq-AL"/>
              </w:rPr>
            </w:pPr>
          </w:p>
        </w:tc>
      </w:tr>
      <w:tr w:rsidR="00A34B0C" w:rsidRPr="00F75F86" w14:paraId="054B2B76" w14:textId="77777777" w:rsidTr="00276D87">
        <w:trPr>
          <w:trHeight w:val="530"/>
        </w:trPr>
        <w:tc>
          <w:tcPr>
            <w:tcW w:w="1683" w:type="dxa"/>
          </w:tcPr>
          <w:p w14:paraId="5BC7D52D" w14:textId="77777777" w:rsidR="00A34B0C" w:rsidRPr="00F75F86" w:rsidRDefault="00A34B0C" w:rsidP="00A34B0C">
            <w:pPr>
              <w:rPr>
                <w:rFonts w:ascii="Sylfaen" w:hAnsi="Sylfaen"/>
                <w:sz w:val="22"/>
                <w:szCs w:val="22"/>
                <w:lang w:val="sq-AL"/>
              </w:rPr>
            </w:pPr>
          </w:p>
        </w:tc>
        <w:tc>
          <w:tcPr>
            <w:tcW w:w="2731" w:type="dxa"/>
          </w:tcPr>
          <w:p w14:paraId="1C4A1776" w14:textId="7C329C55" w:rsidR="00A34B0C" w:rsidRPr="00F75F86" w:rsidRDefault="00A34B0C" w:rsidP="00A34B0C">
            <w:pPr>
              <w:rPr>
                <w:rFonts w:ascii="Sylfaen" w:hAnsi="Sylfaen" w:cs="Segoe UI Light"/>
                <w:sz w:val="22"/>
                <w:szCs w:val="22"/>
                <w:lang w:val="sq-AL"/>
              </w:rPr>
            </w:pPr>
            <w:r w:rsidRPr="00F75F86">
              <w:rPr>
                <w:rFonts w:ascii="Sylfaen" w:hAnsi="Sylfaen" w:cs="Segoe UI Light"/>
                <w:sz w:val="22"/>
                <w:szCs w:val="22"/>
                <w:lang w:val="sq-AL"/>
              </w:rPr>
              <w:t>Pjesëmarrësit raportuan se janë ballafaquar me sfida kur janë marrë me Departamentin për Regjistrim sa i përket kontaktit me ta ose në rast se ata kanë nevojë për përgjigjen e tyre dhe informatat e tyre kthyese. Gjithashtu, ekziston një problem me platformën e tij për OSHC-të. Ndonëse Departamenti nuk është formalisht pjesë e Strategjisë, ZQM-ja do të përpiqet ta lehtësojë komunikimin;</w:t>
            </w:r>
          </w:p>
        </w:tc>
        <w:tc>
          <w:tcPr>
            <w:tcW w:w="3198" w:type="dxa"/>
          </w:tcPr>
          <w:p w14:paraId="6172C3DC" w14:textId="3A6772E4" w:rsidR="00A34B0C" w:rsidRPr="00F75F86" w:rsidRDefault="00BB746B" w:rsidP="00A34B0C">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refuzuar</w:t>
            </w:r>
          </w:p>
        </w:tc>
        <w:tc>
          <w:tcPr>
            <w:tcW w:w="5973" w:type="dxa"/>
          </w:tcPr>
          <w:p w14:paraId="0AD0BF65" w14:textId="5F16ADA6" w:rsidR="00A34B0C" w:rsidRPr="00F75F86" w:rsidRDefault="00A34B0C" w:rsidP="00A34B0C">
            <w:pPr>
              <w:rPr>
                <w:rFonts w:ascii="Sylfaen" w:hAnsi="Sylfaen" w:cs="Segoe UI Light"/>
                <w:b/>
                <w:color w:val="000000"/>
                <w:sz w:val="22"/>
                <w:szCs w:val="22"/>
                <w:lang w:val="sq-AL"/>
              </w:rPr>
            </w:pPr>
            <w:r w:rsidRPr="00F75F86">
              <w:rPr>
                <w:rFonts w:ascii="Sylfaen" w:hAnsi="Sylfaen" w:cs="Segoe UI Light"/>
                <w:sz w:val="22"/>
                <w:szCs w:val="22"/>
                <w:lang w:val="sq-AL"/>
              </w:rPr>
              <w:t>Çështja e regjistrimit në  Departamentin për Regjistrim sa i përket kontaktit me ta ose në rast se ata kanë nevojë për përgjigjen e tyre dhe informatat e tyre kthyese. Nuk ka të bejë me Strategjinë dhe planin e saj te veprimit sepse kjo fushë është e rregulluar me ligj.</w:t>
            </w:r>
          </w:p>
        </w:tc>
      </w:tr>
      <w:tr w:rsidR="00A34B0C" w:rsidRPr="00F75F86" w14:paraId="0CAAB210" w14:textId="77777777" w:rsidTr="00276D87">
        <w:trPr>
          <w:trHeight w:val="530"/>
        </w:trPr>
        <w:tc>
          <w:tcPr>
            <w:tcW w:w="1683" w:type="dxa"/>
          </w:tcPr>
          <w:p w14:paraId="66593D03" w14:textId="77777777" w:rsidR="00A34B0C" w:rsidRPr="00F75F86" w:rsidRDefault="00A34B0C" w:rsidP="00A34B0C">
            <w:pPr>
              <w:rPr>
                <w:rFonts w:ascii="Sylfaen" w:hAnsi="Sylfaen"/>
                <w:sz w:val="22"/>
                <w:szCs w:val="22"/>
                <w:lang w:val="sq-AL"/>
              </w:rPr>
            </w:pPr>
          </w:p>
        </w:tc>
        <w:tc>
          <w:tcPr>
            <w:tcW w:w="2731" w:type="dxa"/>
          </w:tcPr>
          <w:p w14:paraId="088696C0" w14:textId="3ECDCA6D" w:rsidR="00A34B0C" w:rsidRPr="00F75F86" w:rsidRDefault="00A34B0C" w:rsidP="00A34B0C">
            <w:pPr>
              <w:rPr>
                <w:rFonts w:ascii="Sylfaen" w:hAnsi="Sylfaen" w:cs="Segoe UI Light"/>
                <w:sz w:val="22"/>
                <w:szCs w:val="22"/>
                <w:lang w:val="sq-AL"/>
              </w:rPr>
            </w:pPr>
            <w:r w:rsidRPr="00F75F86">
              <w:rPr>
                <w:rFonts w:ascii="Sylfaen" w:hAnsi="Sylfaen" w:cs="Segoe UI Light"/>
                <w:sz w:val="22"/>
                <w:szCs w:val="22"/>
                <w:lang w:val="sq-AL"/>
              </w:rPr>
              <w:t>Strehimorja e grave në Gjakovë që angazhohet në aktivitete ekonomike ka hasur vështirësi me inspektimin nga niveli komunal (zyra e administratës tatimore?), i cili e ka vizituar strehimoren dhe pretendon se nuk i lejohet të angazhohet në aktivitete të tilla. Strehimorja ka angazhuar një avokat dhe tani pret vendimin për inspektim. Gjenerimi i të ardhurave ndihmon në mirëmbajtjen e strehimores për gratë viktima të dhunës.</w:t>
            </w:r>
          </w:p>
        </w:tc>
        <w:tc>
          <w:tcPr>
            <w:tcW w:w="3198" w:type="dxa"/>
          </w:tcPr>
          <w:p w14:paraId="2E52047D" w14:textId="27CB6671" w:rsidR="00A34B0C" w:rsidRPr="00F75F86" w:rsidRDefault="00A34B0C" w:rsidP="00A34B0C">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1B8306DB" w14:textId="2724F8CC" w:rsidR="00A34B0C" w:rsidRPr="00F75F86" w:rsidRDefault="00A34B0C" w:rsidP="00A34B0C">
            <w:pPr>
              <w:rPr>
                <w:rFonts w:ascii="Sylfaen" w:hAnsi="Sylfaen" w:cs="Segoe UI Light"/>
                <w:sz w:val="22"/>
                <w:szCs w:val="22"/>
                <w:lang w:val="sq-AL"/>
              </w:rPr>
            </w:pPr>
            <w:r w:rsidRPr="00F75F86">
              <w:rPr>
                <w:rFonts w:ascii="Sylfaen" w:hAnsi="Sylfaen" w:cs="Segoe UI Light"/>
                <w:color w:val="000000"/>
                <w:sz w:val="22"/>
                <w:szCs w:val="22"/>
                <w:lang w:val="sq-AL"/>
              </w:rPr>
              <w:t>Është shpjeguar dhe trajtuar në seksionin Objektivi specifik 3.1: Përmirësimi i kornizës së përgjithshme ligjore dhe institucionale për aktivitetet ekonomike të OSHC-ve</w:t>
            </w:r>
            <w:r w:rsidRPr="00F75F86">
              <w:rPr>
                <w:rFonts w:ascii="Sylfaen" w:hAnsi="Sylfaen" w:cs="Segoe UI Light"/>
                <w:sz w:val="22"/>
                <w:szCs w:val="22"/>
                <w:lang w:val="sq-AL"/>
              </w:rPr>
              <w:t>.</w:t>
            </w:r>
          </w:p>
        </w:tc>
      </w:tr>
      <w:tr w:rsidR="00A34B0C" w:rsidRPr="00F75F86" w14:paraId="64FD9855" w14:textId="77777777" w:rsidTr="00276D87">
        <w:trPr>
          <w:trHeight w:val="530"/>
        </w:trPr>
        <w:tc>
          <w:tcPr>
            <w:tcW w:w="1683" w:type="dxa"/>
          </w:tcPr>
          <w:p w14:paraId="3E349FAA" w14:textId="77777777" w:rsidR="00A34B0C" w:rsidRPr="00F75F86" w:rsidRDefault="00A34B0C" w:rsidP="00A34B0C">
            <w:pPr>
              <w:rPr>
                <w:rFonts w:ascii="Sylfaen" w:hAnsi="Sylfaen"/>
                <w:sz w:val="22"/>
                <w:szCs w:val="22"/>
                <w:lang w:val="sq-AL"/>
              </w:rPr>
            </w:pPr>
          </w:p>
        </w:tc>
        <w:tc>
          <w:tcPr>
            <w:tcW w:w="2731" w:type="dxa"/>
          </w:tcPr>
          <w:p w14:paraId="03DE0631" w14:textId="587CDF68" w:rsidR="00A34B0C" w:rsidRPr="00F75F86" w:rsidRDefault="00A34B0C" w:rsidP="00A34B0C">
            <w:pPr>
              <w:rPr>
                <w:rFonts w:ascii="Sylfaen" w:hAnsi="Sylfaen" w:cs="Segoe UI Light"/>
                <w:sz w:val="22"/>
                <w:szCs w:val="22"/>
                <w:lang w:val="sq-AL"/>
              </w:rPr>
            </w:pPr>
            <w:r w:rsidRPr="00F75F86">
              <w:rPr>
                <w:rFonts w:ascii="Sylfaen" w:hAnsi="Sylfaen" w:cs="Segoe UI Light"/>
                <w:sz w:val="22"/>
                <w:szCs w:val="22"/>
                <w:lang w:val="sq-AL"/>
              </w:rPr>
              <w:t>Kufizimi i moshës (25 vjeç) dhe regjistrimi u raportuan si disa nga çështjet kryesore që duhen trajtuar në fushën e përfshirjes së qytetarëve për vullnetarizëm në OSHC.</w:t>
            </w:r>
          </w:p>
        </w:tc>
        <w:tc>
          <w:tcPr>
            <w:tcW w:w="3198" w:type="dxa"/>
          </w:tcPr>
          <w:p w14:paraId="77A03993" w14:textId="383A1775" w:rsidR="00A34B0C" w:rsidRPr="00F75F86" w:rsidRDefault="00A34B0C" w:rsidP="00A34B0C">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58CDA9F2" w14:textId="4BB374C0" w:rsidR="00A34B0C" w:rsidRPr="00F75F86" w:rsidRDefault="00A34B0C" w:rsidP="00A34B0C">
            <w:pPr>
              <w:rPr>
                <w:rFonts w:ascii="Sylfaen" w:hAnsi="Sylfaen" w:cs="Segoe UI Light"/>
                <w:color w:val="000000"/>
                <w:sz w:val="22"/>
                <w:szCs w:val="22"/>
                <w:lang w:val="sq-AL"/>
              </w:rPr>
            </w:pPr>
            <w:r w:rsidRPr="00F75F86">
              <w:rPr>
                <w:rFonts w:ascii="Sylfaen" w:hAnsi="Sylfaen" w:cs="Segoe UI Light"/>
                <w:color w:val="000000"/>
                <w:sz w:val="22"/>
                <w:szCs w:val="22"/>
                <w:lang w:val="sq-AL"/>
              </w:rPr>
              <w:t>Është shpjeguar dhe trajtuar në seksionin Objektivi Strategjik 4: Rritja e vullnetarizmit në programet në interes publik</w:t>
            </w:r>
          </w:p>
        </w:tc>
      </w:tr>
      <w:tr w:rsidR="00A34B0C" w:rsidRPr="00F75F86" w14:paraId="5947AF00" w14:textId="77777777" w:rsidTr="00276D87">
        <w:trPr>
          <w:trHeight w:val="530"/>
        </w:trPr>
        <w:tc>
          <w:tcPr>
            <w:tcW w:w="1683" w:type="dxa"/>
            <w:shd w:val="clear" w:color="auto" w:fill="F2F2F2" w:themeFill="background1" w:themeFillShade="F2"/>
          </w:tcPr>
          <w:p w14:paraId="0844F56B" w14:textId="59480AFD" w:rsidR="00A34B0C" w:rsidRPr="00F75F86" w:rsidRDefault="00CF0163" w:rsidP="00CF0163">
            <w:pPr>
              <w:jc w:val="center"/>
              <w:rPr>
                <w:rFonts w:ascii="Sylfaen" w:hAnsi="Sylfaen"/>
                <w:b/>
                <w:sz w:val="22"/>
                <w:szCs w:val="22"/>
                <w:lang w:val="sq-AL"/>
              </w:rPr>
            </w:pPr>
            <w:r w:rsidRPr="00F75F86">
              <w:rPr>
                <w:rFonts w:ascii="Sylfaen" w:hAnsi="Sylfaen"/>
                <w:b/>
                <w:sz w:val="22"/>
                <w:szCs w:val="22"/>
                <w:lang w:val="sq-AL"/>
              </w:rPr>
              <w:t>PRISHTINA</w:t>
            </w:r>
          </w:p>
        </w:tc>
        <w:tc>
          <w:tcPr>
            <w:tcW w:w="2731" w:type="dxa"/>
            <w:shd w:val="clear" w:color="auto" w:fill="F2F2F2" w:themeFill="background1" w:themeFillShade="F2"/>
          </w:tcPr>
          <w:p w14:paraId="5887AECF" w14:textId="77777777" w:rsidR="00A34B0C" w:rsidRPr="00F75F86" w:rsidRDefault="00A34B0C" w:rsidP="00CF0163">
            <w:pPr>
              <w:jc w:val="center"/>
              <w:rPr>
                <w:rFonts w:ascii="Sylfaen" w:hAnsi="Sylfaen"/>
                <w:b/>
                <w:sz w:val="22"/>
                <w:szCs w:val="22"/>
                <w:lang w:val="sq-AL"/>
              </w:rPr>
            </w:pPr>
          </w:p>
        </w:tc>
        <w:tc>
          <w:tcPr>
            <w:tcW w:w="3198" w:type="dxa"/>
            <w:shd w:val="clear" w:color="auto" w:fill="F2F2F2" w:themeFill="background1" w:themeFillShade="F2"/>
          </w:tcPr>
          <w:p w14:paraId="684A2A17" w14:textId="77777777" w:rsidR="00A34B0C" w:rsidRPr="00F75F86" w:rsidRDefault="00A34B0C" w:rsidP="00CF0163">
            <w:pPr>
              <w:pStyle w:val="Heading2"/>
              <w:spacing w:before="0" w:beforeAutospacing="0" w:after="0" w:afterAutospacing="0"/>
              <w:jc w:val="center"/>
              <w:outlineLvl w:val="1"/>
              <w:rPr>
                <w:rFonts w:ascii="Sylfaen" w:eastAsiaTheme="minorHAnsi" w:hAnsi="Sylfaen" w:cstheme="minorBidi"/>
                <w:bCs w:val="0"/>
                <w:sz w:val="22"/>
                <w:szCs w:val="22"/>
                <w:lang w:val="sq-AL"/>
              </w:rPr>
            </w:pPr>
          </w:p>
        </w:tc>
        <w:tc>
          <w:tcPr>
            <w:tcW w:w="5973" w:type="dxa"/>
            <w:shd w:val="clear" w:color="auto" w:fill="F2F2F2" w:themeFill="background1" w:themeFillShade="F2"/>
          </w:tcPr>
          <w:p w14:paraId="003DADF8" w14:textId="77777777" w:rsidR="00A34B0C" w:rsidRPr="00F75F86" w:rsidRDefault="00A34B0C" w:rsidP="00CF0163">
            <w:pPr>
              <w:jc w:val="center"/>
              <w:rPr>
                <w:rFonts w:ascii="Sylfaen" w:hAnsi="Sylfaen"/>
                <w:b/>
                <w:sz w:val="22"/>
                <w:szCs w:val="22"/>
                <w:lang w:val="sq-AL"/>
              </w:rPr>
            </w:pPr>
          </w:p>
        </w:tc>
      </w:tr>
      <w:tr w:rsidR="00276D87" w:rsidRPr="00F75F86" w14:paraId="68045F59" w14:textId="77777777" w:rsidTr="00276D87">
        <w:trPr>
          <w:trHeight w:val="530"/>
        </w:trPr>
        <w:tc>
          <w:tcPr>
            <w:tcW w:w="1683" w:type="dxa"/>
          </w:tcPr>
          <w:p w14:paraId="2BF87A64" w14:textId="77777777" w:rsidR="00276D87" w:rsidRPr="00F75F86" w:rsidRDefault="00276D87" w:rsidP="00276D87">
            <w:pPr>
              <w:rPr>
                <w:rFonts w:ascii="Sylfaen" w:hAnsi="Sylfaen"/>
                <w:sz w:val="22"/>
                <w:szCs w:val="22"/>
                <w:lang w:val="sq-AL"/>
              </w:rPr>
            </w:pPr>
          </w:p>
        </w:tc>
        <w:tc>
          <w:tcPr>
            <w:tcW w:w="2731" w:type="dxa"/>
          </w:tcPr>
          <w:p w14:paraId="767C11B0" w14:textId="213FC5AA" w:rsidR="00276D87" w:rsidRPr="00F75F86" w:rsidRDefault="00276D87" w:rsidP="00276D87">
            <w:pPr>
              <w:rPr>
                <w:rFonts w:ascii="Sylfaen" w:hAnsi="Sylfaen" w:cs="Segoe UI Light"/>
                <w:sz w:val="22"/>
                <w:szCs w:val="22"/>
                <w:lang w:val="sq-AL"/>
              </w:rPr>
            </w:pPr>
            <w:r w:rsidRPr="00F75F86">
              <w:rPr>
                <w:rFonts w:ascii="Sylfaen" w:hAnsi="Sylfaen" w:cs="Segoe UI Light"/>
                <w:sz w:val="22"/>
                <w:szCs w:val="22"/>
                <w:lang w:val="sq-AL"/>
              </w:rPr>
              <w:t>Mungesa e inputeve të OSHC-ve dhe e përfshirjes së Këshillit, roli i CiviKos-it në mobilizimin e OSHC-</w:t>
            </w:r>
            <w:r w:rsidRPr="00F75F86">
              <w:rPr>
                <w:rFonts w:ascii="Sylfaen" w:hAnsi="Sylfaen" w:cs="Segoe UI Light"/>
                <w:sz w:val="22"/>
                <w:szCs w:val="22"/>
                <w:lang w:val="sq-AL"/>
              </w:rPr>
              <w:lastRenderedPageBreak/>
              <w:t>ve në periudhën paraprake duhet të adresohet në periudhën e re strategjike. Duhet të zhvillohet një qasje e re që përfshin parimin e rotacionit dhe një thirrje që të gjitha OSHC-të të mund të aplikojnë dhe të kenë qasje në njëjtë për të qenë pjesë e Këshillit. Standardet e inputit dhe anëtarëve cilësorë duhet të përfshihen në kriteret për përzgjedhjen e anëtarëve</w:t>
            </w:r>
          </w:p>
        </w:tc>
        <w:tc>
          <w:tcPr>
            <w:tcW w:w="3198" w:type="dxa"/>
          </w:tcPr>
          <w:p w14:paraId="10BF7218" w14:textId="61F953BB" w:rsidR="00276D87" w:rsidRPr="00F75F86" w:rsidRDefault="00A7419C"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E pranuar</w:t>
            </w:r>
          </w:p>
        </w:tc>
        <w:tc>
          <w:tcPr>
            <w:tcW w:w="5973" w:type="dxa"/>
          </w:tcPr>
          <w:p w14:paraId="7C85B106" w14:textId="350E1430" w:rsidR="00276D87" w:rsidRPr="00F75F86" w:rsidRDefault="00A7419C" w:rsidP="00276D87">
            <w:pPr>
              <w:rPr>
                <w:rFonts w:ascii="Sylfaen" w:hAnsi="Sylfaen" w:cs="Segoe UI Light"/>
                <w:color w:val="000000"/>
                <w:sz w:val="22"/>
                <w:szCs w:val="22"/>
                <w:lang w:val="sq-AL"/>
              </w:rPr>
            </w:pPr>
            <w:r w:rsidRPr="00F75F86">
              <w:rPr>
                <w:rFonts w:ascii="Sylfaen" w:hAnsi="Sylfaen" w:cs="Segoe UI Light"/>
                <w:color w:val="000000"/>
                <w:sz w:val="22"/>
                <w:szCs w:val="22"/>
                <w:lang w:val="sq-AL"/>
              </w:rPr>
              <w:t>Shtojca 3 Skema e organizimit institucional, duke përfshirë informatat që procesi i përzgjedhjes së anëtarëve të këshillit dhe ekipeve punuese do të jenë transparent dhe gjithëpërfshirës për OSHC-të.</w:t>
            </w:r>
          </w:p>
          <w:p w14:paraId="78293473" w14:textId="77777777" w:rsidR="00A7419C" w:rsidRPr="00F75F86" w:rsidRDefault="00A7419C" w:rsidP="00276D87">
            <w:pPr>
              <w:rPr>
                <w:rFonts w:ascii="Sylfaen" w:hAnsi="Sylfaen" w:cs="Segoe UI Light"/>
                <w:color w:val="000000"/>
                <w:sz w:val="22"/>
                <w:szCs w:val="22"/>
                <w:lang w:val="sq-AL"/>
              </w:rPr>
            </w:pPr>
          </w:p>
          <w:p w14:paraId="1B88BE97" w14:textId="0D0EDCEF" w:rsidR="00A7419C" w:rsidRPr="00F75F86" w:rsidRDefault="00A7419C" w:rsidP="00276D87">
            <w:pPr>
              <w:rPr>
                <w:rFonts w:ascii="Sylfaen" w:hAnsi="Sylfaen" w:cs="Segoe UI Light"/>
                <w:color w:val="000000"/>
                <w:sz w:val="22"/>
                <w:szCs w:val="22"/>
                <w:lang w:val="sq-AL"/>
              </w:rPr>
            </w:pPr>
            <w:r w:rsidRPr="00F75F86">
              <w:rPr>
                <w:rFonts w:ascii="Sylfaen" w:hAnsi="Sylfaen" w:cs="Segoe UI Light"/>
                <w:sz w:val="22"/>
                <w:szCs w:val="22"/>
                <w:lang w:val="sq-AL"/>
              </w:rPr>
              <w:t>Seksionit te Monitorimi dhe Vlerësimi i Zbatimit të Strategjisë i është shtuar paragrafi në vijim: “Me qëllim të sigurimit të zbatimit dhe monitorimit cilësor të Strategjisë dhe Planit të saj të Veprimit, anëtarët e Këshillit zgjidhen në mënyrë të hapur, transparente dhe llogaridhënëse. Kriteret e përzgjedhjes do të përfshijnë në masë të njëjtë përfaqësimin (d.m.th., kandidatët që kanë mbështetje të gjerë në shoqërinë civile, duke inkurajuar nominimin e grave, anëtarëve të komuniteteve jo shumicë dhe grupeve të nën përfaqësuara) dhe ekspertizën (d.m.th., kandidatët që kanë njohuri, përvojë paraprake dhe janë të njohur në një fushë të caktuar (tematike) të anëtarëve të përzgjedhur që vijnë si nga institucionet publike, ashtu edhe nga radhët e shoqërisë civile. Çdo anëtar gjithashtu duhet të plotësojë kriteret minimale duke përfshirë vitet minimale të punës dhe përvojës në fushën dhe sektorin e caktuar (sektori publik ose shoqëria civile), etj. Udhëzimet e mësipërme për kriteret duhet të zhvillohen më tej bashkë me rregullat dhe procedurën që procesi i përzgjedhjes të zhvillohet në formë të një vendimi të veçantë.”</w:t>
            </w:r>
          </w:p>
        </w:tc>
      </w:tr>
      <w:tr w:rsidR="00A7419C" w:rsidRPr="00F75F86" w14:paraId="10A8AB49" w14:textId="77777777" w:rsidTr="00276D87">
        <w:trPr>
          <w:trHeight w:val="530"/>
        </w:trPr>
        <w:tc>
          <w:tcPr>
            <w:tcW w:w="1683" w:type="dxa"/>
          </w:tcPr>
          <w:p w14:paraId="6AEF9A97" w14:textId="77777777" w:rsidR="00A7419C" w:rsidRPr="00F75F86" w:rsidRDefault="00A7419C" w:rsidP="00276D87">
            <w:pPr>
              <w:rPr>
                <w:rFonts w:ascii="Sylfaen" w:hAnsi="Sylfaen"/>
                <w:sz w:val="22"/>
                <w:szCs w:val="22"/>
                <w:lang w:val="sq-AL"/>
              </w:rPr>
            </w:pPr>
          </w:p>
        </w:tc>
        <w:tc>
          <w:tcPr>
            <w:tcW w:w="2731" w:type="dxa"/>
          </w:tcPr>
          <w:p w14:paraId="050A7E75" w14:textId="611ACB85" w:rsidR="00A7419C" w:rsidRPr="00F75F86" w:rsidRDefault="00A7419C" w:rsidP="00276D87">
            <w:pPr>
              <w:rPr>
                <w:rFonts w:ascii="Sylfaen" w:hAnsi="Sylfaen" w:cs="Segoe UI Light"/>
                <w:sz w:val="22"/>
                <w:szCs w:val="22"/>
                <w:lang w:val="sq-AL"/>
              </w:rPr>
            </w:pPr>
            <w:r w:rsidRPr="00F75F86">
              <w:rPr>
                <w:rFonts w:ascii="Sylfaen" w:hAnsi="Sylfaen" w:cs="Segoe UI Light"/>
                <w:sz w:val="22"/>
                <w:szCs w:val="22"/>
                <w:lang w:val="sq-AL"/>
              </w:rPr>
              <w:t>Diaspora duhet të përfshihet si grup i synuar kur merren parasysh masat e filantropisë dhe dhënies;</w:t>
            </w:r>
          </w:p>
        </w:tc>
        <w:tc>
          <w:tcPr>
            <w:tcW w:w="3198" w:type="dxa"/>
          </w:tcPr>
          <w:p w14:paraId="7EA1FBAF" w14:textId="566F7848" w:rsidR="00A7419C" w:rsidRPr="00F75F86" w:rsidRDefault="00A7419C"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 tek Objektivi specifik 2.2.</w:t>
            </w:r>
          </w:p>
        </w:tc>
        <w:tc>
          <w:tcPr>
            <w:tcW w:w="5973" w:type="dxa"/>
          </w:tcPr>
          <w:p w14:paraId="274156B8" w14:textId="3EBE7492" w:rsidR="00A7419C" w:rsidRPr="00F75F86" w:rsidRDefault="00A7419C" w:rsidP="00276D87">
            <w:pPr>
              <w:rPr>
                <w:rFonts w:ascii="Sylfaen" w:hAnsi="Sylfaen" w:cs="Segoe UI Light"/>
                <w:color w:val="000000"/>
                <w:sz w:val="22"/>
                <w:szCs w:val="22"/>
                <w:lang w:val="sq-AL"/>
              </w:rPr>
            </w:pPr>
            <w:r w:rsidRPr="00F75F86">
              <w:rPr>
                <w:rFonts w:ascii="Sylfaen" w:hAnsi="Sylfaen" w:cs="Segoe UI Light"/>
                <w:color w:val="000000"/>
                <w:sz w:val="22"/>
                <w:szCs w:val="22"/>
                <w:lang w:val="sq-AL"/>
              </w:rPr>
              <w:t>Është shpjeguar dhe trajtuar në Objektivin specifik 2.2.: Përmirësimi i kornizës ligjore dhe institucionale për zhvillimin e filantropisë individuale dhe të korporatave</w:t>
            </w:r>
            <w:r w:rsidRPr="00F75F86">
              <w:rPr>
                <w:rFonts w:ascii="Sylfaen" w:hAnsi="Sylfaen" w:cs="Segoe UI Light"/>
                <w:sz w:val="22"/>
                <w:szCs w:val="22"/>
                <w:lang w:val="sq-AL"/>
              </w:rPr>
              <w:t>.</w:t>
            </w:r>
          </w:p>
        </w:tc>
      </w:tr>
      <w:tr w:rsidR="00A7419C" w:rsidRPr="00F75F86" w14:paraId="62A28A7A" w14:textId="77777777" w:rsidTr="00276D87">
        <w:trPr>
          <w:trHeight w:val="530"/>
        </w:trPr>
        <w:tc>
          <w:tcPr>
            <w:tcW w:w="1683" w:type="dxa"/>
          </w:tcPr>
          <w:p w14:paraId="08DF1F6C" w14:textId="77777777" w:rsidR="00A7419C" w:rsidRPr="00F75F86" w:rsidRDefault="00A7419C" w:rsidP="00276D87">
            <w:pPr>
              <w:rPr>
                <w:rFonts w:ascii="Sylfaen" w:hAnsi="Sylfaen"/>
                <w:sz w:val="22"/>
                <w:szCs w:val="22"/>
                <w:lang w:val="sq-AL"/>
              </w:rPr>
            </w:pPr>
          </w:p>
        </w:tc>
        <w:tc>
          <w:tcPr>
            <w:tcW w:w="2731" w:type="dxa"/>
          </w:tcPr>
          <w:p w14:paraId="72C52C87" w14:textId="12B82A53" w:rsidR="00A7419C" w:rsidRPr="00F75F86" w:rsidRDefault="00A7419C" w:rsidP="00276D87">
            <w:pPr>
              <w:rPr>
                <w:rFonts w:ascii="Sylfaen" w:hAnsi="Sylfaen" w:cs="Segoe UI Light"/>
                <w:sz w:val="22"/>
                <w:szCs w:val="22"/>
                <w:lang w:val="sq-AL"/>
              </w:rPr>
            </w:pPr>
            <w:r w:rsidRPr="00F75F86">
              <w:rPr>
                <w:rFonts w:ascii="Sylfaen" w:hAnsi="Sylfaen" w:cs="Segoe UI Light"/>
                <w:sz w:val="22"/>
                <w:szCs w:val="22"/>
                <w:lang w:val="sq-AL"/>
              </w:rPr>
              <w:t xml:space="preserve">Ekziston nevoja për zhvillimin e një ligji gjithëpërfshirës për filantropinë, duke përfshirë edhe rishikimin dhe promovimin e fondeve të dhuruara për të promovuar më tej </w:t>
            </w:r>
            <w:r w:rsidRPr="00F75F86">
              <w:rPr>
                <w:rFonts w:ascii="Sylfaen" w:hAnsi="Sylfaen" w:cs="Segoe UI Light"/>
                <w:sz w:val="22"/>
                <w:szCs w:val="22"/>
                <w:lang w:val="sq-AL"/>
              </w:rPr>
              <w:lastRenderedPageBreak/>
              <w:t>zhvillimin e filantropisë, megjithëse korniza aktuale ligjore nuk e pengon atë;</w:t>
            </w:r>
          </w:p>
        </w:tc>
        <w:tc>
          <w:tcPr>
            <w:tcW w:w="3198" w:type="dxa"/>
          </w:tcPr>
          <w:p w14:paraId="114A1D06" w14:textId="5D65CBB5" w:rsidR="00A7419C" w:rsidRPr="00F75F86" w:rsidRDefault="00A7419C"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E konfirmuar</w:t>
            </w:r>
          </w:p>
        </w:tc>
        <w:tc>
          <w:tcPr>
            <w:tcW w:w="5973" w:type="dxa"/>
          </w:tcPr>
          <w:p w14:paraId="63482AE5" w14:textId="64CF4197" w:rsidR="00A7419C" w:rsidRPr="00F75F86" w:rsidRDefault="00A7419C" w:rsidP="00276D87">
            <w:pPr>
              <w:rPr>
                <w:rFonts w:ascii="Sylfaen" w:hAnsi="Sylfaen" w:cs="Segoe UI Light"/>
                <w:color w:val="000000"/>
                <w:sz w:val="22"/>
                <w:szCs w:val="22"/>
                <w:lang w:val="sq-AL"/>
              </w:rPr>
            </w:pPr>
            <w:r w:rsidRPr="00F75F86">
              <w:rPr>
                <w:rFonts w:ascii="Sylfaen" w:hAnsi="Sylfaen" w:cs="Segoe UI Light"/>
                <w:color w:val="000000"/>
                <w:sz w:val="22"/>
                <w:szCs w:val="22"/>
                <w:lang w:val="sq-AL"/>
              </w:rPr>
              <w:t>Është shpjeguar dhe trajtuar në Objektivin specifik 2.2.: Përmirësimi i kornizës ligjore dhe institucionale për zhvillimin e filantropisë individuale dhe të korporatave</w:t>
            </w:r>
            <w:r w:rsidRPr="00F75F86">
              <w:rPr>
                <w:rFonts w:ascii="Sylfaen" w:hAnsi="Sylfaen" w:cs="Segoe UI Light"/>
                <w:sz w:val="22"/>
                <w:szCs w:val="22"/>
                <w:lang w:val="sq-AL"/>
              </w:rPr>
              <w:t>.</w:t>
            </w:r>
          </w:p>
        </w:tc>
      </w:tr>
      <w:tr w:rsidR="00A7419C" w:rsidRPr="00F75F86" w14:paraId="4ECA1A3A" w14:textId="77777777" w:rsidTr="00276D87">
        <w:trPr>
          <w:trHeight w:val="530"/>
        </w:trPr>
        <w:tc>
          <w:tcPr>
            <w:tcW w:w="1683" w:type="dxa"/>
          </w:tcPr>
          <w:p w14:paraId="19FE3344" w14:textId="77777777" w:rsidR="00A7419C" w:rsidRPr="00F75F86" w:rsidRDefault="00A7419C" w:rsidP="00276D87">
            <w:pPr>
              <w:rPr>
                <w:rFonts w:ascii="Sylfaen" w:hAnsi="Sylfaen"/>
                <w:sz w:val="22"/>
                <w:szCs w:val="22"/>
                <w:lang w:val="sq-AL"/>
              </w:rPr>
            </w:pPr>
          </w:p>
        </w:tc>
        <w:tc>
          <w:tcPr>
            <w:tcW w:w="2731" w:type="dxa"/>
          </w:tcPr>
          <w:p w14:paraId="4801797D" w14:textId="27D32E7E" w:rsidR="00A7419C" w:rsidRPr="00F75F86" w:rsidRDefault="00A7419C" w:rsidP="00276D87">
            <w:pPr>
              <w:rPr>
                <w:rFonts w:ascii="Sylfaen" w:hAnsi="Sylfaen" w:cs="Segoe UI Light"/>
                <w:sz w:val="22"/>
                <w:szCs w:val="22"/>
                <w:lang w:val="sq-AL"/>
              </w:rPr>
            </w:pPr>
            <w:r w:rsidRPr="00F75F86">
              <w:rPr>
                <w:rFonts w:ascii="Sylfaen" w:hAnsi="Sylfaen" w:cs="Segoe UI Light"/>
                <w:sz w:val="22"/>
                <w:szCs w:val="22"/>
                <w:lang w:val="sq-AL"/>
              </w:rPr>
              <w:t>Masat/veprimi në kuadër të 1.3.2. dhe 3.3.1. duhet të qartësohen në aspektin e qëllimit (cilat janë masat që synohen të arrihen) dhe duhet të riformulohen ose të fshihen. Procesi i mbështetjes dhe ngritjes së kapaciteteve nuk duhet të varet vetëm nga organizatat kryesore ((1.3.2.) ose të bazohet vetëm në bazën e të dhënave (3.3.1.);</w:t>
            </w:r>
          </w:p>
        </w:tc>
        <w:tc>
          <w:tcPr>
            <w:tcW w:w="3198" w:type="dxa"/>
          </w:tcPr>
          <w:p w14:paraId="7B9E9CAE" w14:textId="76CA1300" w:rsidR="00A7419C" w:rsidRPr="00F75F86" w:rsidRDefault="00A7419C"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w:t>
            </w:r>
          </w:p>
        </w:tc>
        <w:tc>
          <w:tcPr>
            <w:tcW w:w="5973" w:type="dxa"/>
          </w:tcPr>
          <w:p w14:paraId="08837A1B" w14:textId="77777777" w:rsidR="00A7419C" w:rsidRPr="00F75F86" w:rsidRDefault="00A7419C" w:rsidP="00276D87">
            <w:pPr>
              <w:rPr>
                <w:rFonts w:ascii="Sylfaen" w:hAnsi="Sylfaen" w:cs="Segoe UI Light"/>
                <w:sz w:val="22"/>
                <w:szCs w:val="22"/>
                <w:lang w:val="sq-AL"/>
              </w:rPr>
            </w:pPr>
            <w:r w:rsidRPr="00F75F86">
              <w:rPr>
                <w:rFonts w:ascii="Sylfaen" w:hAnsi="Sylfaen" w:cs="Segoe UI Light"/>
                <w:sz w:val="22"/>
                <w:szCs w:val="22"/>
                <w:lang w:val="sq-AL"/>
              </w:rPr>
              <w:t xml:space="preserve">Veprimet janë fshirë terësisht </w:t>
            </w:r>
          </w:p>
          <w:p w14:paraId="0EEDAB1C" w14:textId="36F02331" w:rsidR="00A7419C" w:rsidRPr="00F75F86" w:rsidRDefault="00A7419C" w:rsidP="00276D87">
            <w:pPr>
              <w:rPr>
                <w:rFonts w:ascii="Sylfaen" w:hAnsi="Sylfaen" w:cs="Segoe UI Light"/>
                <w:color w:val="000000"/>
                <w:sz w:val="22"/>
                <w:szCs w:val="22"/>
                <w:lang w:val="sq-AL"/>
              </w:rPr>
            </w:pPr>
          </w:p>
        </w:tc>
      </w:tr>
      <w:tr w:rsidR="00A7419C" w:rsidRPr="00F75F86" w14:paraId="3FD69731" w14:textId="77777777" w:rsidTr="00276D87">
        <w:trPr>
          <w:trHeight w:val="530"/>
        </w:trPr>
        <w:tc>
          <w:tcPr>
            <w:tcW w:w="1683" w:type="dxa"/>
          </w:tcPr>
          <w:p w14:paraId="577E5927" w14:textId="77777777" w:rsidR="00A7419C" w:rsidRPr="00F75F86" w:rsidRDefault="00A7419C" w:rsidP="00276D87">
            <w:pPr>
              <w:rPr>
                <w:rFonts w:ascii="Sylfaen" w:hAnsi="Sylfaen"/>
                <w:sz w:val="22"/>
                <w:szCs w:val="22"/>
                <w:lang w:val="sq-AL"/>
              </w:rPr>
            </w:pPr>
          </w:p>
        </w:tc>
        <w:tc>
          <w:tcPr>
            <w:tcW w:w="2731" w:type="dxa"/>
          </w:tcPr>
          <w:p w14:paraId="252F15FF" w14:textId="26731722" w:rsidR="00A7419C" w:rsidRPr="00F75F86" w:rsidRDefault="00A7419C" w:rsidP="00276D87">
            <w:pPr>
              <w:rPr>
                <w:rFonts w:ascii="Sylfaen" w:hAnsi="Sylfaen" w:cs="Segoe UI Light"/>
                <w:sz w:val="22"/>
                <w:szCs w:val="22"/>
                <w:lang w:val="sq-AL"/>
              </w:rPr>
            </w:pPr>
            <w:r w:rsidRPr="00F75F86">
              <w:rPr>
                <w:rFonts w:ascii="Sylfaen" w:hAnsi="Sylfaen" w:cs="Segoe UI Light"/>
                <w:sz w:val="22"/>
                <w:szCs w:val="22"/>
                <w:lang w:val="sq-AL"/>
              </w:rPr>
              <w:t>Të gjitha masat dhe OS 4 duke përfshirë vullnetarizmin duhet të grupohen në kuadër të OS 2 (mbështetja financiare dhe jo financiare);</w:t>
            </w:r>
          </w:p>
        </w:tc>
        <w:tc>
          <w:tcPr>
            <w:tcW w:w="3198" w:type="dxa"/>
          </w:tcPr>
          <w:p w14:paraId="1A6B8F89" w14:textId="0E541366" w:rsidR="00A7419C" w:rsidRPr="00F75F86" w:rsidRDefault="00147912"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shpjeguar dhe pranuar pjeserisht</w:t>
            </w:r>
          </w:p>
        </w:tc>
        <w:tc>
          <w:tcPr>
            <w:tcW w:w="5973" w:type="dxa"/>
          </w:tcPr>
          <w:p w14:paraId="2B6E4194" w14:textId="14C2C48D" w:rsidR="00A7419C"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Është shpjeguar dhe trajtuar në Objektivin Strategjik 2: Përmirësimi i kornizës institucionale dhe ligjore për financim në zhvillimin e qëndrueshëm të programeve dhe projekteve të OShC-ve me interes publik dhe në Objektivin Strategjik</w:t>
            </w:r>
            <w:bookmarkStart w:id="1" w:name="_Toc530935518"/>
            <w:r w:rsidRPr="00F75F86">
              <w:rPr>
                <w:rFonts w:ascii="Sylfaen" w:hAnsi="Sylfaen" w:cs="Segoe UI Light"/>
                <w:sz w:val="22"/>
                <w:szCs w:val="22"/>
                <w:lang w:val="sq-AL"/>
              </w:rPr>
              <w:t xml:space="preserve"> 4: Rritja e vullnetarizmit në programet në interes publik</w:t>
            </w:r>
            <w:bookmarkEnd w:id="1"/>
            <w:r w:rsidRPr="00F75F86">
              <w:rPr>
                <w:rFonts w:ascii="Sylfaen" w:hAnsi="Sylfaen" w:cs="Segoe UI Light"/>
                <w:sz w:val="22"/>
                <w:szCs w:val="22"/>
                <w:lang w:val="sq-AL"/>
              </w:rPr>
              <w:t>.</w:t>
            </w:r>
          </w:p>
        </w:tc>
      </w:tr>
      <w:tr w:rsidR="00147912" w:rsidRPr="00F75F86" w14:paraId="2BF05387" w14:textId="77777777" w:rsidTr="00276D87">
        <w:trPr>
          <w:trHeight w:val="530"/>
        </w:trPr>
        <w:tc>
          <w:tcPr>
            <w:tcW w:w="1683" w:type="dxa"/>
          </w:tcPr>
          <w:p w14:paraId="1EC2C401" w14:textId="77777777" w:rsidR="00147912" w:rsidRPr="00F75F86" w:rsidRDefault="00147912" w:rsidP="00276D87">
            <w:pPr>
              <w:rPr>
                <w:rFonts w:ascii="Sylfaen" w:hAnsi="Sylfaen"/>
                <w:sz w:val="22"/>
                <w:szCs w:val="22"/>
                <w:lang w:val="sq-AL"/>
              </w:rPr>
            </w:pPr>
          </w:p>
        </w:tc>
        <w:tc>
          <w:tcPr>
            <w:tcW w:w="2731" w:type="dxa"/>
          </w:tcPr>
          <w:p w14:paraId="30E60BE4" w14:textId="7FE7CE2F"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 xml:space="preserve">Nevojiten informata të strukturuara kthyese (duke përfshirë informatat e hollësishme për modelet) për aplikacionet e dështuara  në mënyrë që organizatat të mund të mësojnë dhe t’i </w:t>
            </w:r>
            <w:r w:rsidRPr="00F75F86">
              <w:rPr>
                <w:rFonts w:ascii="Sylfaen" w:hAnsi="Sylfaen" w:cs="Segoe UI Light"/>
                <w:sz w:val="22"/>
                <w:szCs w:val="22"/>
                <w:lang w:val="sq-AL"/>
              </w:rPr>
              <w:lastRenderedPageBreak/>
              <w:t>përmirësojnë projektet e tyre;</w:t>
            </w:r>
          </w:p>
        </w:tc>
        <w:tc>
          <w:tcPr>
            <w:tcW w:w="3198" w:type="dxa"/>
          </w:tcPr>
          <w:p w14:paraId="04630625" w14:textId="61D80F19" w:rsidR="00147912" w:rsidRPr="00F75F86" w:rsidRDefault="00147912"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E konfirmuar</w:t>
            </w:r>
          </w:p>
        </w:tc>
        <w:tc>
          <w:tcPr>
            <w:tcW w:w="5973" w:type="dxa"/>
          </w:tcPr>
          <w:p w14:paraId="65EF6486" w14:textId="4ED4E839"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Është shpjeguar dhe trajtuar në Objektivin specifik</w:t>
            </w:r>
            <w:r w:rsidRPr="00F75F86">
              <w:rPr>
                <w:rFonts w:ascii="Sylfaen" w:hAnsi="Sylfaen" w:cs="Segoe UI Light"/>
                <w:color w:val="000000"/>
                <w:sz w:val="22"/>
                <w:szCs w:val="22"/>
                <w:lang w:val="sq-AL"/>
              </w:rPr>
              <w:t xml:space="preserve"> 2.1.:</w:t>
            </w:r>
            <w:r w:rsidRPr="00F75F86">
              <w:rPr>
                <w:rFonts w:ascii="Sylfaen" w:hAnsi="Sylfaen" w:cs="Segoe UI Light"/>
                <w:sz w:val="22"/>
                <w:szCs w:val="22"/>
                <w:lang w:val="sq-AL"/>
              </w:rPr>
              <w:t xml:space="preserve"> Forcimi i kapaciteteve të Ministrive dhe Komunave për standardet e financimit publik të OSHC-ve dhe në masat e tij.</w:t>
            </w:r>
            <w:r w:rsidRPr="00F75F86">
              <w:rPr>
                <w:rFonts w:ascii="Sylfaen" w:hAnsi="Sylfaen" w:cs="Segoe UI Light"/>
                <w:color w:val="000000"/>
                <w:sz w:val="22"/>
                <w:szCs w:val="22"/>
                <w:lang w:val="sq-AL"/>
              </w:rPr>
              <w:t xml:space="preserve"> Masa 2.1.</w:t>
            </w:r>
          </w:p>
        </w:tc>
      </w:tr>
      <w:tr w:rsidR="00147912" w:rsidRPr="00F75F86" w14:paraId="366D37F1" w14:textId="77777777" w:rsidTr="00276D87">
        <w:trPr>
          <w:trHeight w:val="530"/>
        </w:trPr>
        <w:tc>
          <w:tcPr>
            <w:tcW w:w="1683" w:type="dxa"/>
          </w:tcPr>
          <w:p w14:paraId="669C4C3D" w14:textId="77777777" w:rsidR="00147912" w:rsidRPr="00F75F86" w:rsidRDefault="00147912" w:rsidP="00276D87">
            <w:pPr>
              <w:rPr>
                <w:rFonts w:ascii="Sylfaen" w:hAnsi="Sylfaen"/>
                <w:sz w:val="22"/>
                <w:szCs w:val="22"/>
                <w:lang w:val="sq-AL"/>
              </w:rPr>
            </w:pPr>
          </w:p>
        </w:tc>
        <w:tc>
          <w:tcPr>
            <w:tcW w:w="2731" w:type="dxa"/>
          </w:tcPr>
          <w:p w14:paraId="15259DD3" w14:textId="24AB427C"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Masa 2.3. për pronësinë shtetërore gjithashtu duhet të përfshijë qasjen e OSHC-ve në pronën e konfiskuar nga shteti;</w:t>
            </w:r>
          </w:p>
        </w:tc>
        <w:tc>
          <w:tcPr>
            <w:tcW w:w="3198" w:type="dxa"/>
          </w:tcPr>
          <w:p w14:paraId="5F245D13" w14:textId="71C0AC04" w:rsidR="00147912" w:rsidRPr="00F75F86" w:rsidRDefault="00147912"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11138F4D" w14:textId="1DC2F77E"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Është shpjeguar dhe trajtuar në Objektivin specifik</w:t>
            </w:r>
            <w:r w:rsidRPr="00F75F86">
              <w:rPr>
                <w:rFonts w:ascii="Sylfaen" w:hAnsi="Sylfaen" w:cs="Segoe UI Light"/>
                <w:color w:val="000000"/>
                <w:sz w:val="22"/>
                <w:szCs w:val="22"/>
                <w:lang w:val="sq-AL"/>
              </w:rPr>
              <w:t xml:space="preserve"> 2.3.: Krijimi i një mekanizmi për bashkëfinancim të projekteve të OSHC-ve të financuara nga BE-ja dhe në masat e tij.</w:t>
            </w:r>
          </w:p>
        </w:tc>
      </w:tr>
      <w:tr w:rsidR="00147912" w:rsidRPr="00F75F86" w14:paraId="1923F423" w14:textId="77777777" w:rsidTr="00276D87">
        <w:trPr>
          <w:trHeight w:val="530"/>
        </w:trPr>
        <w:tc>
          <w:tcPr>
            <w:tcW w:w="1683" w:type="dxa"/>
          </w:tcPr>
          <w:p w14:paraId="238A6AEB" w14:textId="77777777" w:rsidR="00147912" w:rsidRPr="00F75F86" w:rsidRDefault="00147912" w:rsidP="00276D87">
            <w:pPr>
              <w:rPr>
                <w:rFonts w:ascii="Sylfaen" w:hAnsi="Sylfaen"/>
                <w:sz w:val="22"/>
                <w:szCs w:val="22"/>
                <w:lang w:val="sq-AL"/>
              </w:rPr>
            </w:pPr>
          </w:p>
        </w:tc>
        <w:tc>
          <w:tcPr>
            <w:tcW w:w="2731" w:type="dxa"/>
          </w:tcPr>
          <w:p w14:paraId="10348A86" w14:textId="25938FD5"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Drejtoritë në Ministrinë e Administratës Publikë kanë informata të mjaftueshme mbi OSHC-të, prandaj krijimi i një baze të veçantë me të dhëna se cilat janë OSHC-të që ofrojnë shërbime nuk është i nevojshëm.</w:t>
            </w:r>
          </w:p>
        </w:tc>
        <w:tc>
          <w:tcPr>
            <w:tcW w:w="3198" w:type="dxa"/>
          </w:tcPr>
          <w:p w14:paraId="4AB2DF4A" w14:textId="3DF9EA35" w:rsidR="00147912" w:rsidRPr="00F75F86" w:rsidRDefault="00147912"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4B2D04F4" w14:textId="7A9C8736"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Është shpjeguar dhe trajtuar në Objektivin specifik</w:t>
            </w:r>
            <w:r w:rsidRPr="00F75F86">
              <w:rPr>
                <w:rFonts w:ascii="Sylfaen" w:hAnsi="Sylfaen" w:cs="Segoe UI Light"/>
                <w:color w:val="000000"/>
                <w:sz w:val="22"/>
                <w:szCs w:val="22"/>
                <w:lang w:val="sq-AL"/>
              </w:rPr>
              <w:t xml:space="preserve"> 3.3.: Të sigurohet mbledhja sistematike dhe disponueshmëria e të dhënave për OSHC-të si ofrues të shërbimeve dhe në masat e tij</w:t>
            </w:r>
            <w:r w:rsidRPr="00F75F86">
              <w:rPr>
                <w:rFonts w:ascii="Sylfaen" w:hAnsi="Sylfaen" w:cs="Segoe UI Light"/>
                <w:sz w:val="22"/>
                <w:szCs w:val="22"/>
                <w:lang w:val="sq-AL"/>
              </w:rPr>
              <w:t>.</w:t>
            </w:r>
          </w:p>
        </w:tc>
      </w:tr>
      <w:tr w:rsidR="00147912" w:rsidRPr="00F75F86" w14:paraId="415B6B2D" w14:textId="77777777" w:rsidTr="00CA3EBD">
        <w:trPr>
          <w:trHeight w:val="530"/>
        </w:trPr>
        <w:tc>
          <w:tcPr>
            <w:tcW w:w="1683" w:type="dxa"/>
            <w:shd w:val="clear" w:color="auto" w:fill="F2F2F2" w:themeFill="background1" w:themeFillShade="F2"/>
          </w:tcPr>
          <w:p w14:paraId="07E35655" w14:textId="743E4A60" w:rsidR="00147912" w:rsidRPr="00F75F86" w:rsidRDefault="00147912" w:rsidP="00CA3EBD">
            <w:pPr>
              <w:jc w:val="center"/>
              <w:rPr>
                <w:rFonts w:ascii="Sylfaen" w:hAnsi="Sylfaen"/>
                <w:b/>
                <w:sz w:val="22"/>
                <w:szCs w:val="22"/>
                <w:lang w:val="sq-AL"/>
              </w:rPr>
            </w:pPr>
            <w:r w:rsidRPr="00F75F86">
              <w:rPr>
                <w:rFonts w:ascii="Sylfaen" w:hAnsi="Sylfaen"/>
                <w:b/>
                <w:sz w:val="22"/>
                <w:szCs w:val="22"/>
                <w:lang w:val="sq-AL"/>
              </w:rPr>
              <w:t>PRIZRENI</w:t>
            </w:r>
          </w:p>
        </w:tc>
        <w:tc>
          <w:tcPr>
            <w:tcW w:w="2731" w:type="dxa"/>
            <w:shd w:val="clear" w:color="auto" w:fill="F2F2F2" w:themeFill="background1" w:themeFillShade="F2"/>
          </w:tcPr>
          <w:p w14:paraId="3773AE48" w14:textId="77777777" w:rsidR="00147912" w:rsidRPr="00F75F86" w:rsidRDefault="00147912" w:rsidP="00CA3EBD">
            <w:pPr>
              <w:jc w:val="center"/>
              <w:rPr>
                <w:rFonts w:ascii="Sylfaen" w:hAnsi="Sylfaen"/>
                <w:b/>
                <w:sz w:val="22"/>
                <w:szCs w:val="22"/>
                <w:lang w:val="sq-AL"/>
              </w:rPr>
            </w:pPr>
          </w:p>
        </w:tc>
        <w:tc>
          <w:tcPr>
            <w:tcW w:w="3198" w:type="dxa"/>
            <w:shd w:val="clear" w:color="auto" w:fill="F2F2F2" w:themeFill="background1" w:themeFillShade="F2"/>
          </w:tcPr>
          <w:p w14:paraId="6BF1CADB" w14:textId="77777777" w:rsidR="00147912" w:rsidRPr="00F75F86" w:rsidRDefault="00147912" w:rsidP="00CA3EBD">
            <w:pPr>
              <w:pStyle w:val="Heading2"/>
              <w:spacing w:before="0" w:beforeAutospacing="0" w:after="0" w:afterAutospacing="0"/>
              <w:jc w:val="center"/>
              <w:outlineLvl w:val="1"/>
              <w:rPr>
                <w:rFonts w:ascii="Sylfaen" w:eastAsiaTheme="minorHAnsi" w:hAnsi="Sylfaen" w:cstheme="minorBidi"/>
                <w:bCs w:val="0"/>
                <w:sz w:val="22"/>
                <w:szCs w:val="22"/>
                <w:lang w:val="sq-AL"/>
              </w:rPr>
            </w:pPr>
          </w:p>
        </w:tc>
        <w:tc>
          <w:tcPr>
            <w:tcW w:w="5973" w:type="dxa"/>
            <w:shd w:val="clear" w:color="auto" w:fill="F2F2F2" w:themeFill="background1" w:themeFillShade="F2"/>
          </w:tcPr>
          <w:p w14:paraId="3600376F" w14:textId="77777777" w:rsidR="00147912" w:rsidRPr="00F75F86" w:rsidRDefault="00147912" w:rsidP="00CA3EBD">
            <w:pPr>
              <w:jc w:val="center"/>
              <w:rPr>
                <w:rFonts w:ascii="Sylfaen" w:hAnsi="Sylfaen"/>
                <w:b/>
                <w:sz w:val="22"/>
                <w:szCs w:val="22"/>
                <w:lang w:val="sq-AL"/>
              </w:rPr>
            </w:pPr>
          </w:p>
        </w:tc>
      </w:tr>
      <w:tr w:rsidR="00147912" w:rsidRPr="00F75F86" w14:paraId="3DE8B760" w14:textId="77777777" w:rsidTr="00276D87">
        <w:trPr>
          <w:trHeight w:val="530"/>
        </w:trPr>
        <w:tc>
          <w:tcPr>
            <w:tcW w:w="1683" w:type="dxa"/>
          </w:tcPr>
          <w:p w14:paraId="70A1E9A7" w14:textId="45619638" w:rsidR="00147912" w:rsidRPr="00F75F86" w:rsidRDefault="00147912" w:rsidP="00276D87">
            <w:pPr>
              <w:rPr>
                <w:rFonts w:ascii="Sylfaen" w:hAnsi="Sylfaen"/>
                <w:sz w:val="22"/>
                <w:szCs w:val="22"/>
                <w:lang w:val="sq-AL"/>
              </w:rPr>
            </w:pPr>
            <w:r w:rsidRPr="00F75F86">
              <w:rPr>
                <w:rFonts w:ascii="Sylfaen" w:hAnsi="Sylfaen" w:cs="Segoe UI Light"/>
                <w:sz w:val="22"/>
                <w:szCs w:val="22"/>
                <w:lang w:val="sq-AL"/>
              </w:rPr>
              <w:t>Shoqata boshnjake “SOFRA”</w:t>
            </w:r>
          </w:p>
        </w:tc>
        <w:tc>
          <w:tcPr>
            <w:tcW w:w="2731" w:type="dxa"/>
          </w:tcPr>
          <w:p w14:paraId="0E8DAB46" w14:textId="62C28ADF"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Është kërkuar të shikohet mundësia  që komunitetet të përfshihen specifikash në tekstin e draftit të Strategjisë;</w:t>
            </w:r>
          </w:p>
        </w:tc>
        <w:tc>
          <w:tcPr>
            <w:tcW w:w="3198" w:type="dxa"/>
          </w:tcPr>
          <w:p w14:paraId="6BF05CCA" w14:textId="7420F6D9" w:rsidR="00147912" w:rsidRPr="00F75F86" w:rsidRDefault="00147912"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w:t>
            </w:r>
          </w:p>
        </w:tc>
        <w:tc>
          <w:tcPr>
            <w:tcW w:w="5973" w:type="dxa"/>
          </w:tcPr>
          <w:p w14:paraId="7F24B2B5" w14:textId="0093FA95" w:rsidR="00147912" w:rsidRPr="00F75F86" w:rsidRDefault="00147912" w:rsidP="00276D87">
            <w:pPr>
              <w:rPr>
                <w:rFonts w:ascii="Sylfaen" w:hAnsi="Sylfaen" w:cs="Segoe UI Light"/>
                <w:sz w:val="22"/>
                <w:szCs w:val="22"/>
                <w:lang w:val="sq-AL"/>
              </w:rPr>
            </w:pPr>
            <w:r w:rsidRPr="00F75F86">
              <w:rPr>
                <w:rFonts w:ascii="Sylfaen" w:hAnsi="Sylfaen" w:cs="Segoe UI Light"/>
                <w:sz w:val="22"/>
                <w:szCs w:val="22"/>
                <w:lang w:val="sq-AL"/>
              </w:rPr>
              <w:t>Është shpjeguar dhe përfshirë në Përmbledhjen Ekzekutive: “Prandaj, zhvillimi i bashkëpunimit në mes të qeverisë dhe shoqërisë civile në formësimin dhe zbatimin e politikave publike është thelbësore në zhvillimit gjithëpërfshirës të qeverisjes së orientuar drejt qytetarit dhe respektimin e diversitetit në të gjitha aspektet e shoqërisë.”</w:t>
            </w:r>
          </w:p>
        </w:tc>
      </w:tr>
      <w:tr w:rsidR="00147912" w:rsidRPr="00F75F86" w14:paraId="6517C5DE" w14:textId="77777777" w:rsidTr="00276D87">
        <w:trPr>
          <w:trHeight w:val="530"/>
        </w:trPr>
        <w:tc>
          <w:tcPr>
            <w:tcW w:w="1683" w:type="dxa"/>
          </w:tcPr>
          <w:p w14:paraId="7F47BF43" w14:textId="34CA199E" w:rsidR="00147912" w:rsidRPr="00F75F86" w:rsidRDefault="00147912" w:rsidP="00276D87">
            <w:pPr>
              <w:rPr>
                <w:rFonts w:ascii="Sylfaen" w:hAnsi="Sylfaen"/>
                <w:sz w:val="22"/>
                <w:szCs w:val="22"/>
                <w:lang w:val="sq-AL"/>
              </w:rPr>
            </w:pPr>
            <w:r w:rsidRPr="00F75F86">
              <w:rPr>
                <w:rFonts w:ascii="Sylfaen" w:hAnsi="Sylfaen" w:cs="Segoe UI Light"/>
                <w:sz w:val="22"/>
                <w:szCs w:val="22"/>
                <w:lang w:val="sq-AL"/>
              </w:rPr>
              <w:t>Shoqata “PRAK”,</w:t>
            </w:r>
          </w:p>
        </w:tc>
        <w:tc>
          <w:tcPr>
            <w:tcW w:w="2731" w:type="dxa"/>
          </w:tcPr>
          <w:p w14:paraId="0D8575DC" w14:textId="463CF6F8" w:rsidR="00903B07" w:rsidRPr="00F75F86" w:rsidRDefault="00903B07" w:rsidP="00903B07">
            <w:pPr>
              <w:rPr>
                <w:rFonts w:ascii="Sylfaen" w:hAnsi="Sylfaen" w:cs="Segoe UI Light"/>
                <w:sz w:val="22"/>
                <w:szCs w:val="22"/>
                <w:lang w:val="sq-AL"/>
              </w:rPr>
            </w:pPr>
            <w:r w:rsidRPr="00F75F86">
              <w:rPr>
                <w:rFonts w:ascii="Sylfaen" w:hAnsi="Sylfaen" w:cs="Segoe UI Light"/>
                <w:sz w:val="22"/>
                <w:szCs w:val="22"/>
                <w:lang w:val="sq-AL"/>
              </w:rPr>
              <w:t>-Rritja e cilësisë dhe kompetencës së OShC-ve lokale lidhur me iniciativat, pjesëmarrjen në politikat dhe proceset vendimmarrëse;</w:t>
            </w:r>
          </w:p>
          <w:p w14:paraId="54073996" w14:textId="2BDB598B" w:rsidR="00903B07" w:rsidRPr="00F75F86" w:rsidRDefault="00903B07" w:rsidP="00903B07">
            <w:pPr>
              <w:rPr>
                <w:rFonts w:ascii="Sylfaen" w:hAnsi="Sylfaen" w:cs="Segoe UI Light"/>
                <w:sz w:val="22"/>
                <w:szCs w:val="22"/>
                <w:lang w:val="sq-AL"/>
              </w:rPr>
            </w:pPr>
            <w:r w:rsidRPr="00F75F86">
              <w:rPr>
                <w:rFonts w:ascii="Sylfaen" w:hAnsi="Sylfaen" w:cs="Segoe UI Light"/>
                <w:sz w:val="22"/>
                <w:szCs w:val="22"/>
                <w:lang w:val="sq-AL"/>
              </w:rPr>
              <w:t xml:space="preserve">-Plani i veprimit të strategjisë duhet të </w:t>
            </w:r>
            <w:r w:rsidRPr="00F75F86">
              <w:rPr>
                <w:rFonts w:ascii="Sylfaen" w:hAnsi="Sylfaen" w:cs="Segoe UI Light"/>
                <w:sz w:val="22"/>
                <w:szCs w:val="22"/>
                <w:lang w:val="sq-AL"/>
              </w:rPr>
              <w:lastRenderedPageBreak/>
              <w:t>permend përfshirjen e OSHC-ve lokale;;</w:t>
            </w:r>
          </w:p>
          <w:p w14:paraId="7E8157A9" w14:textId="2C1C5D5D" w:rsidR="00903B07" w:rsidRPr="00F75F86" w:rsidRDefault="00903B07" w:rsidP="00276D87">
            <w:pPr>
              <w:rPr>
                <w:rFonts w:ascii="Sylfaen" w:hAnsi="Sylfaen" w:cs="Segoe UI Light"/>
                <w:sz w:val="22"/>
                <w:szCs w:val="22"/>
                <w:lang w:val="sq-AL"/>
              </w:rPr>
            </w:pPr>
          </w:p>
        </w:tc>
        <w:tc>
          <w:tcPr>
            <w:tcW w:w="3198" w:type="dxa"/>
          </w:tcPr>
          <w:p w14:paraId="430CE502" w14:textId="5104710B" w:rsidR="00147912" w:rsidRPr="00F75F86" w:rsidRDefault="00903B07"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E konfirmuar</w:t>
            </w:r>
          </w:p>
        </w:tc>
        <w:tc>
          <w:tcPr>
            <w:tcW w:w="5973" w:type="dxa"/>
          </w:tcPr>
          <w:p w14:paraId="60BA45E1" w14:textId="62EFA14D" w:rsidR="00147912" w:rsidRPr="00F75F86" w:rsidRDefault="00903B07" w:rsidP="00276D87">
            <w:pPr>
              <w:rPr>
                <w:rFonts w:ascii="Sylfaen" w:hAnsi="Sylfaen" w:cs="Segoe UI Light"/>
                <w:sz w:val="22"/>
                <w:szCs w:val="22"/>
                <w:lang w:val="sq-AL"/>
              </w:rPr>
            </w:pPr>
            <w:r w:rsidRPr="00F75F86">
              <w:rPr>
                <w:rFonts w:ascii="Sylfaen" w:hAnsi="Sylfaen" w:cs="Segoe UI Light"/>
                <w:sz w:val="22"/>
                <w:szCs w:val="22"/>
                <w:lang w:val="sq-AL"/>
              </w:rPr>
              <w:t>Është shpjeguar dhe trajtuar në Objektivin specifik 1.2.: Ngritja e njohurive për qytetarë dhe shoqërinë civile për konsultimet publike, dhe në Objektivin specifik 1.3.: Përmirësimi i kapaciteteve të OSHC-ve për të kontribuuar në procesin e konsultimeve publike. Objektivi specifik 1.2., 1.3.</w:t>
            </w:r>
          </w:p>
        </w:tc>
      </w:tr>
      <w:tr w:rsidR="00903B07" w:rsidRPr="00F75F86" w14:paraId="1C611241" w14:textId="77777777" w:rsidTr="00276D87">
        <w:trPr>
          <w:trHeight w:val="530"/>
        </w:trPr>
        <w:tc>
          <w:tcPr>
            <w:tcW w:w="1683" w:type="dxa"/>
          </w:tcPr>
          <w:p w14:paraId="310B9141" w14:textId="77777777" w:rsidR="00903B07" w:rsidRPr="00F75F86" w:rsidRDefault="00903B07" w:rsidP="00276D87">
            <w:pPr>
              <w:rPr>
                <w:rFonts w:ascii="Sylfaen" w:hAnsi="Sylfaen" w:cs="Segoe UI Light"/>
                <w:sz w:val="22"/>
                <w:szCs w:val="22"/>
                <w:lang w:val="sq-AL"/>
              </w:rPr>
            </w:pPr>
          </w:p>
        </w:tc>
        <w:tc>
          <w:tcPr>
            <w:tcW w:w="2731" w:type="dxa"/>
          </w:tcPr>
          <w:p w14:paraId="23D03EAF" w14:textId="40E32D16" w:rsidR="00903B07" w:rsidRPr="00F75F86" w:rsidRDefault="00903B07" w:rsidP="00903B07">
            <w:pPr>
              <w:rPr>
                <w:rFonts w:ascii="Sylfaen" w:hAnsi="Sylfaen" w:cs="Segoe UI Light"/>
                <w:sz w:val="22"/>
                <w:szCs w:val="22"/>
                <w:lang w:val="sq-AL"/>
              </w:rPr>
            </w:pPr>
            <w:r w:rsidRPr="00F75F86">
              <w:rPr>
                <w:rFonts w:ascii="Sylfaen" w:hAnsi="Sylfaen" w:cs="Segoe UI Light"/>
                <w:sz w:val="22"/>
                <w:szCs w:val="22"/>
                <w:lang w:val="sq-AL"/>
              </w:rPr>
              <w:t>Plani i Veprimit i Strategjisë duhet të përmendë përfshirjen e OSHC-ve lokale;</w:t>
            </w:r>
          </w:p>
        </w:tc>
        <w:tc>
          <w:tcPr>
            <w:tcW w:w="3198" w:type="dxa"/>
          </w:tcPr>
          <w:p w14:paraId="070191C6" w14:textId="32B50762" w:rsidR="00903B07" w:rsidRPr="00F75F86" w:rsidRDefault="00903B07"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w:t>
            </w:r>
          </w:p>
        </w:tc>
        <w:tc>
          <w:tcPr>
            <w:tcW w:w="5973" w:type="dxa"/>
          </w:tcPr>
          <w:p w14:paraId="6242165E" w14:textId="356F8F38" w:rsidR="00903B07" w:rsidRPr="00F75F86" w:rsidRDefault="00903B07" w:rsidP="00276D87">
            <w:pPr>
              <w:rPr>
                <w:rFonts w:ascii="Sylfaen" w:hAnsi="Sylfaen" w:cs="Segoe UI Light"/>
                <w:sz w:val="22"/>
                <w:szCs w:val="22"/>
                <w:lang w:val="sq-AL"/>
              </w:rPr>
            </w:pPr>
            <w:r w:rsidRPr="00F75F86">
              <w:rPr>
                <w:rFonts w:ascii="Sylfaen" w:hAnsi="Sylfaen" w:cs="Segoe UI Light"/>
                <w:sz w:val="22"/>
                <w:szCs w:val="22"/>
                <w:lang w:val="sq-AL"/>
              </w:rPr>
              <w:t xml:space="preserve">Përshkrimi i përditësuar i Objektivit Strategjik 1: </w:t>
            </w:r>
            <w:r w:rsidRPr="00F75F86">
              <w:rPr>
                <w:rFonts w:ascii="Sylfaen" w:hAnsi="Sylfaen" w:cs="Segoe UI Light"/>
                <w:color w:val="000000"/>
                <w:sz w:val="22"/>
                <w:szCs w:val="22"/>
                <w:lang w:val="sq-AL"/>
              </w:rPr>
              <w:t>Rritja e pjesëmarrjes së shoqërisë civile në politikë-bërje</w:t>
            </w:r>
            <w:r w:rsidRPr="00F75F86">
              <w:rPr>
                <w:rFonts w:ascii="Sylfaen" w:hAnsi="Sylfaen" w:cs="Segoe UI Light"/>
                <w:sz w:val="22"/>
                <w:szCs w:val="22"/>
                <w:lang w:val="sq-AL"/>
              </w:rPr>
              <w:t>: "Për më tepër, proceset e konsultimit (online dhe offline) në nivel lokal ku vendimet ndikojnë drejtpërsëdrejti në jetën e përditshme të qytetarëve duhet të përmirësohen përmes informimit dhe ngritjes së kapaciteteve lidhur me standardet e përcaktuara në Rregullore". Masat 1.1.1, 1.1.2, 1.1.6, 1.1.7, 1.1.8, 1.2.2. të Planit të Veprimit e përfshijnë MAPL-në si institucion mbështetës në zbatimin e këtyre masave.</w:t>
            </w:r>
          </w:p>
        </w:tc>
      </w:tr>
      <w:tr w:rsidR="00903B07" w:rsidRPr="00F75F86" w14:paraId="42919CD2" w14:textId="77777777" w:rsidTr="00276D87">
        <w:trPr>
          <w:trHeight w:val="530"/>
        </w:trPr>
        <w:tc>
          <w:tcPr>
            <w:tcW w:w="1683" w:type="dxa"/>
          </w:tcPr>
          <w:p w14:paraId="2D34E7B6" w14:textId="77777777" w:rsidR="00903B07" w:rsidRPr="00F75F86" w:rsidRDefault="00903B07" w:rsidP="00276D87">
            <w:pPr>
              <w:rPr>
                <w:rFonts w:ascii="Sylfaen" w:hAnsi="Sylfaen" w:cs="Segoe UI Light"/>
                <w:sz w:val="22"/>
                <w:szCs w:val="22"/>
                <w:lang w:val="sq-AL"/>
              </w:rPr>
            </w:pPr>
          </w:p>
        </w:tc>
        <w:tc>
          <w:tcPr>
            <w:tcW w:w="2731" w:type="dxa"/>
          </w:tcPr>
          <w:p w14:paraId="61AA0BDB" w14:textId="075C16A4" w:rsidR="00903B07" w:rsidRPr="00F75F86" w:rsidRDefault="00903B07" w:rsidP="00903B07">
            <w:pPr>
              <w:rPr>
                <w:rFonts w:ascii="Sylfaen" w:hAnsi="Sylfaen" w:cs="Segoe UI Light"/>
                <w:sz w:val="22"/>
                <w:szCs w:val="22"/>
                <w:lang w:val="sq-AL"/>
              </w:rPr>
            </w:pPr>
            <w:r w:rsidRPr="00F75F86">
              <w:rPr>
                <w:rFonts w:ascii="Sylfaen" w:hAnsi="Sylfaen" w:cs="Segoe UI Light"/>
                <w:sz w:val="22"/>
                <w:szCs w:val="22"/>
                <w:lang w:val="sq-AL"/>
              </w:rPr>
              <w:t>Disa pjesëmarrës propozuan përdorimin e platformës online si mundësi e fundit që ka ndikimin më të ulët në draftin përfundimtar të Strategjisë;</w:t>
            </w:r>
          </w:p>
        </w:tc>
        <w:tc>
          <w:tcPr>
            <w:tcW w:w="3198" w:type="dxa"/>
          </w:tcPr>
          <w:p w14:paraId="5395A91F" w14:textId="52AB5C86" w:rsidR="00903B07" w:rsidRPr="00F75F86" w:rsidRDefault="00903B07"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2F85FEED" w14:textId="256F7BBE" w:rsidR="00903B07" w:rsidRPr="00F75F86" w:rsidRDefault="00903B07" w:rsidP="00276D87">
            <w:pPr>
              <w:rPr>
                <w:rFonts w:ascii="Sylfaen" w:hAnsi="Sylfaen" w:cs="Segoe UI Light"/>
                <w:sz w:val="22"/>
                <w:szCs w:val="22"/>
                <w:lang w:val="sq-AL"/>
              </w:rPr>
            </w:pPr>
            <w:r w:rsidRPr="00F75F86">
              <w:rPr>
                <w:rFonts w:ascii="Sylfaen" w:hAnsi="Sylfaen" w:cs="Segoe UI Light"/>
                <w:color w:val="000000"/>
                <w:sz w:val="22"/>
                <w:szCs w:val="22"/>
                <w:lang w:val="sq-AL"/>
              </w:rPr>
              <w:t>Përshkrimi i përditësuar i Objektivit Strategjik 1. Rritja e pjesëmarrjes së shoqërisë civile në politikë-bërje: "... si dhe përmirësimi i pjesëmarrjes në konsultime me metoda të tjera përveç konsultimeve online, të tilla si pjesëmarrja në grupe punuese, takime publike, punëtori etj</w:t>
            </w:r>
            <w:r w:rsidRPr="00F75F86">
              <w:rPr>
                <w:rFonts w:ascii="Sylfaen" w:hAnsi="Sylfaen" w:cs="Segoe UI Light"/>
                <w:sz w:val="22"/>
                <w:szCs w:val="22"/>
                <w:lang w:val="sq-AL"/>
              </w:rPr>
              <w:t>..”</w:t>
            </w:r>
          </w:p>
        </w:tc>
      </w:tr>
      <w:tr w:rsidR="00903B07" w:rsidRPr="00F75F86" w14:paraId="21B6C18B" w14:textId="77777777" w:rsidTr="00276D87">
        <w:trPr>
          <w:trHeight w:val="530"/>
        </w:trPr>
        <w:tc>
          <w:tcPr>
            <w:tcW w:w="1683" w:type="dxa"/>
          </w:tcPr>
          <w:p w14:paraId="6D22A07E" w14:textId="77777777" w:rsidR="00903B07" w:rsidRPr="00F75F86" w:rsidRDefault="00903B07" w:rsidP="00276D87">
            <w:pPr>
              <w:rPr>
                <w:rFonts w:ascii="Sylfaen" w:hAnsi="Sylfaen" w:cs="Segoe UI Light"/>
                <w:sz w:val="22"/>
                <w:szCs w:val="22"/>
                <w:lang w:val="sq-AL"/>
              </w:rPr>
            </w:pPr>
          </w:p>
        </w:tc>
        <w:tc>
          <w:tcPr>
            <w:tcW w:w="2731" w:type="dxa"/>
          </w:tcPr>
          <w:p w14:paraId="6473F935" w14:textId="58AA7FF2" w:rsidR="00903B07"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Të kontrollohet nëse draft Strategjia ka paraparë ndryshimin e kompetencave të OSHC-ve për t’u përfshirë në politikë bërje, veçanërisht në nivelin lokal;</w:t>
            </w:r>
          </w:p>
        </w:tc>
        <w:tc>
          <w:tcPr>
            <w:tcW w:w="3198" w:type="dxa"/>
          </w:tcPr>
          <w:p w14:paraId="502C54C6" w14:textId="28D3C98C" w:rsidR="00903B07"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4FBD06B2" w14:textId="1BE1EE44" w:rsidR="00903B07" w:rsidRPr="00F75F86" w:rsidRDefault="009E331A" w:rsidP="00276D87">
            <w:pPr>
              <w:rPr>
                <w:rFonts w:ascii="Sylfaen" w:hAnsi="Sylfaen" w:cs="Segoe UI Light"/>
                <w:color w:val="000000"/>
                <w:sz w:val="22"/>
                <w:szCs w:val="22"/>
                <w:lang w:val="sq-AL"/>
              </w:rPr>
            </w:pPr>
            <w:r w:rsidRPr="00F75F86">
              <w:rPr>
                <w:rFonts w:ascii="Sylfaen" w:hAnsi="Sylfaen" w:cs="Segoe UI Light"/>
                <w:sz w:val="22"/>
                <w:szCs w:val="22"/>
                <w:lang w:val="sq-AL"/>
              </w:rPr>
              <w:t>Është shpjeguar dhe trajtuar në përshkrimin e seksionit Objektivat Strategjike</w:t>
            </w:r>
            <w:r w:rsidRPr="00F75F86">
              <w:rPr>
                <w:rFonts w:ascii="Sylfaen" w:hAnsi="Sylfaen" w:cs="Segoe UI Light"/>
                <w:color w:val="000000"/>
                <w:sz w:val="22"/>
                <w:szCs w:val="22"/>
                <w:lang w:val="sq-AL"/>
              </w:rPr>
              <w:t xml:space="preserve"> 1</w:t>
            </w:r>
            <w:r w:rsidRPr="00F75F86">
              <w:rPr>
                <w:rFonts w:ascii="Sylfaen" w:hAnsi="Sylfaen" w:cs="Segoe UI Light"/>
                <w:sz w:val="22"/>
                <w:szCs w:val="22"/>
                <w:lang w:val="sq-AL"/>
              </w:rPr>
              <w:t>.: Rritja e pjesëmarrjes së shoqërisë civile në politikë-bërje.</w:t>
            </w:r>
          </w:p>
        </w:tc>
      </w:tr>
      <w:tr w:rsidR="009E331A" w:rsidRPr="00F75F86" w14:paraId="36BF04D8" w14:textId="77777777" w:rsidTr="00276D87">
        <w:trPr>
          <w:trHeight w:val="530"/>
        </w:trPr>
        <w:tc>
          <w:tcPr>
            <w:tcW w:w="1683" w:type="dxa"/>
          </w:tcPr>
          <w:p w14:paraId="5917CC0C" w14:textId="77777777" w:rsidR="009E331A" w:rsidRPr="00F75F86" w:rsidRDefault="009E331A" w:rsidP="00276D87">
            <w:pPr>
              <w:rPr>
                <w:rFonts w:ascii="Sylfaen" w:hAnsi="Sylfaen" w:cs="Segoe UI Light"/>
                <w:sz w:val="22"/>
                <w:szCs w:val="22"/>
                <w:lang w:val="sq-AL"/>
              </w:rPr>
            </w:pPr>
          </w:p>
        </w:tc>
        <w:tc>
          <w:tcPr>
            <w:tcW w:w="2731" w:type="dxa"/>
          </w:tcPr>
          <w:p w14:paraId="00FBD203" w14:textId="02A55288"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 xml:space="preserve">Përfshirja e OSHC-ve lokale për të marrë pjesë në mënyrë aktive dhe për të qenë pjesë e grupeve punuese kur iniciativa të </w:t>
            </w:r>
            <w:r w:rsidRPr="00F75F86">
              <w:rPr>
                <w:rFonts w:ascii="Sylfaen" w:hAnsi="Sylfaen" w:cs="Segoe UI Light"/>
                <w:sz w:val="22"/>
                <w:szCs w:val="22"/>
                <w:lang w:val="sq-AL"/>
              </w:rPr>
              <w:lastRenderedPageBreak/>
              <w:t>caktuara janë në formulim e sipër;</w:t>
            </w:r>
          </w:p>
        </w:tc>
        <w:tc>
          <w:tcPr>
            <w:tcW w:w="3198" w:type="dxa"/>
          </w:tcPr>
          <w:p w14:paraId="57B474E9" w14:textId="3FCC85A4" w:rsidR="009E331A"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E konfirmuar</w:t>
            </w:r>
          </w:p>
        </w:tc>
        <w:tc>
          <w:tcPr>
            <w:tcW w:w="5973" w:type="dxa"/>
          </w:tcPr>
          <w:p w14:paraId="40F5F4D9" w14:textId="0353DEAA" w:rsidR="009E331A" w:rsidRPr="00F75F86" w:rsidRDefault="009E331A" w:rsidP="00276D87">
            <w:pPr>
              <w:rPr>
                <w:rFonts w:ascii="Sylfaen" w:hAnsi="Sylfaen" w:cs="Segoe UI Light"/>
                <w:sz w:val="22"/>
                <w:szCs w:val="22"/>
                <w:lang w:val="sq-AL"/>
              </w:rPr>
            </w:pPr>
            <w:r w:rsidRPr="00F75F86">
              <w:rPr>
                <w:rFonts w:ascii="Sylfaen" w:hAnsi="Sylfaen" w:cs="Segoe UI Light"/>
                <w:sz w:val="22"/>
                <w:szCs w:val="22"/>
                <w:lang w:val="sq-AL"/>
              </w:rPr>
              <w:t>Është shpjeguar dhe trajtuar në përshkrimin e seksionit Objektivat Strategjike</w:t>
            </w:r>
            <w:r w:rsidRPr="00F75F86">
              <w:rPr>
                <w:rFonts w:ascii="Sylfaen" w:hAnsi="Sylfaen" w:cs="Segoe UI Light"/>
                <w:color w:val="000000"/>
                <w:sz w:val="22"/>
                <w:szCs w:val="22"/>
                <w:lang w:val="sq-AL"/>
              </w:rPr>
              <w:t xml:space="preserve"> 1</w:t>
            </w:r>
            <w:r w:rsidRPr="00F75F86">
              <w:rPr>
                <w:rFonts w:ascii="Sylfaen" w:hAnsi="Sylfaen" w:cs="Segoe UI Light"/>
                <w:sz w:val="22"/>
                <w:szCs w:val="22"/>
                <w:lang w:val="sq-AL"/>
              </w:rPr>
              <w:t>.: Rritja e pjesëmarrjes së shoqërisë civile në politikë-bërje.</w:t>
            </w:r>
          </w:p>
        </w:tc>
      </w:tr>
      <w:tr w:rsidR="009E331A" w:rsidRPr="00F75F86" w14:paraId="2B2A22EC" w14:textId="77777777" w:rsidTr="00276D87">
        <w:trPr>
          <w:trHeight w:val="530"/>
        </w:trPr>
        <w:tc>
          <w:tcPr>
            <w:tcW w:w="1683" w:type="dxa"/>
          </w:tcPr>
          <w:p w14:paraId="3B80DD90" w14:textId="77777777" w:rsidR="009E331A" w:rsidRPr="00F75F86" w:rsidRDefault="009E331A" w:rsidP="00276D87">
            <w:pPr>
              <w:rPr>
                <w:rFonts w:ascii="Sylfaen" w:hAnsi="Sylfaen" w:cs="Segoe UI Light"/>
                <w:sz w:val="22"/>
                <w:szCs w:val="22"/>
                <w:lang w:val="sq-AL"/>
              </w:rPr>
            </w:pPr>
          </w:p>
        </w:tc>
        <w:tc>
          <w:tcPr>
            <w:tcW w:w="2731" w:type="dxa"/>
          </w:tcPr>
          <w:p w14:paraId="59C0BB6C" w14:textId="0A8A7A93"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Duhet të merret pëlqimi i OSHC-ve kur janë në pyetje proceset vendimmarrëse;</w:t>
            </w:r>
          </w:p>
        </w:tc>
        <w:tc>
          <w:tcPr>
            <w:tcW w:w="3198" w:type="dxa"/>
          </w:tcPr>
          <w:p w14:paraId="51E2FD78" w14:textId="3B248145" w:rsidR="009E331A" w:rsidRPr="00F75F86" w:rsidRDefault="00BB746B"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refuzuar</w:t>
            </w:r>
          </w:p>
        </w:tc>
        <w:tc>
          <w:tcPr>
            <w:tcW w:w="5973" w:type="dxa"/>
          </w:tcPr>
          <w:p w14:paraId="0C22B944" w14:textId="34B7F013" w:rsidR="009E331A" w:rsidRPr="00F75F86" w:rsidRDefault="009E331A" w:rsidP="00276D87">
            <w:pPr>
              <w:rPr>
                <w:rFonts w:ascii="Sylfaen" w:hAnsi="Sylfaen" w:cs="Segoe UI Light"/>
                <w:sz w:val="22"/>
                <w:szCs w:val="22"/>
                <w:lang w:val="sq-AL"/>
              </w:rPr>
            </w:pPr>
            <w:r w:rsidRPr="00F75F86">
              <w:rPr>
                <w:rFonts w:ascii="Sylfaen" w:hAnsi="Sylfaen" w:cs="Segoe UI Light"/>
                <w:sz w:val="22"/>
                <w:szCs w:val="22"/>
                <w:lang w:val="sq-AL"/>
              </w:rPr>
              <w:t xml:space="preserve">Komenti nuk eshte relevant dhe bie ndesh me aspektin e vendimmarrjes </w:t>
            </w:r>
          </w:p>
        </w:tc>
      </w:tr>
      <w:tr w:rsidR="009E331A" w:rsidRPr="00F75F86" w14:paraId="51B56624" w14:textId="77777777" w:rsidTr="00276D87">
        <w:trPr>
          <w:trHeight w:val="530"/>
        </w:trPr>
        <w:tc>
          <w:tcPr>
            <w:tcW w:w="1683" w:type="dxa"/>
          </w:tcPr>
          <w:p w14:paraId="22032239" w14:textId="7B6335F6" w:rsidR="009E331A" w:rsidRPr="00F75F86" w:rsidRDefault="009E331A" w:rsidP="00276D87">
            <w:pPr>
              <w:rPr>
                <w:rFonts w:ascii="Sylfaen" w:hAnsi="Sylfaen" w:cs="Segoe UI Light"/>
                <w:sz w:val="22"/>
                <w:szCs w:val="22"/>
                <w:lang w:val="sq-AL"/>
              </w:rPr>
            </w:pPr>
            <w:r w:rsidRPr="00F75F86">
              <w:rPr>
                <w:rFonts w:ascii="Sylfaen" w:hAnsi="Sylfaen" w:cs="Segoe UI Light"/>
                <w:sz w:val="22"/>
                <w:szCs w:val="22"/>
                <w:lang w:val="sq-AL"/>
              </w:rPr>
              <w:t>FIQ</w:t>
            </w:r>
          </w:p>
        </w:tc>
        <w:tc>
          <w:tcPr>
            <w:tcW w:w="2731" w:type="dxa"/>
          </w:tcPr>
          <w:p w14:paraId="6D44A19F" w14:textId="371C5670"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Këshilli të bëhet më operativ dhe të përfshijë OSHC të tjera. Ata e kritikuan CiviKos-in për mospjesëmarrje në ngjarje si dhe për rolin e tyre në Këshill;</w:t>
            </w:r>
          </w:p>
        </w:tc>
        <w:tc>
          <w:tcPr>
            <w:tcW w:w="3198" w:type="dxa"/>
          </w:tcPr>
          <w:p w14:paraId="7CF94473" w14:textId="337D5E1D" w:rsidR="009E331A"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 dhe adresuar</w:t>
            </w:r>
          </w:p>
        </w:tc>
        <w:tc>
          <w:tcPr>
            <w:tcW w:w="5973" w:type="dxa"/>
          </w:tcPr>
          <w:p w14:paraId="01C3DB01" w14:textId="21D66C14" w:rsidR="009E331A" w:rsidRPr="00F75F86" w:rsidRDefault="009E331A" w:rsidP="00276D87">
            <w:pPr>
              <w:rPr>
                <w:rFonts w:ascii="Sylfaen" w:hAnsi="Sylfaen" w:cs="Segoe UI Light"/>
                <w:sz w:val="22"/>
                <w:szCs w:val="22"/>
                <w:lang w:val="sq-AL"/>
              </w:rPr>
            </w:pPr>
            <w:r w:rsidRPr="00F75F86">
              <w:rPr>
                <w:rFonts w:ascii="Sylfaen" w:hAnsi="Sylfaen" w:cs="Segoe UI Light"/>
                <w:color w:val="000000"/>
                <w:sz w:val="22"/>
                <w:szCs w:val="22"/>
                <w:lang w:val="sq-AL"/>
              </w:rPr>
              <w:t xml:space="preserve">Është përditësuar Shtojca 3 Skema e organizimit institucional, duke përfshirë informatat që procesi i përzgjedhjes së anëtarëve të këshillit dhe ekipeve punuese do të jenë transparent dhe gjithëpërfshirës për OSHC-të. </w:t>
            </w:r>
            <w:r w:rsidRPr="00F75F86">
              <w:rPr>
                <w:rFonts w:ascii="Sylfaen" w:hAnsi="Sylfaen" w:cs="Segoe UI Light"/>
                <w:sz w:val="22"/>
                <w:szCs w:val="22"/>
                <w:lang w:val="sq-AL"/>
              </w:rPr>
              <w:t>Seksioni Monitorimi dhe Vlerësimi i Zbatimit të Strategjisë është përmirësuar</w:t>
            </w:r>
          </w:p>
        </w:tc>
      </w:tr>
      <w:tr w:rsidR="009E331A" w:rsidRPr="00F75F86" w14:paraId="3A22D282" w14:textId="77777777" w:rsidTr="00CA3EBD">
        <w:trPr>
          <w:trHeight w:val="530"/>
        </w:trPr>
        <w:tc>
          <w:tcPr>
            <w:tcW w:w="1683" w:type="dxa"/>
            <w:shd w:val="clear" w:color="auto" w:fill="F2F2F2" w:themeFill="background1" w:themeFillShade="F2"/>
          </w:tcPr>
          <w:p w14:paraId="6F1F27F1" w14:textId="3ABCEC7C" w:rsidR="009E331A" w:rsidRPr="00F75F86" w:rsidRDefault="009E331A" w:rsidP="00CA3EBD">
            <w:pPr>
              <w:jc w:val="center"/>
              <w:rPr>
                <w:rFonts w:ascii="Sylfaen" w:hAnsi="Sylfaen"/>
                <w:b/>
                <w:sz w:val="22"/>
                <w:szCs w:val="22"/>
                <w:lang w:val="sq-AL"/>
              </w:rPr>
            </w:pPr>
            <w:r w:rsidRPr="00F75F86">
              <w:rPr>
                <w:rFonts w:ascii="Sylfaen" w:hAnsi="Sylfaen"/>
                <w:b/>
                <w:sz w:val="22"/>
                <w:szCs w:val="22"/>
                <w:lang w:val="sq-AL"/>
              </w:rPr>
              <w:t>GJILANI</w:t>
            </w:r>
          </w:p>
        </w:tc>
        <w:tc>
          <w:tcPr>
            <w:tcW w:w="2731" w:type="dxa"/>
            <w:shd w:val="clear" w:color="auto" w:fill="F2F2F2" w:themeFill="background1" w:themeFillShade="F2"/>
          </w:tcPr>
          <w:p w14:paraId="194C3CB1" w14:textId="77777777" w:rsidR="009E331A" w:rsidRPr="00F75F86" w:rsidRDefault="009E331A" w:rsidP="00CA3EBD">
            <w:pPr>
              <w:jc w:val="center"/>
              <w:rPr>
                <w:rFonts w:ascii="Sylfaen" w:hAnsi="Sylfaen"/>
                <w:b/>
                <w:sz w:val="22"/>
                <w:szCs w:val="22"/>
                <w:lang w:val="sq-AL"/>
              </w:rPr>
            </w:pPr>
          </w:p>
        </w:tc>
        <w:tc>
          <w:tcPr>
            <w:tcW w:w="3198" w:type="dxa"/>
            <w:shd w:val="clear" w:color="auto" w:fill="F2F2F2" w:themeFill="background1" w:themeFillShade="F2"/>
          </w:tcPr>
          <w:p w14:paraId="1CC11AC2" w14:textId="77777777" w:rsidR="009E331A" w:rsidRPr="00F75F86" w:rsidRDefault="009E331A" w:rsidP="00CA3EBD">
            <w:pPr>
              <w:pStyle w:val="Heading2"/>
              <w:spacing w:before="0" w:beforeAutospacing="0" w:after="0" w:afterAutospacing="0"/>
              <w:jc w:val="center"/>
              <w:outlineLvl w:val="1"/>
              <w:rPr>
                <w:rFonts w:ascii="Sylfaen" w:eastAsiaTheme="minorHAnsi" w:hAnsi="Sylfaen" w:cstheme="minorBidi"/>
                <w:bCs w:val="0"/>
                <w:sz w:val="22"/>
                <w:szCs w:val="22"/>
                <w:lang w:val="sq-AL"/>
              </w:rPr>
            </w:pPr>
          </w:p>
        </w:tc>
        <w:tc>
          <w:tcPr>
            <w:tcW w:w="5973" w:type="dxa"/>
            <w:shd w:val="clear" w:color="auto" w:fill="F2F2F2" w:themeFill="background1" w:themeFillShade="F2"/>
          </w:tcPr>
          <w:p w14:paraId="372C50C1" w14:textId="77777777" w:rsidR="009E331A" w:rsidRPr="00F75F86" w:rsidRDefault="009E331A" w:rsidP="00CA3EBD">
            <w:pPr>
              <w:jc w:val="center"/>
              <w:rPr>
                <w:rFonts w:ascii="Sylfaen" w:hAnsi="Sylfaen"/>
                <w:b/>
                <w:sz w:val="22"/>
                <w:szCs w:val="22"/>
                <w:lang w:val="sq-AL"/>
              </w:rPr>
            </w:pPr>
          </w:p>
        </w:tc>
      </w:tr>
      <w:tr w:rsidR="009E331A" w:rsidRPr="00F75F86" w14:paraId="0D1440E9" w14:textId="77777777" w:rsidTr="00276D87">
        <w:trPr>
          <w:trHeight w:val="530"/>
        </w:trPr>
        <w:tc>
          <w:tcPr>
            <w:tcW w:w="1683" w:type="dxa"/>
          </w:tcPr>
          <w:p w14:paraId="74D53035" w14:textId="77777777" w:rsidR="009E331A" w:rsidRPr="00F75F86" w:rsidRDefault="009E331A" w:rsidP="00276D87">
            <w:pPr>
              <w:rPr>
                <w:rFonts w:ascii="Sylfaen" w:hAnsi="Sylfaen" w:cs="Segoe UI Light"/>
                <w:sz w:val="22"/>
                <w:szCs w:val="22"/>
                <w:lang w:val="sq-AL"/>
              </w:rPr>
            </w:pPr>
          </w:p>
        </w:tc>
        <w:tc>
          <w:tcPr>
            <w:tcW w:w="2731" w:type="dxa"/>
          </w:tcPr>
          <w:p w14:paraId="31A75A1D" w14:textId="2978A9D1"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Kufiri i moshës për vullnetarizëm po e pengon angazhimin e vullnetarëve nga ana e organizatave dhe është diskriminues;</w:t>
            </w:r>
          </w:p>
        </w:tc>
        <w:tc>
          <w:tcPr>
            <w:tcW w:w="3198" w:type="dxa"/>
          </w:tcPr>
          <w:p w14:paraId="7C38E3EC" w14:textId="7A0396DA" w:rsidR="009E331A"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2D8CC953" w14:textId="1A6E0417" w:rsidR="009E331A" w:rsidRPr="00F75F86" w:rsidRDefault="009E331A" w:rsidP="00276D87">
            <w:pPr>
              <w:rPr>
                <w:rFonts w:ascii="Sylfaen" w:hAnsi="Sylfaen" w:cs="Segoe UI Light"/>
                <w:color w:val="000000"/>
                <w:sz w:val="22"/>
                <w:szCs w:val="22"/>
                <w:lang w:val="sq-AL"/>
              </w:rPr>
            </w:pPr>
            <w:r w:rsidRPr="00F75F86">
              <w:rPr>
                <w:rFonts w:ascii="Sylfaen" w:hAnsi="Sylfaen" w:cs="Segoe UI Light"/>
                <w:sz w:val="22"/>
                <w:szCs w:val="22"/>
                <w:lang w:val="sq-AL"/>
              </w:rPr>
              <w:t xml:space="preserve">Është shpjeguar dhe trajtuar në Objektivin Strategjik 4: </w:t>
            </w:r>
            <w:r w:rsidRPr="00F75F86">
              <w:rPr>
                <w:rFonts w:ascii="Sylfaen" w:hAnsi="Sylfaen" w:cs="Segoe UI Light"/>
                <w:color w:val="000000"/>
                <w:sz w:val="22"/>
                <w:szCs w:val="22"/>
                <w:lang w:val="sq-AL"/>
              </w:rPr>
              <w:t>Rritja e vullnetarizmit në programet në interes publik</w:t>
            </w:r>
            <w:r w:rsidRPr="00F75F86">
              <w:rPr>
                <w:rFonts w:ascii="Sylfaen" w:hAnsi="Sylfaen" w:cs="Segoe UI Light"/>
                <w:sz w:val="22"/>
                <w:szCs w:val="22"/>
                <w:lang w:val="sq-AL"/>
              </w:rPr>
              <w:t xml:space="preserve"> dhe në Masën 4.1.:</w:t>
            </w:r>
            <w:r w:rsidRPr="00F75F86">
              <w:rPr>
                <w:rFonts w:ascii="Sylfaen" w:hAnsi="Sylfaen"/>
                <w:sz w:val="22"/>
                <w:szCs w:val="22"/>
              </w:rPr>
              <w:t xml:space="preserve"> </w:t>
            </w:r>
            <w:r w:rsidRPr="00F75F86">
              <w:rPr>
                <w:rFonts w:ascii="Sylfaen" w:hAnsi="Sylfaen" w:cs="Segoe UI Light"/>
                <w:sz w:val="22"/>
                <w:szCs w:val="22"/>
                <w:lang w:val="sq-AL"/>
              </w:rPr>
              <w:t>Vendosja e një kornize gjithëpërfshirëse ligjore dhe institucionale për të mbështetur zhvillimin e vullnetarizmit.</w:t>
            </w:r>
          </w:p>
        </w:tc>
      </w:tr>
      <w:tr w:rsidR="009E331A" w:rsidRPr="00F75F86" w14:paraId="0997EB63" w14:textId="77777777" w:rsidTr="00276D87">
        <w:trPr>
          <w:trHeight w:val="530"/>
        </w:trPr>
        <w:tc>
          <w:tcPr>
            <w:tcW w:w="1683" w:type="dxa"/>
          </w:tcPr>
          <w:p w14:paraId="22333233" w14:textId="77777777" w:rsidR="009E331A" w:rsidRPr="00F75F86" w:rsidRDefault="009E331A" w:rsidP="00276D87">
            <w:pPr>
              <w:rPr>
                <w:rFonts w:ascii="Sylfaen" w:hAnsi="Sylfaen" w:cs="Segoe UI Light"/>
                <w:sz w:val="22"/>
                <w:szCs w:val="22"/>
                <w:lang w:val="sq-AL"/>
              </w:rPr>
            </w:pPr>
          </w:p>
        </w:tc>
        <w:tc>
          <w:tcPr>
            <w:tcW w:w="2731" w:type="dxa"/>
          </w:tcPr>
          <w:p w14:paraId="2119A5F9" w14:textId="10D8B0D4"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Vëmendje e tepruar u është kushtuar proceseve të konsultimit dhe platformës online, ndërsa ka prioritete të tjera, të tilla si vullnetarizmi;</w:t>
            </w:r>
          </w:p>
        </w:tc>
        <w:tc>
          <w:tcPr>
            <w:tcW w:w="3198" w:type="dxa"/>
          </w:tcPr>
          <w:p w14:paraId="70010AF6" w14:textId="743E5E2E" w:rsidR="009E331A"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730E6079" w14:textId="2C1BCF97" w:rsidR="009E331A" w:rsidRPr="00F75F86" w:rsidRDefault="009E331A" w:rsidP="00276D87">
            <w:pPr>
              <w:rPr>
                <w:rFonts w:ascii="Sylfaen" w:hAnsi="Sylfaen" w:cs="Segoe UI Light"/>
                <w:color w:val="000000"/>
                <w:sz w:val="22"/>
                <w:szCs w:val="22"/>
                <w:lang w:val="sq-AL"/>
              </w:rPr>
            </w:pPr>
            <w:r w:rsidRPr="00F75F86">
              <w:rPr>
                <w:rFonts w:ascii="Sylfaen" w:hAnsi="Sylfaen" w:cs="Segoe UI Light"/>
                <w:sz w:val="22"/>
                <w:szCs w:val="22"/>
                <w:lang w:val="sq-AL"/>
              </w:rPr>
              <w:t>Është shpjeguar dhe trajtuar në Masën 1.2. Ngritja e njohurive për qytetarë dhe shoqërinë civile për konsultimet publike dhe tek dhe tek OS 4.</w:t>
            </w:r>
          </w:p>
        </w:tc>
      </w:tr>
      <w:tr w:rsidR="009E331A" w:rsidRPr="00F75F86" w14:paraId="3530BC00" w14:textId="77777777" w:rsidTr="00276D87">
        <w:trPr>
          <w:trHeight w:val="530"/>
        </w:trPr>
        <w:tc>
          <w:tcPr>
            <w:tcW w:w="1683" w:type="dxa"/>
          </w:tcPr>
          <w:p w14:paraId="1221A298" w14:textId="77777777" w:rsidR="009E331A" w:rsidRPr="00F75F86" w:rsidRDefault="009E331A" w:rsidP="00276D87">
            <w:pPr>
              <w:rPr>
                <w:rFonts w:ascii="Sylfaen" w:hAnsi="Sylfaen" w:cs="Segoe UI Light"/>
                <w:sz w:val="22"/>
                <w:szCs w:val="22"/>
                <w:lang w:val="sq-AL"/>
              </w:rPr>
            </w:pPr>
          </w:p>
        </w:tc>
        <w:tc>
          <w:tcPr>
            <w:tcW w:w="2731" w:type="dxa"/>
          </w:tcPr>
          <w:p w14:paraId="2F6757FE" w14:textId="623EC69F"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Organizatat në nivelin lokal nuk e njohin platformën online të konsultimit;</w:t>
            </w:r>
          </w:p>
        </w:tc>
        <w:tc>
          <w:tcPr>
            <w:tcW w:w="3198" w:type="dxa"/>
          </w:tcPr>
          <w:p w14:paraId="2AA77CA6" w14:textId="34918840" w:rsidR="009E331A"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7665A9D1" w14:textId="7743D3FB" w:rsidR="009E331A" w:rsidRPr="00F75F86" w:rsidRDefault="009E331A" w:rsidP="00276D87">
            <w:pPr>
              <w:rPr>
                <w:rFonts w:ascii="Sylfaen" w:hAnsi="Sylfaen" w:cs="Segoe UI Light"/>
                <w:sz w:val="22"/>
                <w:szCs w:val="22"/>
                <w:lang w:val="sq-AL"/>
              </w:rPr>
            </w:pPr>
            <w:r w:rsidRPr="00F75F86">
              <w:rPr>
                <w:rFonts w:ascii="Sylfaen" w:hAnsi="Sylfaen" w:cs="Segoe UI Light"/>
                <w:sz w:val="22"/>
                <w:szCs w:val="22"/>
                <w:lang w:val="sq-AL"/>
              </w:rPr>
              <w:t>Është shpjeguar dhe trajtuar në përshkrimin e Objektivit Strategjik</w:t>
            </w:r>
            <w:r w:rsidRPr="00F75F86">
              <w:rPr>
                <w:rFonts w:ascii="Sylfaen" w:hAnsi="Sylfaen" w:cs="Segoe UI Light"/>
                <w:color w:val="000000"/>
                <w:sz w:val="22"/>
                <w:szCs w:val="22"/>
                <w:lang w:val="sq-AL"/>
              </w:rPr>
              <w:t xml:space="preserve"> 1</w:t>
            </w:r>
            <w:r w:rsidRPr="00F75F86">
              <w:rPr>
                <w:rFonts w:ascii="Sylfaen" w:hAnsi="Sylfaen" w:cs="Segoe UI Light"/>
                <w:sz w:val="22"/>
                <w:szCs w:val="22"/>
                <w:lang w:val="sq-AL"/>
              </w:rPr>
              <w:t>.: Rritja e pjesëmarrjes së shoqërisë civile në politikë-bërje.</w:t>
            </w:r>
          </w:p>
        </w:tc>
      </w:tr>
      <w:tr w:rsidR="009E331A" w:rsidRPr="00F75F86" w14:paraId="091EA245" w14:textId="77777777" w:rsidTr="00276D87">
        <w:trPr>
          <w:trHeight w:val="530"/>
        </w:trPr>
        <w:tc>
          <w:tcPr>
            <w:tcW w:w="1683" w:type="dxa"/>
          </w:tcPr>
          <w:p w14:paraId="5CCBA40B" w14:textId="77777777" w:rsidR="009E331A" w:rsidRPr="00F75F86" w:rsidRDefault="009E331A" w:rsidP="00276D87">
            <w:pPr>
              <w:rPr>
                <w:rFonts w:ascii="Sylfaen" w:hAnsi="Sylfaen" w:cs="Segoe UI Light"/>
                <w:sz w:val="22"/>
                <w:szCs w:val="22"/>
                <w:lang w:val="sq-AL"/>
              </w:rPr>
            </w:pPr>
          </w:p>
        </w:tc>
        <w:tc>
          <w:tcPr>
            <w:tcW w:w="2731" w:type="dxa"/>
          </w:tcPr>
          <w:p w14:paraId="0B6120F3" w14:textId="69C38E74"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 xml:space="preserve">Rregullorja për financim publik duhet të përfshijë </w:t>
            </w:r>
            <w:r w:rsidRPr="00F75F86">
              <w:rPr>
                <w:rFonts w:ascii="Sylfaen" w:hAnsi="Sylfaen" w:cs="Segoe UI Light"/>
                <w:sz w:val="22"/>
                <w:szCs w:val="22"/>
                <w:lang w:val="sq-AL"/>
              </w:rPr>
              <w:lastRenderedPageBreak/>
              <w:t>dispozita për procesin dhe formatet e aplikimit që janë përpjesëtimore me madhësinë e fondeve të marra, d.m.th., për fonde më të vogla, procesi i aplikimit të jetë më i lehtë;</w:t>
            </w:r>
          </w:p>
        </w:tc>
        <w:tc>
          <w:tcPr>
            <w:tcW w:w="3198" w:type="dxa"/>
          </w:tcPr>
          <w:p w14:paraId="2839D3C9" w14:textId="5448CAF6" w:rsidR="009E331A"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E konfirmuar</w:t>
            </w:r>
          </w:p>
        </w:tc>
        <w:tc>
          <w:tcPr>
            <w:tcW w:w="5973" w:type="dxa"/>
          </w:tcPr>
          <w:p w14:paraId="3389CAFB" w14:textId="77777777" w:rsidR="009E331A" w:rsidRPr="00F75F86" w:rsidRDefault="009E331A" w:rsidP="00276D87">
            <w:pPr>
              <w:rPr>
                <w:rFonts w:ascii="Sylfaen" w:hAnsi="Sylfaen" w:cs="Segoe UI Light"/>
                <w:sz w:val="22"/>
                <w:szCs w:val="22"/>
                <w:lang w:val="sq-AL"/>
              </w:rPr>
            </w:pPr>
            <w:r w:rsidRPr="00F75F86">
              <w:rPr>
                <w:rFonts w:ascii="Sylfaen" w:hAnsi="Sylfaen" w:cs="Segoe UI Light"/>
                <w:sz w:val="22"/>
                <w:szCs w:val="22"/>
                <w:lang w:val="sq-AL"/>
              </w:rPr>
              <w:t xml:space="preserve">Është shpjeguar dhe trajtuar në Objektivin specifik 2: Përmirësimi i kornizës institucionale dhe ligjore për financim </w:t>
            </w:r>
            <w:r w:rsidRPr="00F75F86">
              <w:rPr>
                <w:rFonts w:ascii="Sylfaen" w:hAnsi="Sylfaen" w:cs="Segoe UI Light"/>
                <w:sz w:val="22"/>
                <w:szCs w:val="22"/>
                <w:lang w:val="sq-AL"/>
              </w:rPr>
              <w:lastRenderedPageBreak/>
              <w:t>në zhvillimin e qëndrueshëm të programeve dhe projekteve të OShC-ve me interes publik</w:t>
            </w:r>
          </w:p>
          <w:p w14:paraId="4D7E80C3" w14:textId="483CC3E5" w:rsidR="009E331A" w:rsidRPr="00F75F86" w:rsidRDefault="009E331A" w:rsidP="00276D87">
            <w:pPr>
              <w:rPr>
                <w:rFonts w:ascii="Sylfaen" w:hAnsi="Sylfaen" w:cs="Segoe UI Light"/>
                <w:sz w:val="22"/>
                <w:szCs w:val="22"/>
                <w:lang w:val="sq-AL"/>
              </w:rPr>
            </w:pPr>
            <w:r w:rsidRPr="00F75F86">
              <w:rPr>
                <w:rFonts w:ascii="Sylfaen" w:hAnsi="Sylfaen" w:cs="Segoe UI Light"/>
                <w:color w:val="000000"/>
                <w:sz w:val="22"/>
                <w:szCs w:val="22"/>
                <w:lang w:val="sq-AL"/>
              </w:rPr>
              <w:t>Objektivi specifik 2.1. (2.1.1., 2.1.7.)</w:t>
            </w:r>
          </w:p>
        </w:tc>
      </w:tr>
      <w:tr w:rsidR="009E331A" w:rsidRPr="00F75F86" w14:paraId="4411B7A1" w14:textId="77777777" w:rsidTr="00276D87">
        <w:trPr>
          <w:trHeight w:val="530"/>
        </w:trPr>
        <w:tc>
          <w:tcPr>
            <w:tcW w:w="1683" w:type="dxa"/>
          </w:tcPr>
          <w:p w14:paraId="694A56E4" w14:textId="77777777" w:rsidR="009E331A" w:rsidRPr="00F75F86" w:rsidRDefault="009E331A" w:rsidP="00276D87">
            <w:pPr>
              <w:rPr>
                <w:rFonts w:ascii="Sylfaen" w:hAnsi="Sylfaen" w:cs="Segoe UI Light"/>
                <w:sz w:val="22"/>
                <w:szCs w:val="22"/>
                <w:lang w:val="sq-AL"/>
              </w:rPr>
            </w:pPr>
          </w:p>
        </w:tc>
        <w:tc>
          <w:tcPr>
            <w:tcW w:w="2731" w:type="dxa"/>
          </w:tcPr>
          <w:p w14:paraId="63F469BE" w14:textId="72E29B32" w:rsidR="009E331A" w:rsidRPr="00F75F86" w:rsidRDefault="009E331A" w:rsidP="00903B07">
            <w:pPr>
              <w:rPr>
                <w:rFonts w:ascii="Sylfaen" w:hAnsi="Sylfaen" w:cs="Segoe UI Light"/>
                <w:sz w:val="22"/>
                <w:szCs w:val="22"/>
                <w:lang w:val="sq-AL"/>
              </w:rPr>
            </w:pPr>
            <w:r w:rsidRPr="00F75F86">
              <w:rPr>
                <w:rFonts w:ascii="Sylfaen" w:hAnsi="Sylfaen" w:cs="Segoe UI Light"/>
                <w:sz w:val="22"/>
                <w:szCs w:val="22"/>
                <w:lang w:val="sq-AL"/>
              </w:rPr>
              <w:t>Te iu mundësohet OSHC-ve të reja dhe pa përvojë që të kenë qasje në fonde. Aktualisht, OSHC-të më të vogla dhe të reja besojnë që vetëm OSHC-të më të mëdha dhe më me përvojë kanë qasje në fonde dhe krijojnë monopole, gjë që është e vështirë të ndryshohet;</w:t>
            </w:r>
          </w:p>
        </w:tc>
        <w:tc>
          <w:tcPr>
            <w:tcW w:w="3198" w:type="dxa"/>
          </w:tcPr>
          <w:p w14:paraId="32897863" w14:textId="54C384C1" w:rsidR="009E331A" w:rsidRPr="00F75F86" w:rsidRDefault="009E331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w:t>
            </w:r>
          </w:p>
        </w:tc>
        <w:tc>
          <w:tcPr>
            <w:tcW w:w="5973" w:type="dxa"/>
          </w:tcPr>
          <w:p w14:paraId="63F82841" w14:textId="77777777" w:rsidR="009E331A" w:rsidRPr="00F75F86" w:rsidRDefault="009E331A" w:rsidP="00276D87">
            <w:pPr>
              <w:rPr>
                <w:rFonts w:ascii="Sylfaen" w:hAnsi="Sylfaen" w:cs="Segoe UI Light"/>
                <w:color w:val="000000"/>
                <w:sz w:val="22"/>
                <w:szCs w:val="22"/>
                <w:lang w:val="sq-AL"/>
              </w:rPr>
            </w:pPr>
            <w:r w:rsidRPr="00F75F86">
              <w:rPr>
                <w:rFonts w:ascii="Sylfaen" w:hAnsi="Sylfaen" w:cs="Segoe UI Light"/>
                <w:color w:val="000000"/>
                <w:sz w:val="22"/>
                <w:szCs w:val="22"/>
                <w:lang w:val="sq-AL"/>
              </w:rPr>
              <w:t>Objektivi specifik 2.1. (2.1.7.)</w:t>
            </w:r>
          </w:p>
          <w:p w14:paraId="5EDC4A0D" w14:textId="422D3D20" w:rsidR="009E331A" w:rsidRPr="00F75F86" w:rsidRDefault="009E331A" w:rsidP="00276D87">
            <w:pPr>
              <w:rPr>
                <w:rFonts w:ascii="Sylfaen" w:hAnsi="Sylfaen" w:cs="Segoe UI Light"/>
                <w:sz w:val="22"/>
                <w:szCs w:val="22"/>
                <w:lang w:val="sq-AL"/>
              </w:rPr>
            </w:pPr>
            <w:r w:rsidRPr="00F75F86">
              <w:rPr>
                <w:rFonts w:ascii="Sylfaen" w:hAnsi="Sylfaen" w:cs="Segoe UI Light"/>
                <w:sz w:val="22"/>
                <w:szCs w:val="22"/>
                <w:lang w:val="sq-AL"/>
              </w:rPr>
              <w:t>EP-ja u pajtua që janë disa sfida (p.sh., konflikti i interesit të anëtarëve të OSHC-ve në komisionet e përzgjedhjes), por që Strategjia aktuale ofron bazën për përmirësimin e kësaj. Ndryshime të mëtejme janë të mundshme nëse MF-ja vendos ta ndryshojë Rregulloren.</w:t>
            </w:r>
          </w:p>
        </w:tc>
      </w:tr>
      <w:tr w:rsidR="009E331A" w:rsidRPr="00F75F86" w14:paraId="1C1A1566" w14:textId="77777777" w:rsidTr="00276D87">
        <w:trPr>
          <w:trHeight w:val="530"/>
        </w:trPr>
        <w:tc>
          <w:tcPr>
            <w:tcW w:w="1683" w:type="dxa"/>
          </w:tcPr>
          <w:p w14:paraId="1E5C2728" w14:textId="77777777" w:rsidR="009E331A" w:rsidRPr="00F75F86" w:rsidRDefault="009E331A" w:rsidP="00276D87">
            <w:pPr>
              <w:rPr>
                <w:rFonts w:ascii="Sylfaen" w:hAnsi="Sylfaen" w:cs="Segoe UI Light"/>
                <w:sz w:val="22"/>
                <w:szCs w:val="22"/>
                <w:lang w:val="sq-AL"/>
              </w:rPr>
            </w:pPr>
          </w:p>
        </w:tc>
        <w:tc>
          <w:tcPr>
            <w:tcW w:w="2731" w:type="dxa"/>
          </w:tcPr>
          <w:p w14:paraId="5056EC11" w14:textId="19BDD4FE" w:rsidR="009E331A" w:rsidRPr="00F75F86" w:rsidRDefault="009610BA" w:rsidP="00903B07">
            <w:pPr>
              <w:rPr>
                <w:rFonts w:ascii="Sylfaen" w:hAnsi="Sylfaen" w:cs="Segoe UI Light"/>
                <w:sz w:val="22"/>
                <w:szCs w:val="22"/>
                <w:lang w:val="sq-AL"/>
              </w:rPr>
            </w:pPr>
            <w:r w:rsidRPr="00F75F86">
              <w:rPr>
                <w:rFonts w:ascii="Sylfaen" w:hAnsi="Sylfaen" w:cs="Segoe UI Light"/>
                <w:sz w:val="22"/>
                <w:szCs w:val="22"/>
                <w:lang w:val="sq-AL"/>
              </w:rPr>
              <w:t>Ministria e Inovacionit dhe ajo e Arsimit nuk janë në dijeni për rregulloren financiare dhe nuk e zbatojnë atë kur bëjnë thirrje për propozime dhe projekte nga OSHC-të;</w:t>
            </w:r>
          </w:p>
        </w:tc>
        <w:tc>
          <w:tcPr>
            <w:tcW w:w="3198" w:type="dxa"/>
          </w:tcPr>
          <w:p w14:paraId="31AB2D68" w14:textId="0D71CBD5" w:rsidR="009E331A" w:rsidRPr="00F75F86" w:rsidRDefault="009610B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74015417" w14:textId="77777777" w:rsidR="009E331A" w:rsidRPr="00F75F86" w:rsidRDefault="009610BA" w:rsidP="00276D87">
            <w:pPr>
              <w:rPr>
                <w:rFonts w:ascii="Sylfaen" w:hAnsi="Sylfaen" w:cs="Segoe UI Light"/>
                <w:color w:val="000000"/>
                <w:sz w:val="22"/>
                <w:szCs w:val="22"/>
                <w:lang w:val="sq-AL"/>
              </w:rPr>
            </w:pPr>
            <w:r w:rsidRPr="00F75F86">
              <w:rPr>
                <w:rFonts w:ascii="Sylfaen" w:hAnsi="Sylfaen" w:cs="Segoe UI Light"/>
                <w:color w:val="000000"/>
                <w:sz w:val="22"/>
                <w:szCs w:val="22"/>
                <w:lang w:val="sq-AL"/>
              </w:rPr>
              <w:t>Masa 2.1.1.</w:t>
            </w:r>
          </w:p>
          <w:p w14:paraId="0EF9B179" w14:textId="7203F2A9" w:rsidR="009610BA" w:rsidRPr="00F75F86" w:rsidRDefault="009610BA" w:rsidP="00276D87">
            <w:pPr>
              <w:rPr>
                <w:rFonts w:ascii="Sylfaen" w:hAnsi="Sylfaen" w:cs="Segoe UI Light"/>
                <w:color w:val="000000"/>
                <w:sz w:val="22"/>
                <w:szCs w:val="22"/>
                <w:lang w:val="sq-AL"/>
              </w:rPr>
            </w:pPr>
            <w:r w:rsidRPr="00F75F86">
              <w:rPr>
                <w:rFonts w:ascii="Sylfaen" w:hAnsi="Sylfaen" w:cs="Segoe UI Light"/>
                <w:sz w:val="22"/>
                <w:szCs w:val="22"/>
                <w:lang w:val="sq-AL"/>
              </w:rPr>
              <w:t>Është shpjeguar dhe trajtuar në Objektivin specifik 2.1.: Forcimi i kapaciteteve të Ministrive dhe Komunave për standardet e financimit publik të OSHC-ve dhe në veçanti me Masën 2.1.1.: Zhvillimi i programit trajnues për zbatimin e Rregullores dhe për vlerësimin e propozimeve të projekteve dhe programeve të OSHC-ve për ministritë dhe komunat</w:t>
            </w:r>
            <w:r w:rsidRPr="00F75F86">
              <w:rPr>
                <w:rFonts w:ascii="Sylfaen" w:hAnsi="Sylfaen" w:cs="Segoe UI Light"/>
                <w:bCs/>
                <w:sz w:val="22"/>
                <w:szCs w:val="22"/>
                <w:lang w:val="sq-AL"/>
              </w:rPr>
              <w:t>.</w:t>
            </w:r>
          </w:p>
        </w:tc>
      </w:tr>
      <w:tr w:rsidR="009610BA" w:rsidRPr="00F75F86" w14:paraId="4745C18A" w14:textId="77777777" w:rsidTr="00276D87">
        <w:trPr>
          <w:trHeight w:val="530"/>
        </w:trPr>
        <w:tc>
          <w:tcPr>
            <w:tcW w:w="1683" w:type="dxa"/>
          </w:tcPr>
          <w:p w14:paraId="46FFC671" w14:textId="77777777" w:rsidR="009610BA" w:rsidRPr="00F75F86" w:rsidRDefault="009610BA" w:rsidP="00276D87">
            <w:pPr>
              <w:rPr>
                <w:rFonts w:ascii="Sylfaen" w:hAnsi="Sylfaen" w:cs="Segoe UI Light"/>
                <w:sz w:val="22"/>
                <w:szCs w:val="22"/>
                <w:lang w:val="sq-AL"/>
              </w:rPr>
            </w:pPr>
          </w:p>
        </w:tc>
        <w:tc>
          <w:tcPr>
            <w:tcW w:w="2731" w:type="dxa"/>
          </w:tcPr>
          <w:p w14:paraId="5D6CC400" w14:textId="5602BFA7" w:rsidR="009610BA" w:rsidRPr="00F75F86" w:rsidRDefault="009610BA" w:rsidP="00903B07">
            <w:pPr>
              <w:rPr>
                <w:rFonts w:ascii="Sylfaen" w:hAnsi="Sylfaen" w:cs="Segoe UI Light"/>
                <w:sz w:val="22"/>
                <w:szCs w:val="22"/>
                <w:lang w:val="sq-AL"/>
              </w:rPr>
            </w:pPr>
            <w:r w:rsidRPr="00F75F86">
              <w:rPr>
                <w:rFonts w:ascii="Sylfaen" w:hAnsi="Sylfaen" w:cs="Segoe UI Light"/>
                <w:sz w:val="22"/>
                <w:szCs w:val="22"/>
                <w:lang w:val="sq-AL"/>
              </w:rPr>
              <w:t xml:space="preserve">Organizatat lokale duhet të përfshihen në procesin e monitorimit pasi të miratohet Strategjia, ose duhet të themelohet një mekanizëm për t’i </w:t>
            </w:r>
            <w:r w:rsidRPr="00F75F86">
              <w:rPr>
                <w:rFonts w:ascii="Sylfaen" w:hAnsi="Sylfaen" w:cs="Segoe UI Light"/>
                <w:sz w:val="22"/>
                <w:szCs w:val="22"/>
                <w:lang w:val="sq-AL"/>
              </w:rPr>
              <w:lastRenderedPageBreak/>
              <w:t>përfshirë ato në mënyrë aktive në këtë proces;</w:t>
            </w:r>
          </w:p>
        </w:tc>
        <w:tc>
          <w:tcPr>
            <w:tcW w:w="3198" w:type="dxa"/>
          </w:tcPr>
          <w:p w14:paraId="30A823DF" w14:textId="77777777" w:rsidR="009610BA" w:rsidRPr="00F75F86" w:rsidRDefault="009610BA" w:rsidP="00276D87">
            <w:pPr>
              <w:pStyle w:val="Heading2"/>
              <w:spacing w:before="0" w:beforeAutospacing="0" w:after="0" w:afterAutospacing="0"/>
              <w:outlineLvl w:val="1"/>
              <w:rPr>
                <w:rFonts w:ascii="Sylfaen" w:hAnsi="Sylfaen" w:cs="Segoe UI Light"/>
                <w:b w:val="0"/>
                <w:color w:val="000000"/>
                <w:sz w:val="22"/>
                <w:szCs w:val="22"/>
                <w:lang w:val="sq-AL"/>
              </w:rPr>
            </w:pPr>
          </w:p>
        </w:tc>
        <w:tc>
          <w:tcPr>
            <w:tcW w:w="5973" w:type="dxa"/>
          </w:tcPr>
          <w:p w14:paraId="2B860BAB" w14:textId="77777777" w:rsidR="009610BA" w:rsidRPr="00F75F86" w:rsidRDefault="009610BA" w:rsidP="00276D87">
            <w:pPr>
              <w:rPr>
                <w:rFonts w:ascii="Sylfaen" w:hAnsi="Sylfaen" w:cs="Segoe UI Light"/>
                <w:color w:val="000000"/>
                <w:sz w:val="22"/>
                <w:szCs w:val="22"/>
                <w:lang w:val="sq-AL"/>
              </w:rPr>
            </w:pPr>
            <w:r w:rsidRPr="00F75F86">
              <w:rPr>
                <w:rFonts w:ascii="Sylfaen" w:hAnsi="Sylfaen" w:cs="Segoe UI Light"/>
                <w:color w:val="000000"/>
                <w:sz w:val="22"/>
                <w:szCs w:val="22"/>
                <w:lang w:val="sq-AL"/>
              </w:rPr>
              <w:t>Masa 1.1.7., 1.1.8.</w:t>
            </w:r>
          </w:p>
          <w:p w14:paraId="4FB46BFF" w14:textId="77777777" w:rsidR="009610BA" w:rsidRPr="00F75F86" w:rsidRDefault="009610BA" w:rsidP="00276D87">
            <w:pPr>
              <w:rPr>
                <w:rFonts w:ascii="Sylfaen" w:hAnsi="Sylfaen" w:cs="Segoe UI Light"/>
                <w:color w:val="000000"/>
                <w:sz w:val="22"/>
                <w:szCs w:val="22"/>
                <w:lang w:val="sq-AL"/>
              </w:rPr>
            </w:pPr>
            <w:r w:rsidRPr="00F75F86">
              <w:rPr>
                <w:rFonts w:ascii="Sylfaen" w:hAnsi="Sylfaen" w:cs="Segoe UI Light"/>
                <w:sz w:val="22"/>
                <w:szCs w:val="22"/>
                <w:lang w:val="sq-AL"/>
              </w:rPr>
              <w:t xml:space="preserve">EP-ja rekomandoi që teksti të përditësohet në lidhje me </w:t>
            </w:r>
            <w:r w:rsidRPr="00F75F86">
              <w:rPr>
                <w:rFonts w:ascii="Sylfaen" w:hAnsi="Sylfaen" w:cs="Segoe UI Light"/>
                <w:color w:val="000000"/>
                <w:sz w:val="22"/>
                <w:szCs w:val="22"/>
                <w:lang w:val="sq-AL"/>
              </w:rPr>
              <w:t>Shtojcën 3 Skema e organizimit institucional, duke përfshirë informatat që procesi i përzgjedhjes së anëtarëve të këshillit dhe ekipeve punuese do të jenë transparent dhe gjithëpërfshirës për OSHC-të, duke mundësuar përfshirjen e OSHC-ve lokale në procesin e zbatimit të Strategjisë.</w:t>
            </w:r>
          </w:p>
          <w:p w14:paraId="3D74DCC2" w14:textId="579FE369" w:rsidR="009610BA" w:rsidRPr="00F75F86" w:rsidRDefault="009610BA" w:rsidP="00276D87">
            <w:pPr>
              <w:rPr>
                <w:rFonts w:ascii="Sylfaen" w:hAnsi="Sylfaen" w:cs="Segoe UI Light"/>
                <w:color w:val="000000"/>
                <w:sz w:val="22"/>
                <w:szCs w:val="22"/>
                <w:lang w:val="sq-AL"/>
              </w:rPr>
            </w:pPr>
            <w:r w:rsidRPr="00F75F86">
              <w:rPr>
                <w:rFonts w:ascii="Sylfaen" w:hAnsi="Sylfaen" w:cs="Segoe UI Light"/>
                <w:sz w:val="22"/>
                <w:szCs w:val="22"/>
                <w:lang w:val="sq-AL"/>
              </w:rPr>
              <w:lastRenderedPageBreak/>
              <w:t>Seksioni Monitorimi dhe Vlerësimi i Zbatimit të Strategjisë është përmirësuar me një paragraf (shih rekomandimin Prishtina 1).</w:t>
            </w:r>
          </w:p>
        </w:tc>
      </w:tr>
      <w:tr w:rsidR="009610BA" w:rsidRPr="00F75F86" w14:paraId="778F26D9" w14:textId="77777777" w:rsidTr="00276D87">
        <w:trPr>
          <w:trHeight w:val="530"/>
        </w:trPr>
        <w:tc>
          <w:tcPr>
            <w:tcW w:w="1683" w:type="dxa"/>
          </w:tcPr>
          <w:p w14:paraId="771C97A9" w14:textId="77777777" w:rsidR="009610BA" w:rsidRPr="00F75F86" w:rsidRDefault="009610BA" w:rsidP="00276D87">
            <w:pPr>
              <w:rPr>
                <w:rFonts w:ascii="Sylfaen" w:hAnsi="Sylfaen" w:cs="Segoe UI Light"/>
                <w:sz w:val="22"/>
                <w:szCs w:val="22"/>
                <w:lang w:val="sq-AL"/>
              </w:rPr>
            </w:pPr>
          </w:p>
        </w:tc>
        <w:tc>
          <w:tcPr>
            <w:tcW w:w="2731" w:type="dxa"/>
          </w:tcPr>
          <w:p w14:paraId="1EF33498" w14:textId="0D866ADB" w:rsidR="009610BA" w:rsidRPr="00F75F86" w:rsidRDefault="009610BA" w:rsidP="00903B07">
            <w:pPr>
              <w:rPr>
                <w:rFonts w:ascii="Sylfaen" w:hAnsi="Sylfaen" w:cs="Segoe UI Light"/>
                <w:sz w:val="22"/>
                <w:szCs w:val="22"/>
                <w:lang w:val="sq-AL"/>
              </w:rPr>
            </w:pPr>
            <w:r w:rsidRPr="00F75F86">
              <w:rPr>
                <w:rFonts w:ascii="Sylfaen" w:hAnsi="Sylfaen" w:cs="Segoe UI Light"/>
                <w:sz w:val="22"/>
                <w:szCs w:val="22"/>
                <w:lang w:val="sq-AL"/>
              </w:rPr>
              <w:t>Kapacitetet dhe vetëdijesimi i OSHC-ve gjithashtu duhet të përmirësohen në mënyrë që ato të mos aplikojnë me projektin e njëjtë në nivelin shtetëror dhe atë lokal;</w:t>
            </w:r>
          </w:p>
        </w:tc>
        <w:tc>
          <w:tcPr>
            <w:tcW w:w="3198" w:type="dxa"/>
          </w:tcPr>
          <w:p w14:paraId="73356AFB" w14:textId="15CF1C2C" w:rsidR="009610BA" w:rsidRPr="00F75F86" w:rsidRDefault="009610B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konfirmuar</w:t>
            </w:r>
          </w:p>
        </w:tc>
        <w:tc>
          <w:tcPr>
            <w:tcW w:w="5973" w:type="dxa"/>
          </w:tcPr>
          <w:p w14:paraId="63560F20" w14:textId="1C53A0B4" w:rsidR="009610BA" w:rsidRPr="00F75F86" w:rsidRDefault="009610BA" w:rsidP="009610BA">
            <w:pPr>
              <w:rPr>
                <w:rFonts w:ascii="Sylfaen" w:hAnsi="Sylfaen" w:cs="Segoe UI Light"/>
                <w:color w:val="000000"/>
                <w:sz w:val="22"/>
                <w:szCs w:val="22"/>
                <w:lang w:val="sq-AL"/>
              </w:rPr>
            </w:pPr>
            <w:r w:rsidRPr="00F75F86">
              <w:rPr>
                <w:rFonts w:ascii="Sylfaen" w:hAnsi="Sylfaen" w:cs="Segoe UI Light"/>
                <w:sz w:val="22"/>
                <w:szCs w:val="22"/>
                <w:lang w:val="sq-AL"/>
              </w:rPr>
              <w:t>Është shpjeguar dhe përfshirë në Objektivin specifik 2.1.: Forcimi i kapaciteteve të Ministrive dhe Komunave për standardet e financimit publik të OSHC-ve.</w:t>
            </w:r>
          </w:p>
        </w:tc>
      </w:tr>
      <w:tr w:rsidR="009610BA" w:rsidRPr="00F75F86" w14:paraId="7F3DD571" w14:textId="77777777" w:rsidTr="00276D87">
        <w:trPr>
          <w:trHeight w:val="530"/>
        </w:trPr>
        <w:tc>
          <w:tcPr>
            <w:tcW w:w="1683" w:type="dxa"/>
          </w:tcPr>
          <w:p w14:paraId="7DDBD9E1" w14:textId="77777777" w:rsidR="009610BA" w:rsidRPr="00F75F86" w:rsidRDefault="009610BA" w:rsidP="00276D87">
            <w:pPr>
              <w:rPr>
                <w:rFonts w:ascii="Sylfaen" w:hAnsi="Sylfaen" w:cs="Segoe UI Light"/>
                <w:sz w:val="22"/>
                <w:szCs w:val="22"/>
                <w:lang w:val="sq-AL"/>
              </w:rPr>
            </w:pPr>
          </w:p>
        </w:tc>
        <w:tc>
          <w:tcPr>
            <w:tcW w:w="2731" w:type="dxa"/>
          </w:tcPr>
          <w:p w14:paraId="76428FA3" w14:textId="2F1F2793" w:rsidR="009610BA" w:rsidRPr="00F75F86" w:rsidRDefault="009610BA" w:rsidP="00903B07">
            <w:pPr>
              <w:rPr>
                <w:rFonts w:ascii="Sylfaen" w:hAnsi="Sylfaen" w:cs="Segoe UI Light"/>
                <w:sz w:val="22"/>
                <w:szCs w:val="22"/>
                <w:lang w:val="sq-AL"/>
              </w:rPr>
            </w:pPr>
            <w:r w:rsidRPr="00F75F86">
              <w:rPr>
                <w:rFonts w:ascii="Sylfaen" w:hAnsi="Sylfaen" w:cs="Segoe UI Light"/>
                <w:sz w:val="22"/>
                <w:szCs w:val="22"/>
                <w:lang w:val="sq-AL"/>
              </w:rPr>
              <w:t>Çështja e marrjes së licencave të lëshuara nga ministria (fusha e zhvillimit rural), të sigurohet përkrahja e ministrisë për shërbimet tona;</w:t>
            </w:r>
          </w:p>
        </w:tc>
        <w:tc>
          <w:tcPr>
            <w:tcW w:w="3198" w:type="dxa"/>
          </w:tcPr>
          <w:p w14:paraId="728D46A4" w14:textId="1C40BCE0" w:rsidR="009610BA" w:rsidRPr="00F75F86" w:rsidRDefault="009610B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w:t>
            </w:r>
          </w:p>
        </w:tc>
        <w:tc>
          <w:tcPr>
            <w:tcW w:w="5973" w:type="dxa"/>
          </w:tcPr>
          <w:p w14:paraId="30DBE71B" w14:textId="0E75BB78" w:rsidR="009610BA" w:rsidRPr="00F75F86" w:rsidRDefault="009610BA" w:rsidP="009610BA">
            <w:pPr>
              <w:rPr>
                <w:rFonts w:ascii="Sylfaen" w:hAnsi="Sylfaen" w:cs="Segoe UI Light"/>
                <w:sz w:val="22"/>
                <w:szCs w:val="22"/>
                <w:lang w:val="sq-AL"/>
              </w:rPr>
            </w:pPr>
            <w:r w:rsidRPr="00F75F86">
              <w:rPr>
                <w:rFonts w:ascii="Sylfaen" w:hAnsi="Sylfaen" w:cs="Segoe UI Light"/>
                <w:sz w:val="22"/>
                <w:szCs w:val="22"/>
                <w:lang w:val="sq-AL"/>
              </w:rPr>
              <w:t xml:space="preserve">Teksti i përmirësuar: “Qeveria duhet të zhvillojë dhe miratojë standarde dhe procedura për ofrimin e shërbimeve publike nga ana e OSHC-ve, duke përfshirë mbulimin e licencimit.” </w:t>
            </w:r>
            <w:r w:rsidRPr="00F75F86">
              <w:rPr>
                <w:rFonts w:ascii="Sylfaen" w:hAnsi="Sylfaen" w:cs="Segoe UI Light"/>
                <w:color w:val="000000"/>
                <w:sz w:val="22"/>
                <w:szCs w:val="22"/>
                <w:lang w:val="sq-AL"/>
              </w:rPr>
              <w:t>Objektivi specifik 3.2.</w:t>
            </w:r>
          </w:p>
        </w:tc>
      </w:tr>
      <w:tr w:rsidR="009610BA" w:rsidRPr="00F75F86" w14:paraId="200AE6DD" w14:textId="77777777" w:rsidTr="00812195">
        <w:trPr>
          <w:trHeight w:val="530"/>
        </w:trPr>
        <w:tc>
          <w:tcPr>
            <w:tcW w:w="13585" w:type="dxa"/>
            <w:gridSpan w:val="4"/>
            <w:shd w:val="clear" w:color="auto" w:fill="F2F2F2" w:themeFill="background1" w:themeFillShade="F2"/>
          </w:tcPr>
          <w:p w14:paraId="0AC0C324" w14:textId="55AAD598" w:rsidR="009610BA" w:rsidRPr="00F75F86" w:rsidRDefault="009610BA" w:rsidP="009610BA">
            <w:pPr>
              <w:pStyle w:val="Heading2"/>
              <w:spacing w:after="0"/>
              <w:outlineLvl w:val="1"/>
              <w:rPr>
                <w:rFonts w:ascii="Sylfaen" w:hAnsi="Sylfaen" w:cs="Segoe UI Light"/>
                <w:sz w:val="22"/>
                <w:szCs w:val="22"/>
                <w:lang w:val="sq-AL"/>
              </w:rPr>
            </w:pPr>
            <w:r w:rsidRPr="00F75F86">
              <w:rPr>
                <w:rFonts w:ascii="Sylfaen" w:hAnsi="Sylfaen" w:cs="Segoe UI Light"/>
                <w:sz w:val="22"/>
                <w:szCs w:val="22"/>
                <w:lang w:val="sq-AL"/>
              </w:rPr>
              <w:t xml:space="preserve">Komentet online/përmes email-it </w:t>
            </w:r>
          </w:p>
        </w:tc>
      </w:tr>
      <w:tr w:rsidR="009610BA" w:rsidRPr="00F75F86" w14:paraId="40348067" w14:textId="77777777" w:rsidTr="00276D87">
        <w:trPr>
          <w:trHeight w:val="530"/>
        </w:trPr>
        <w:tc>
          <w:tcPr>
            <w:tcW w:w="1683" w:type="dxa"/>
          </w:tcPr>
          <w:p w14:paraId="5198D4A4" w14:textId="359B25F2" w:rsidR="009610BA" w:rsidRPr="00F75F86" w:rsidRDefault="009610BA" w:rsidP="00276D87">
            <w:pPr>
              <w:rPr>
                <w:rFonts w:ascii="Sylfaen" w:hAnsi="Sylfaen" w:cs="Segoe UI Light"/>
                <w:sz w:val="22"/>
                <w:szCs w:val="22"/>
                <w:lang w:val="sq-AL"/>
              </w:rPr>
            </w:pPr>
            <w:r w:rsidRPr="00F75F86">
              <w:rPr>
                <w:rFonts w:ascii="Sylfaen" w:hAnsi="Sylfaen" w:cs="Segoe UI Light"/>
                <w:sz w:val="22"/>
                <w:szCs w:val="22"/>
                <w:lang w:val="sq-AL"/>
              </w:rPr>
              <w:t>FIQ</w:t>
            </w:r>
          </w:p>
        </w:tc>
        <w:tc>
          <w:tcPr>
            <w:tcW w:w="2731" w:type="dxa"/>
          </w:tcPr>
          <w:p w14:paraId="6F2267C0" w14:textId="0AE18DF5" w:rsidR="009610BA" w:rsidRPr="00F75F86" w:rsidRDefault="009610BA" w:rsidP="00903B07">
            <w:pPr>
              <w:rPr>
                <w:rFonts w:ascii="Sylfaen" w:hAnsi="Sylfaen" w:cs="Segoe UI Light"/>
                <w:sz w:val="22"/>
                <w:szCs w:val="22"/>
                <w:lang w:val="sq-AL"/>
              </w:rPr>
            </w:pPr>
            <w:r w:rsidRPr="00F75F86">
              <w:rPr>
                <w:rFonts w:ascii="Sylfaen" w:hAnsi="Sylfaen" w:cs="Segoe UI Light"/>
                <w:bCs/>
                <w:color w:val="222222"/>
                <w:sz w:val="22"/>
                <w:szCs w:val="22"/>
                <w:u w:val="single"/>
                <w:lang w:val="sq-AL"/>
              </w:rPr>
              <w:t>Hartimi i dhe zhvillimi i Projektligjit për Filantropinë</w:t>
            </w:r>
            <w:r w:rsidRPr="00F75F86">
              <w:rPr>
                <w:rFonts w:ascii="Sylfaen" w:hAnsi="Sylfaen" w:cs="Segoe UI Light"/>
                <w:color w:val="222222"/>
                <w:sz w:val="22"/>
                <w:szCs w:val="22"/>
                <w:lang w:val="sq-AL"/>
              </w:rPr>
              <w:t xml:space="preserve"> </w:t>
            </w:r>
          </w:p>
        </w:tc>
        <w:tc>
          <w:tcPr>
            <w:tcW w:w="3198" w:type="dxa"/>
          </w:tcPr>
          <w:p w14:paraId="15F3183B" w14:textId="3AFDAFDA" w:rsidR="009610BA" w:rsidRPr="00F75F86" w:rsidRDefault="009610B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w:t>
            </w:r>
          </w:p>
        </w:tc>
        <w:tc>
          <w:tcPr>
            <w:tcW w:w="5973" w:type="dxa"/>
          </w:tcPr>
          <w:p w14:paraId="29F53D11" w14:textId="5435AA48" w:rsidR="009610BA" w:rsidRPr="00F75F86" w:rsidRDefault="009610BA" w:rsidP="009610BA">
            <w:pPr>
              <w:rPr>
                <w:rFonts w:ascii="Sylfaen" w:hAnsi="Sylfaen" w:cs="Segoe UI Light"/>
                <w:sz w:val="22"/>
                <w:szCs w:val="22"/>
                <w:lang w:val="sq-AL"/>
              </w:rPr>
            </w:pPr>
            <w:r w:rsidRPr="00F75F86">
              <w:rPr>
                <w:rFonts w:ascii="Sylfaen" w:hAnsi="Sylfaen" w:cs="Segoe UI Light"/>
                <w:sz w:val="22"/>
                <w:szCs w:val="22"/>
                <w:lang w:val="sq-AL"/>
              </w:rPr>
              <w:t xml:space="preserve">Është shpjeguar dhe trajtuar në Objektivin specifik 2.2.: </w:t>
            </w:r>
            <w:r w:rsidRPr="00F75F86">
              <w:rPr>
                <w:rFonts w:ascii="Sylfaen" w:hAnsi="Sylfaen" w:cs="Segoe UI Light"/>
                <w:color w:val="000000"/>
                <w:sz w:val="22"/>
                <w:szCs w:val="22"/>
                <w:lang w:val="sq-AL"/>
              </w:rPr>
              <w:t>Përmirësimi i kornizës ligjore dhe institucionale për zhvillimin e filantropisë individuale dhe të korporatave</w:t>
            </w:r>
            <w:r w:rsidRPr="00F75F86">
              <w:rPr>
                <w:rFonts w:ascii="Sylfaen" w:hAnsi="Sylfaen" w:cs="Segoe UI Light"/>
                <w:sz w:val="22"/>
                <w:szCs w:val="22"/>
                <w:lang w:val="sq-AL"/>
              </w:rPr>
              <w:t xml:space="preserve"> si dhe është shënjestruar me Masën 2.2.1.: </w:t>
            </w:r>
            <w:r w:rsidRPr="00F75F86">
              <w:rPr>
                <w:rFonts w:ascii="Sylfaen" w:hAnsi="Sylfaen" w:cs="Segoe UI Light"/>
                <w:bCs/>
                <w:sz w:val="22"/>
                <w:szCs w:val="22"/>
                <w:lang w:val="sq-AL"/>
              </w:rPr>
              <w:t>Të rishikohet korniza ligjore e përkufizimit dhe rregullimit të filantropisë.</w:t>
            </w:r>
          </w:p>
        </w:tc>
      </w:tr>
      <w:tr w:rsidR="009610BA" w:rsidRPr="00F75F86" w14:paraId="2707ACB3" w14:textId="77777777" w:rsidTr="00276D87">
        <w:trPr>
          <w:trHeight w:val="530"/>
        </w:trPr>
        <w:tc>
          <w:tcPr>
            <w:tcW w:w="1683" w:type="dxa"/>
          </w:tcPr>
          <w:p w14:paraId="340BE6C8" w14:textId="3C722A64" w:rsidR="009610BA" w:rsidRPr="00F75F86" w:rsidRDefault="009610BA" w:rsidP="00276D87">
            <w:pPr>
              <w:rPr>
                <w:rFonts w:ascii="Sylfaen" w:hAnsi="Sylfaen" w:cs="Segoe UI Light"/>
                <w:sz w:val="22"/>
                <w:szCs w:val="22"/>
                <w:lang w:val="sq-AL"/>
              </w:rPr>
            </w:pPr>
            <w:r w:rsidRPr="00F75F86">
              <w:rPr>
                <w:rFonts w:ascii="Sylfaen" w:hAnsi="Sylfaen" w:cs="Segoe UI Light"/>
                <w:sz w:val="22"/>
                <w:szCs w:val="22"/>
                <w:lang w:val="sq-AL"/>
              </w:rPr>
              <w:t>FIQ</w:t>
            </w:r>
          </w:p>
        </w:tc>
        <w:tc>
          <w:tcPr>
            <w:tcW w:w="2731" w:type="dxa"/>
          </w:tcPr>
          <w:p w14:paraId="10B1DD46" w14:textId="77777777" w:rsidR="009610BA" w:rsidRPr="00F75F86" w:rsidRDefault="009610BA" w:rsidP="009610BA">
            <w:pPr>
              <w:pStyle w:val="ListParagraph"/>
              <w:tabs>
                <w:tab w:val="left" w:pos="171"/>
              </w:tabs>
              <w:ind w:left="0"/>
              <w:jc w:val="both"/>
              <w:rPr>
                <w:rFonts w:ascii="Sylfaen" w:hAnsi="Sylfaen" w:cs="Segoe UI Light"/>
                <w:bCs/>
                <w:color w:val="222222"/>
                <w:sz w:val="22"/>
                <w:szCs w:val="22"/>
                <w:u w:val="single"/>
                <w:lang w:val="sq-AL"/>
              </w:rPr>
            </w:pPr>
            <w:r w:rsidRPr="00F75F86">
              <w:rPr>
                <w:rFonts w:ascii="Sylfaen" w:hAnsi="Sylfaen" w:cs="Segoe UI Light"/>
                <w:bCs/>
                <w:color w:val="222222"/>
                <w:sz w:val="22"/>
                <w:szCs w:val="22"/>
                <w:u w:val="single"/>
                <w:lang w:val="sq-AL"/>
              </w:rPr>
              <w:t>Propozimi i politikës për rregullimin e fondeve të dhuruara</w:t>
            </w:r>
          </w:p>
          <w:p w14:paraId="47A14B4A" w14:textId="6D896B33" w:rsidR="009610BA" w:rsidRPr="00F75F86" w:rsidRDefault="00BA5791" w:rsidP="009610BA">
            <w:pPr>
              <w:rPr>
                <w:rFonts w:ascii="Sylfaen" w:hAnsi="Sylfaen" w:cs="Segoe UI Light"/>
                <w:bCs/>
                <w:color w:val="222222"/>
                <w:sz w:val="22"/>
                <w:szCs w:val="22"/>
                <w:u w:val="single"/>
                <w:lang w:val="sq-AL"/>
              </w:rPr>
            </w:pPr>
            <w:r w:rsidRPr="00F75F86">
              <w:rPr>
                <w:rFonts w:ascii="Sylfaen" w:hAnsi="Sylfaen" w:cs="Segoe UI Light"/>
                <w:color w:val="222222"/>
                <w:sz w:val="22"/>
                <w:szCs w:val="22"/>
                <w:lang w:val="sq-AL"/>
              </w:rPr>
              <w:t xml:space="preserve">Qëllimi është që të mundësohet qëndrueshmëria e OSHC-ve përmes themelimit të </w:t>
            </w:r>
            <w:r w:rsidRPr="00F75F86">
              <w:rPr>
                <w:rFonts w:ascii="Sylfaen" w:hAnsi="Sylfaen" w:cs="Segoe UI Light"/>
                <w:color w:val="222222"/>
                <w:sz w:val="22"/>
                <w:szCs w:val="22"/>
                <w:lang w:val="sq-AL"/>
              </w:rPr>
              <w:lastRenderedPageBreak/>
              <w:t>fondeve të dhuruara si mënyrë për sigurimin e vetëmjaftueshmërisë dhe për t’i ndihmuar t’u shërbejnë më mirë njësive të tyre;</w:t>
            </w:r>
          </w:p>
        </w:tc>
        <w:tc>
          <w:tcPr>
            <w:tcW w:w="3198" w:type="dxa"/>
          </w:tcPr>
          <w:p w14:paraId="11D23E69" w14:textId="43B7DB0A" w:rsidR="009610BA" w:rsidRPr="00F75F86" w:rsidRDefault="009610BA"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lastRenderedPageBreak/>
              <w:t xml:space="preserve">E </w:t>
            </w:r>
            <w:r w:rsidR="00BA5791" w:rsidRPr="00F75F86">
              <w:rPr>
                <w:rFonts w:ascii="Sylfaen" w:hAnsi="Sylfaen" w:cs="Segoe UI Light"/>
                <w:b w:val="0"/>
                <w:color w:val="000000"/>
                <w:sz w:val="22"/>
                <w:szCs w:val="22"/>
                <w:lang w:val="sq-AL"/>
              </w:rPr>
              <w:t>pranuar dhe konfirmuar</w:t>
            </w:r>
          </w:p>
        </w:tc>
        <w:tc>
          <w:tcPr>
            <w:tcW w:w="5973" w:type="dxa"/>
          </w:tcPr>
          <w:p w14:paraId="45A11A45" w14:textId="77777777" w:rsidR="009610BA" w:rsidRPr="00F75F86" w:rsidRDefault="00BA5791" w:rsidP="009610BA">
            <w:pPr>
              <w:rPr>
                <w:rFonts w:ascii="Sylfaen" w:hAnsi="Sylfaen" w:cs="Segoe UI Light"/>
                <w:sz w:val="22"/>
                <w:szCs w:val="22"/>
                <w:lang w:val="sq-AL"/>
              </w:rPr>
            </w:pPr>
            <w:r w:rsidRPr="00F75F86">
              <w:rPr>
                <w:rFonts w:ascii="Sylfaen" w:hAnsi="Sylfaen" w:cs="Segoe UI Light"/>
                <w:sz w:val="22"/>
                <w:szCs w:val="22"/>
                <w:lang w:val="sq-AL"/>
              </w:rPr>
              <w:t xml:space="preserve">Është shpjeguar dhe trajtuar në Objektivin specifik 2.2.: </w:t>
            </w:r>
            <w:r w:rsidRPr="00F75F86">
              <w:rPr>
                <w:rFonts w:ascii="Sylfaen" w:hAnsi="Sylfaen" w:cs="Segoe UI Light"/>
                <w:color w:val="000000"/>
                <w:sz w:val="22"/>
                <w:szCs w:val="22"/>
                <w:lang w:val="sq-AL"/>
              </w:rPr>
              <w:t>Përmirësimi i kornizës ligjore dhe institucionale për zhvillimin e filantropisë individuale dhe të korporatave</w:t>
            </w:r>
            <w:r w:rsidRPr="00F75F86">
              <w:rPr>
                <w:rFonts w:ascii="Sylfaen" w:hAnsi="Sylfaen" w:cs="Segoe UI Light"/>
                <w:sz w:val="22"/>
                <w:szCs w:val="22"/>
                <w:lang w:val="sq-AL"/>
              </w:rPr>
              <w:t xml:space="preserve"> si dhe është shënjestruar me Masën 2.2.1.:</w:t>
            </w:r>
          </w:p>
          <w:p w14:paraId="49B10488" w14:textId="2AE7CA81" w:rsidR="00BA5791" w:rsidRPr="00F75F86" w:rsidRDefault="00BA5791" w:rsidP="009610BA">
            <w:pPr>
              <w:rPr>
                <w:rFonts w:ascii="Sylfaen" w:hAnsi="Sylfaen" w:cs="Segoe UI Light"/>
                <w:sz w:val="22"/>
                <w:szCs w:val="22"/>
                <w:lang w:val="sq-AL"/>
              </w:rPr>
            </w:pPr>
            <w:r w:rsidRPr="00F75F86">
              <w:rPr>
                <w:rFonts w:ascii="Sylfaen" w:hAnsi="Sylfaen" w:cs="Segoe UI Light"/>
                <w:sz w:val="22"/>
                <w:szCs w:val="22"/>
                <w:lang w:val="sq-AL"/>
              </w:rPr>
              <w:t xml:space="preserve">Teksti i përmirësuar në seksionin e Objektivave strategjike, Objektivi strategjik 2: Përmirësimi i kornizës institucionale dhe ligjore për financim në zhvillimin e qëndrueshëm të </w:t>
            </w:r>
            <w:r w:rsidRPr="00F75F86">
              <w:rPr>
                <w:rFonts w:ascii="Sylfaen" w:hAnsi="Sylfaen" w:cs="Segoe UI Light"/>
                <w:sz w:val="22"/>
                <w:szCs w:val="22"/>
                <w:lang w:val="sq-AL"/>
              </w:rPr>
              <w:lastRenderedPageBreak/>
              <w:t>programeve dhe projekteve të OShC-ve me interes publik si në vijim: Për këtë do të nevojitet krijimi i një kornize ligjore gjithëpërfshirëse që do të krijonte një mjedis më të favorshëm për OSHC-të e angazhuara në filantropi (duke përfshirë edhe krijimin e fondeve të dhuruara, harmonizimin e statusit të përftimit publik në legjislacionin përkatës) dhe Masën 2.2.1.: Të rishikohet korniza ligjore e përkufizimit dhe rregullimit të filantropisë (duke përfshirë fondet e dhuruara, harmonizimin e fushave të OPB-ve).</w:t>
            </w:r>
          </w:p>
        </w:tc>
      </w:tr>
      <w:tr w:rsidR="00BA5791" w:rsidRPr="00F75F86" w14:paraId="6A753B0C" w14:textId="77777777" w:rsidTr="00276D87">
        <w:trPr>
          <w:trHeight w:val="530"/>
        </w:trPr>
        <w:tc>
          <w:tcPr>
            <w:tcW w:w="1683" w:type="dxa"/>
          </w:tcPr>
          <w:p w14:paraId="527CDB22" w14:textId="3D7CB1BC" w:rsidR="00BA5791" w:rsidRPr="00F75F86" w:rsidRDefault="00BA5791" w:rsidP="00276D87">
            <w:pPr>
              <w:rPr>
                <w:rFonts w:ascii="Sylfaen" w:hAnsi="Sylfaen" w:cs="Segoe UI Light"/>
                <w:sz w:val="22"/>
                <w:szCs w:val="22"/>
                <w:lang w:val="sq-AL"/>
              </w:rPr>
            </w:pPr>
            <w:r w:rsidRPr="00F75F86">
              <w:rPr>
                <w:rFonts w:ascii="Sylfaen" w:hAnsi="Sylfaen" w:cs="Segoe UI Light"/>
                <w:sz w:val="22"/>
                <w:szCs w:val="22"/>
                <w:lang w:val="sq-AL"/>
              </w:rPr>
              <w:lastRenderedPageBreak/>
              <w:t>FIQ</w:t>
            </w:r>
          </w:p>
        </w:tc>
        <w:tc>
          <w:tcPr>
            <w:tcW w:w="2731" w:type="dxa"/>
          </w:tcPr>
          <w:p w14:paraId="2E673AE4" w14:textId="2F44664B" w:rsidR="00BA5791" w:rsidRPr="00F75F86" w:rsidRDefault="00BA5791" w:rsidP="00BA5791">
            <w:pPr>
              <w:shd w:val="clear" w:color="auto" w:fill="FFFFFF"/>
              <w:tabs>
                <w:tab w:val="left" w:pos="171"/>
              </w:tabs>
              <w:jc w:val="both"/>
              <w:rPr>
                <w:rFonts w:ascii="Sylfaen" w:hAnsi="Sylfaen" w:cs="Segoe UI Light"/>
                <w:bCs/>
                <w:color w:val="222222"/>
                <w:sz w:val="22"/>
                <w:szCs w:val="22"/>
                <w:lang w:val="sq-AL"/>
              </w:rPr>
            </w:pPr>
            <w:r w:rsidRPr="00F75F86">
              <w:rPr>
                <w:rFonts w:ascii="Sylfaen" w:hAnsi="Sylfaen" w:cs="Segoe UI Light"/>
                <w:bCs/>
                <w:color w:val="222222"/>
                <w:sz w:val="22"/>
                <w:szCs w:val="22"/>
                <w:lang w:val="sq-AL"/>
              </w:rPr>
              <w:t>Harmonizimi i fushave të përfitimit publik ndërmjet ligjeve tatimore dhe ligjit për lirinë e asociimit.</w:t>
            </w:r>
          </w:p>
          <w:p w14:paraId="6E1526E2" w14:textId="3C818B90" w:rsidR="00BA5791" w:rsidRPr="00F75F86" w:rsidRDefault="00BA5791" w:rsidP="00BA5791">
            <w:pPr>
              <w:shd w:val="clear" w:color="auto" w:fill="FFFFFF"/>
              <w:tabs>
                <w:tab w:val="left" w:pos="171"/>
              </w:tabs>
              <w:jc w:val="both"/>
              <w:rPr>
                <w:rFonts w:ascii="Sylfaen" w:hAnsi="Sylfaen" w:cs="Segoe UI Light"/>
                <w:bCs/>
                <w:color w:val="222222"/>
                <w:sz w:val="22"/>
                <w:szCs w:val="22"/>
                <w:lang w:val="sq-AL"/>
              </w:rPr>
            </w:pPr>
            <w:r w:rsidRPr="00F75F86">
              <w:rPr>
                <w:rFonts w:ascii="Sylfaen" w:hAnsi="Sylfaen" w:cs="Segoe UI Light"/>
                <w:color w:val="222222"/>
                <w:sz w:val="22"/>
                <w:szCs w:val="22"/>
                <w:lang w:val="sq-AL"/>
              </w:rPr>
              <w:t>Megjithëse fushat dukej se ishin harmonizuar në praktikë, ende ka mospërputhje mes Ligjit për Lirinë e Asociimit dhe ligjeve tatimore (p.sh., Ligji për Tatimin në të Ardhurat e Korporatave dhe Ligji për Tatimin në të Ardhurat Personale). Duhet të bëhet harmonizimi zyrtar i të gjitha fushave të përfitimit publik, në mënyrë që në të gjitha dokumentet legjislative të ketë një listë gjithëpërfshirëse të njëjtë të fushave të përfitimit publik</w:t>
            </w:r>
          </w:p>
          <w:p w14:paraId="1AEF9965" w14:textId="77777777" w:rsidR="00BA5791" w:rsidRPr="00F75F86" w:rsidRDefault="00BA5791" w:rsidP="009610BA">
            <w:pPr>
              <w:pStyle w:val="ListParagraph"/>
              <w:tabs>
                <w:tab w:val="left" w:pos="171"/>
              </w:tabs>
              <w:ind w:left="0"/>
              <w:jc w:val="both"/>
              <w:rPr>
                <w:rFonts w:ascii="Sylfaen" w:hAnsi="Sylfaen" w:cs="Segoe UI Light"/>
                <w:bCs/>
                <w:color w:val="222222"/>
                <w:sz w:val="22"/>
                <w:szCs w:val="22"/>
                <w:u w:val="single"/>
                <w:lang w:val="sq-AL"/>
              </w:rPr>
            </w:pPr>
          </w:p>
        </w:tc>
        <w:tc>
          <w:tcPr>
            <w:tcW w:w="3198" w:type="dxa"/>
          </w:tcPr>
          <w:p w14:paraId="74DC7CB3" w14:textId="1FBF60F6" w:rsidR="00BA5791" w:rsidRPr="00F75F86" w:rsidRDefault="00BA5791" w:rsidP="00276D87">
            <w:pPr>
              <w:pStyle w:val="Heading2"/>
              <w:spacing w:before="0" w:beforeAutospacing="0" w:after="0" w:afterAutospacing="0"/>
              <w:outlineLvl w:val="1"/>
              <w:rPr>
                <w:rFonts w:ascii="Sylfaen" w:hAnsi="Sylfaen" w:cs="Segoe UI Light"/>
                <w:b w:val="0"/>
                <w:color w:val="000000"/>
                <w:sz w:val="22"/>
                <w:szCs w:val="22"/>
                <w:lang w:val="sq-AL"/>
              </w:rPr>
            </w:pPr>
            <w:r w:rsidRPr="00F75F86">
              <w:rPr>
                <w:rFonts w:ascii="Sylfaen" w:hAnsi="Sylfaen" w:cs="Segoe UI Light"/>
                <w:b w:val="0"/>
                <w:color w:val="000000"/>
                <w:sz w:val="22"/>
                <w:szCs w:val="22"/>
                <w:lang w:val="sq-AL"/>
              </w:rPr>
              <w:t>E pranuar</w:t>
            </w:r>
          </w:p>
        </w:tc>
        <w:tc>
          <w:tcPr>
            <w:tcW w:w="5973" w:type="dxa"/>
          </w:tcPr>
          <w:p w14:paraId="49A8C408" w14:textId="1362BE2E" w:rsidR="00BA5791" w:rsidRPr="00F75F86" w:rsidRDefault="00BA5791" w:rsidP="009610BA">
            <w:pPr>
              <w:rPr>
                <w:rFonts w:ascii="Sylfaen" w:hAnsi="Sylfaen" w:cs="Segoe UI Light"/>
                <w:sz w:val="22"/>
                <w:szCs w:val="22"/>
                <w:lang w:val="sq-AL"/>
              </w:rPr>
            </w:pPr>
            <w:r w:rsidRPr="00F75F86">
              <w:rPr>
                <w:rFonts w:ascii="Sylfaen" w:hAnsi="Sylfaen" w:cs="Segoe UI Light"/>
                <w:sz w:val="22"/>
                <w:szCs w:val="22"/>
                <w:lang w:val="sq-AL"/>
              </w:rPr>
              <w:t xml:space="preserve">Është shpjeguar dhe trajtuar në Objektivin specifik 2.2.: </w:t>
            </w:r>
            <w:r w:rsidRPr="00F75F86">
              <w:rPr>
                <w:rFonts w:ascii="Sylfaen" w:hAnsi="Sylfaen" w:cs="Segoe UI Light"/>
                <w:color w:val="000000"/>
                <w:sz w:val="22"/>
                <w:szCs w:val="22"/>
                <w:lang w:val="sq-AL"/>
              </w:rPr>
              <w:t>Përmirësimi i kornizës ligjore dhe institucionale për zhvillimin e filantropisë individuale dhe të korporatave</w:t>
            </w:r>
            <w:r w:rsidRPr="00F75F86">
              <w:rPr>
                <w:rFonts w:ascii="Sylfaen" w:hAnsi="Sylfaen" w:cs="Segoe UI Light"/>
                <w:sz w:val="22"/>
                <w:szCs w:val="22"/>
                <w:lang w:val="sq-AL"/>
              </w:rPr>
              <w:t xml:space="preserve"> si dhe është shënjestruar me Masën 2.2.1.: </w:t>
            </w:r>
            <w:r w:rsidRPr="00F75F86">
              <w:rPr>
                <w:rFonts w:ascii="Sylfaen" w:hAnsi="Sylfaen" w:cs="Segoe UI Light"/>
                <w:bCs/>
                <w:sz w:val="22"/>
                <w:szCs w:val="22"/>
                <w:lang w:val="sq-AL"/>
              </w:rPr>
              <w:t>Të rishikohet korniza ligjore e përkufizimit dhe rregullimit të filantropisë.</w:t>
            </w:r>
          </w:p>
        </w:tc>
      </w:tr>
    </w:tbl>
    <w:p w14:paraId="22A4E3DE" w14:textId="77777777" w:rsidR="00E74252" w:rsidRPr="00F75F86" w:rsidRDefault="00E74252" w:rsidP="00E74252">
      <w:pPr>
        <w:rPr>
          <w:rFonts w:ascii="Sylfaen" w:hAnsi="Sylfaen"/>
          <w:lang w:val="sq-AL"/>
        </w:rPr>
      </w:pPr>
    </w:p>
    <w:p w14:paraId="2AC68DD9" w14:textId="77777777" w:rsidR="00E74252" w:rsidRPr="00F75F86" w:rsidRDefault="00E74252" w:rsidP="00600440">
      <w:pPr>
        <w:spacing w:after="0" w:line="240" w:lineRule="auto"/>
        <w:jc w:val="center"/>
        <w:rPr>
          <w:rFonts w:ascii="Sylfaen" w:hAnsi="Sylfaen"/>
          <w:b/>
          <w:lang w:val="sq-AL"/>
        </w:rPr>
      </w:pPr>
    </w:p>
    <w:p w14:paraId="1152042D" w14:textId="77777777" w:rsidR="00E74252" w:rsidRPr="00F75F86" w:rsidRDefault="00E74252" w:rsidP="00600440">
      <w:pPr>
        <w:spacing w:after="0" w:line="240" w:lineRule="auto"/>
        <w:jc w:val="center"/>
        <w:rPr>
          <w:rFonts w:ascii="Sylfaen" w:hAnsi="Sylfaen"/>
          <w:b/>
          <w:lang w:val="sq-AL"/>
        </w:rPr>
      </w:pPr>
    </w:p>
    <w:sectPr w:rsidR="00E74252" w:rsidRPr="00F75F86" w:rsidSect="00C81BE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929C" w14:textId="77777777" w:rsidR="002100AE" w:rsidRDefault="002100AE">
      <w:pPr>
        <w:spacing w:after="0" w:line="240" w:lineRule="auto"/>
      </w:pPr>
      <w:r>
        <w:separator/>
      </w:r>
    </w:p>
  </w:endnote>
  <w:endnote w:type="continuationSeparator" w:id="0">
    <w:p w14:paraId="535F1AAD" w14:textId="77777777" w:rsidR="002100AE" w:rsidRDefault="0021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285182"/>
      <w:docPartObj>
        <w:docPartGallery w:val="Page Numbers (Bottom of Page)"/>
        <w:docPartUnique/>
      </w:docPartObj>
    </w:sdtPr>
    <w:sdtEndPr/>
    <w:sdtContent>
      <w:sdt>
        <w:sdtPr>
          <w:id w:val="1728636285"/>
          <w:docPartObj>
            <w:docPartGallery w:val="Page Numbers (Top of Page)"/>
            <w:docPartUnique/>
          </w:docPartObj>
        </w:sdtPr>
        <w:sdtEndPr/>
        <w:sdtContent>
          <w:p w14:paraId="4F91C8DB" w14:textId="77777777" w:rsidR="00995E01" w:rsidRDefault="00600440">
            <w:pPr>
              <w:pStyle w:val="Footer"/>
              <w:jc w:val="center"/>
            </w:pPr>
            <w:r w:rsidRPr="00922D90">
              <w:rPr>
                <w:bCs/>
              </w:rPr>
              <w:fldChar w:fldCharType="begin"/>
            </w:r>
            <w:r w:rsidRPr="00922D90">
              <w:rPr>
                <w:bCs/>
              </w:rPr>
              <w:instrText xml:space="preserve"> PAGE </w:instrText>
            </w:r>
            <w:r w:rsidRPr="00922D90">
              <w:rPr>
                <w:bCs/>
              </w:rPr>
              <w:fldChar w:fldCharType="separate"/>
            </w:r>
            <w:r w:rsidR="00174E4A">
              <w:rPr>
                <w:bCs/>
                <w:noProof/>
              </w:rPr>
              <w:t>19</w:t>
            </w:r>
            <w:r w:rsidRPr="00922D90">
              <w:rPr>
                <w:bCs/>
              </w:rPr>
              <w:fldChar w:fldCharType="end"/>
            </w:r>
            <w:r w:rsidRPr="00922D90">
              <w:t xml:space="preserve"> / </w:t>
            </w:r>
            <w:r w:rsidRPr="00922D90">
              <w:rPr>
                <w:bCs/>
              </w:rPr>
              <w:fldChar w:fldCharType="begin"/>
            </w:r>
            <w:r w:rsidRPr="00922D90">
              <w:rPr>
                <w:bCs/>
              </w:rPr>
              <w:instrText xml:space="preserve"> NUMPAGES  </w:instrText>
            </w:r>
            <w:r w:rsidRPr="00922D90">
              <w:rPr>
                <w:bCs/>
              </w:rPr>
              <w:fldChar w:fldCharType="separate"/>
            </w:r>
            <w:r w:rsidR="00174E4A">
              <w:rPr>
                <w:bCs/>
                <w:noProof/>
              </w:rPr>
              <w:t>19</w:t>
            </w:r>
            <w:r w:rsidRPr="00922D90">
              <w:rPr>
                <w:bCs/>
              </w:rPr>
              <w:fldChar w:fldCharType="end"/>
            </w:r>
          </w:p>
        </w:sdtContent>
      </w:sdt>
    </w:sdtContent>
  </w:sdt>
  <w:p w14:paraId="26D34CA8" w14:textId="77777777" w:rsidR="00995E01" w:rsidRDefault="0021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BED3" w14:textId="77777777" w:rsidR="002100AE" w:rsidRDefault="002100AE">
      <w:pPr>
        <w:spacing w:after="0" w:line="240" w:lineRule="auto"/>
      </w:pPr>
      <w:r>
        <w:separator/>
      </w:r>
    </w:p>
  </w:footnote>
  <w:footnote w:type="continuationSeparator" w:id="0">
    <w:p w14:paraId="392E418C" w14:textId="77777777" w:rsidR="002100AE" w:rsidRDefault="002100AE">
      <w:pPr>
        <w:spacing w:after="0" w:line="240" w:lineRule="auto"/>
      </w:pPr>
      <w:r>
        <w:continuationSeparator/>
      </w:r>
    </w:p>
  </w:footnote>
  <w:footnote w:id="1">
    <w:p w14:paraId="2DD9DEB2" w14:textId="63AF3483" w:rsidR="008F39AB" w:rsidRPr="00E82B00" w:rsidRDefault="008F39AB" w:rsidP="008F39AB">
      <w:pPr>
        <w:pStyle w:val="FootnoteText"/>
        <w:rPr>
          <w:rFonts w:ascii="Segoe UI Light" w:hAnsi="Segoe UI Light" w:cs="Segoe UI Light"/>
          <w:lang w:val="sq-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305"/>
    <w:multiLevelType w:val="hybridMultilevel"/>
    <w:tmpl w:val="078E2396"/>
    <w:lvl w:ilvl="0" w:tplc="08090011">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15:restartNumberingAfterBreak="0">
    <w:nsid w:val="234E0D5C"/>
    <w:multiLevelType w:val="hybridMultilevel"/>
    <w:tmpl w:val="5D7015B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E2CEA"/>
    <w:multiLevelType w:val="hybridMultilevel"/>
    <w:tmpl w:val="B218D338"/>
    <w:lvl w:ilvl="0" w:tplc="08090011">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15:restartNumberingAfterBreak="0">
    <w:nsid w:val="3A9C2F16"/>
    <w:multiLevelType w:val="hybridMultilevel"/>
    <w:tmpl w:val="EF8EC7C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F6219"/>
    <w:multiLevelType w:val="hybridMultilevel"/>
    <w:tmpl w:val="56543D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D6D3AB1"/>
    <w:multiLevelType w:val="hybridMultilevel"/>
    <w:tmpl w:val="98DA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F796D"/>
    <w:multiLevelType w:val="hybridMultilevel"/>
    <w:tmpl w:val="19BA74A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C6913"/>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458CD"/>
    <w:multiLevelType w:val="hybridMultilevel"/>
    <w:tmpl w:val="50A2D766"/>
    <w:lvl w:ilvl="0" w:tplc="F2AC3BEA">
      <w:start w:val="1"/>
      <w:numFmt w:val="decimal"/>
      <w:lvlText w:val="%1)"/>
      <w:lvlJc w:val="left"/>
      <w:pPr>
        <w:ind w:left="720" w:hanging="360"/>
      </w:pPr>
      <w:rPr>
        <w:rFonts w:ascii="Segoe UI Light" w:hAnsi="Segoe UI Light" w:cs="Segoe UI Light"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12A63"/>
    <w:multiLevelType w:val="hybridMultilevel"/>
    <w:tmpl w:val="91A61F8A"/>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9"/>
  </w:num>
  <w:num w:numId="6">
    <w:abstractNumId w:val="10"/>
  </w:num>
  <w:num w:numId="7">
    <w:abstractNumId w:val="1"/>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40"/>
    <w:rsid w:val="000B56C4"/>
    <w:rsid w:val="000E0A5C"/>
    <w:rsid w:val="000E5A1F"/>
    <w:rsid w:val="00147912"/>
    <w:rsid w:val="00161344"/>
    <w:rsid w:val="00174E4A"/>
    <w:rsid w:val="002100AE"/>
    <w:rsid w:val="00233B0F"/>
    <w:rsid w:val="002459FF"/>
    <w:rsid w:val="00273A17"/>
    <w:rsid w:val="00276D87"/>
    <w:rsid w:val="002E7BB6"/>
    <w:rsid w:val="003566C0"/>
    <w:rsid w:val="00414FA7"/>
    <w:rsid w:val="00462C84"/>
    <w:rsid w:val="00600440"/>
    <w:rsid w:val="007C0882"/>
    <w:rsid w:val="007F2332"/>
    <w:rsid w:val="00871B49"/>
    <w:rsid w:val="008B449B"/>
    <w:rsid w:val="008C1780"/>
    <w:rsid w:val="008F39AB"/>
    <w:rsid w:val="00903B07"/>
    <w:rsid w:val="009610BA"/>
    <w:rsid w:val="00981BB2"/>
    <w:rsid w:val="009E331A"/>
    <w:rsid w:val="00A24990"/>
    <w:rsid w:val="00A34B0C"/>
    <w:rsid w:val="00A67437"/>
    <w:rsid w:val="00A7419C"/>
    <w:rsid w:val="00A97410"/>
    <w:rsid w:val="00B148B3"/>
    <w:rsid w:val="00B1611C"/>
    <w:rsid w:val="00B51437"/>
    <w:rsid w:val="00BA5791"/>
    <w:rsid w:val="00BB746B"/>
    <w:rsid w:val="00C76EBA"/>
    <w:rsid w:val="00CF0163"/>
    <w:rsid w:val="00D54AD9"/>
    <w:rsid w:val="00D57EAF"/>
    <w:rsid w:val="00DA1B92"/>
    <w:rsid w:val="00DE654D"/>
    <w:rsid w:val="00E57EC7"/>
    <w:rsid w:val="00E74252"/>
    <w:rsid w:val="00E82B00"/>
    <w:rsid w:val="00EB036B"/>
    <w:rsid w:val="00EE709B"/>
    <w:rsid w:val="00F10D02"/>
    <w:rsid w:val="00F75F86"/>
    <w:rsid w:val="00FD1170"/>
    <w:rsid w:val="00FD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D15A"/>
  <w15:chartTrackingRefBased/>
  <w15:docId w15:val="{058A8EA1-8B91-480D-B2B0-6FCAC22D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70"/>
    <w:pPr>
      <w:keepNext/>
      <w:spacing w:before="240" w:after="60" w:line="240" w:lineRule="auto"/>
      <w:outlineLvl w:val="0"/>
    </w:pPr>
    <w:rPr>
      <w:rFonts w:ascii="Cambria" w:eastAsia="Times New Roman" w:hAnsi="Cambria" w:cs="Times New Roman"/>
      <w:b/>
      <w:bCs/>
      <w:kern w:val="32"/>
      <w:sz w:val="32"/>
      <w:szCs w:val="32"/>
      <w:lang w:val="en-GB" w:eastAsia="en-GB"/>
    </w:rPr>
  </w:style>
  <w:style w:type="paragraph" w:styleId="Heading2">
    <w:name w:val="heading 2"/>
    <w:basedOn w:val="Normal"/>
    <w:link w:val="Heading2Char"/>
    <w:qFormat/>
    <w:rsid w:val="00FD1170"/>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600440"/>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00440"/>
    <w:pPr>
      <w:tabs>
        <w:tab w:val="center" w:pos="4680"/>
        <w:tab w:val="right" w:pos="9360"/>
      </w:tabs>
      <w:spacing w:after="0" w:line="240" w:lineRule="auto"/>
    </w:pPr>
    <w:rPr>
      <w:sz w:val="24"/>
      <w:szCs w:val="24"/>
      <w:lang w:val="en-GB"/>
    </w:rPr>
  </w:style>
  <w:style w:type="character" w:customStyle="1" w:styleId="FooterChar">
    <w:name w:val="Footer Char"/>
    <w:basedOn w:val="DefaultParagraphFont"/>
    <w:link w:val="Footer"/>
    <w:uiPriority w:val="99"/>
    <w:rsid w:val="00600440"/>
    <w:rPr>
      <w:sz w:val="24"/>
      <w:szCs w:val="24"/>
      <w:lang w:val="en-GB"/>
    </w:rPr>
  </w:style>
  <w:style w:type="paragraph" w:customStyle="1" w:styleId="CharCharCharCharCharChar">
    <w:name w:val="Char Char Char Char Char Char"/>
    <w:basedOn w:val="Normal"/>
    <w:rsid w:val="008F39AB"/>
    <w:pPr>
      <w:spacing w:line="240" w:lineRule="exact"/>
    </w:pPr>
    <w:rPr>
      <w:rFonts w:ascii="Tahoma" w:eastAsia="Times New Roman" w:hAnsi="Tahoma" w:cs="Tahoma"/>
      <w:sz w:val="20"/>
      <w:szCs w:val="20"/>
    </w:rPr>
  </w:style>
  <w:style w:type="paragraph" w:styleId="ListParagraph">
    <w:name w:val="List Paragraph"/>
    <w:basedOn w:val="Normal"/>
    <w:uiPriority w:val="34"/>
    <w:qFormat/>
    <w:rsid w:val="008F39AB"/>
    <w:pPr>
      <w:ind w:left="720"/>
      <w:contextualSpacing/>
    </w:pPr>
  </w:style>
  <w:style w:type="paragraph" w:styleId="FootnoteText">
    <w:name w:val="footnote text"/>
    <w:basedOn w:val="Normal"/>
    <w:link w:val="FootnoteTextChar"/>
    <w:uiPriority w:val="99"/>
    <w:semiHidden/>
    <w:unhideWhenUsed/>
    <w:rsid w:val="008F3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AB"/>
    <w:rPr>
      <w:sz w:val="20"/>
      <w:szCs w:val="20"/>
    </w:rPr>
  </w:style>
  <w:style w:type="character" w:styleId="FootnoteReference">
    <w:name w:val="footnote reference"/>
    <w:basedOn w:val="DefaultParagraphFont"/>
    <w:uiPriority w:val="99"/>
    <w:semiHidden/>
    <w:unhideWhenUsed/>
    <w:qFormat/>
    <w:rsid w:val="008F39AB"/>
    <w:rPr>
      <w:vertAlign w:val="superscript"/>
    </w:rPr>
  </w:style>
  <w:style w:type="paragraph" w:customStyle="1" w:styleId="Default">
    <w:name w:val="Default"/>
    <w:rsid w:val="00E74252"/>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FD1170"/>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rsid w:val="00FD1170"/>
    <w:rPr>
      <w:rFonts w:ascii="Times New Roman" w:eastAsia="Calibri" w:hAnsi="Times New Roman" w:cs="Times New Roman"/>
      <w:b/>
      <w:bCs/>
      <w:sz w:val="36"/>
      <w:szCs w:val="36"/>
    </w:rPr>
  </w:style>
  <w:style w:type="paragraph" w:styleId="BalloonText">
    <w:name w:val="Balloon Text"/>
    <w:basedOn w:val="Normal"/>
    <w:link w:val="BalloonTextChar"/>
    <w:uiPriority w:val="99"/>
    <w:semiHidden/>
    <w:unhideWhenUsed/>
    <w:rsid w:val="000E0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ultimet.rks-gov.net/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Trendeline Dreshaj</dc:creator>
  <cp:keywords/>
  <dc:description/>
  <cp:lastModifiedBy>Bekim Racaj</cp:lastModifiedBy>
  <cp:revision>2</cp:revision>
  <cp:lastPrinted>2019-01-25T09:23:00Z</cp:lastPrinted>
  <dcterms:created xsi:type="dcterms:W3CDTF">2019-02-04T10:18:00Z</dcterms:created>
  <dcterms:modified xsi:type="dcterms:W3CDTF">2019-02-04T10:18:00Z</dcterms:modified>
</cp:coreProperties>
</file>