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hr-HR"/>
        </w:rPr>
      </w:pP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Raporti</w:t>
      </w:r>
      <w:r w:rsidR="00DC4A9B" w:rsidRPr="00DC4A9B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nga procesi i konsultimit</w:t>
      </w:r>
    </w:p>
    <w:p w:rsidR="00FE5A3B" w:rsidRDefault="00FE5A3B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hr-HR"/>
        </w:rPr>
      </w:pPr>
    </w:p>
    <w:p w:rsidR="00FE5A3B" w:rsidRPr="006343D3" w:rsidRDefault="00FE5A3B" w:rsidP="00FE5A3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sq-AL"/>
        </w:rPr>
      </w:pPr>
      <w:r w:rsidRPr="006343D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>Udhëzimi</w:t>
      </w:r>
      <w:r w:rsidRPr="006343D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Administrativ Nr. 00/2018</w:t>
      </w:r>
    </w:p>
    <w:p w:rsidR="00DC4A9B" w:rsidRPr="006343D3" w:rsidRDefault="00FE5A3B" w:rsidP="00FE5A3B">
      <w:pPr>
        <w:spacing w:after="0" w:line="240" w:lineRule="auto"/>
        <w:jc w:val="center"/>
        <w:rPr>
          <w:rFonts w:ascii="Sylfaen" w:eastAsia="Calibri" w:hAnsi="Sylfaen"/>
          <w:sz w:val="24"/>
          <w:szCs w:val="24"/>
          <w:lang w:val="sq-AL"/>
        </w:rPr>
      </w:pPr>
      <w:r w:rsidRPr="006343D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>Për përcaktimin e simboleve  për treguesit gjeografikë, emërtimit  të origjinës dhe specialitetit tradicional të garantuar</w:t>
      </w:r>
    </w:p>
    <w:p w:rsidR="00FE5A3B" w:rsidRDefault="00FE5A3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297A3E" w:rsidRDefault="00297A3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407A62" w:rsidRDefault="001026DC" w:rsidP="00FE5A3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Mini</w:t>
      </w:r>
      <w:r w:rsidR="001569EA" w:rsidRPr="00407A62">
        <w:rPr>
          <w:rFonts w:ascii="Sylfaen" w:eastAsia="Calibri" w:hAnsi="Sylfaen"/>
          <w:i/>
          <w:noProof/>
          <w:sz w:val="24"/>
          <w:szCs w:val="24"/>
        </w:rPr>
        <w:t xml:space="preserve">stria e Tregtisë dhe Industrisë respektivisht </w:t>
      </w:r>
      <w:r w:rsidR="00FE5A3B">
        <w:rPr>
          <w:rFonts w:ascii="Sylfaen" w:eastAsia="Calibri" w:hAnsi="Sylfaen"/>
          <w:i/>
          <w:noProof/>
          <w:sz w:val="24"/>
          <w:szCs w:val="24"/>
        </w:rPr>
        <w:t>Agjencia per P</w:t>
      </w:r>
      <w:r w:rsidR="00FE5A3B">
        <w:rPr>
          <w:rFonts w:ascii="Sylfaen" w:eastAsia="Calibri" w:hAnsi="Sylfaen"/>
          <w:i/>
          <w:noProof/>
          <w:sz w:val="24"/>
          <w:szCs w:val="24"/>
          <w:lang w:val="sq-AL"/>
        </w:rPr>
        <w:t>ronësi Industriale (API)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6343D3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në cilësinë e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Organit Propozues 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për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hartimin e </w:t>
      </w:r>
      <w:r w:rsidR="00FE5A3B" w:rsidRPr="00FE5A3B">
        <w:rPr>
          <w:rFonts w:ascii="Sylfaen" w:eastAsia="Calibri" w:hAnsi="Sylfaen"/>
          <w:i/>
          <w:noProof/>
          <w:sz w:val="24"/>
          <w:szCs w:val="24"/>
        </w:rPr>
        <w:t>U</w:t>
      </w:r>
      <w:r w:rsidR="00FE5A3B" w:rsidRPr="00FE5A3B">
        <w:rPr>
          <w:rFonts w:ascii="Sylfaen" w:eastAsia="Calibri" w:hAnsi="Sylfaen"/>
          <w:i/>
          <w:noProof/>
          <w:sz w:val="24"/>
          <w:szCs w:val="24"/>
        </w:rPr>
        <w:t>dhëzimi</w:t>
      </w:r>
      <w:r w:rsidR="006B3B54">
        <w:rPr>
          <w:rFonts w:ascii="Sylfaen" w:eastAsia="Calibri" w:hAnsi="Sylfaen"/>
          <w:i/>
          <w:noProof/>
          <w:sz w:val="24"/>
          <w:szCs w:val="24"/>
        </w:rPr>
        <w:t>t</w:t>
      </w:r>
      <w:r w:rsidR="00FE5A3B" w:rsidRPr="00FE5A3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FE5A3B" w:rsidRPr="00FE5A3B">
        <w:rPr>
          <w:rFonts w:ascii="Sylfaen" w:eastAsia="Calibri" w:hAnsi="Sylfaen"/>
          <w:i/>
          <w:noProof/>
          <w:sz w:val="24"/>
          <w:szCs w:val="24"/>
        </w:rPr>
        <w:t>A</w:t>
      </w:r>
      <w:r w:rsidR="00FE5A3B" w:rsidRPr="00FE5A3B">
        <w:rPr>
          <w:rFonts w:ascii="Sylfaen" w:eastAsia="Calibri" w:hAnsi="Sylfaen"/>
          <w:i/>
          <w:noProof/>
          <w:sz w:val="24"/>
          <w:szCs w:val="24"/>
        </w:rPr>
        <w:t>dministrativ</w:t>
      </w:r>
      <w:r w:rsidR="00FE5A3B" w:rsidRPr="00FE5A3B">
        <w:rPr>
          <w:rFonts w:ascii="Sylfaen" w:eastAsia="Calibri" w:hAnsi="Sylfaen"/>
          <w:i/>
          <w:noProof/>
          <w:sz w:val="24"/>
          <w:szCs w:val="24"/>
        </w:rPr>
        <w:t xml:space="preserve"> N</w:t>
      </w:r>
      <w:r w:rsidR="006B3B54" w:rsidRPr="00FE5A3B">
        <w:rPr>
          <w:rFonts w:ascii="Sylfaen" w:eastAsia="Calibri" w:hAnsi="Sylfaen"/>
          <w:i/>
          <w:noProof/>
          <w:sz w:val="24"/>
          <w:szCs w:val="24"/>
        </w:rPr>
        <w:t>r</w:t>
      </w:r>
      <w:r w:rsidR="00FE5A3B" w:rsidRPr="00FE5A3B">
        <w:rPr>
          <w:rFonts w:ascii="Sylfaen" w:eastAsia="Calibri" w:hAnsi="Sylfaen"/>
          <w:i/>
          <w:noProof/>
          <w:sz w:val="24"/>
          <w:szCs w:val="24"/>
        </w:rPr>
        <w:t>. 00/2018</w:t>
      </w:r>
      <w:r w:rsidR="006343D3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FE5A3B" w:rsidRPr="00FE5A3B">
        <w:rPr>
          <w:rFonts w:ascii="Sylfaen" w:eastAsia="Calibri" w:hAnsi="Sylfaen"/>
          <w:i/>
          <w:noProof/>
          <w:sz w:val="24"/>
          <w:szCs w:val="24"/>
        </w:rPr>
        <w:t>P</w:t>
      </w:r>
      <w:r w:rsidR="00FE5A3B" w:rsidRPr="00FE5A3B">
        <w:rPr>
          <w:rFonts w:ascii="Sylfaen" w:eastAsia="Calibri" w:hAnsi="Sylfaen"/>
          <w:i/>
          <w:noProof/>
          <w:sz w:val="24"/>
          <w:szCs w:val="24"/>
        </w:rPr>
        <w:t>ër përcaktimin e simboleve  për treguesit gjeografikë, emërtimit  të origjinës dhe specialitetit tradicional të garantuar</w:t>
      </w:r>
      <w:r w:rsidR="0079131E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 xml:space="preserve"> ka </w:t>
      </w:r>
      <w:r w:rsidRPr="00407A62">
        <w:rPr>
          <w:rFonts w:ascii="Sylfaen" w:eastAsia="Calibri" w:hAnsi="Sylfaen"/>
          <w:i/>
          <w:noProof/>
          <w:sz w:val="24"/>
          <w:szCs w:val="24"/>
        </w:rPr>
        <w:t>propozuar  hartimin e kë</w:t>
      </w:r>
      <w:r w:rsidR="00FE5A3B">
        <w:rPr>
          <w:rFonts w:ascii="Sylfaen" w:eastAsia="Calibri" w:hAnsi="Sylfaen"/>
          <w:i/>
          <w:noProof/>
          <w:sz w:val="24"/>
          <w:szCs w:val="24"/>
        </w:rPr>
        <w:t xml:space="preserve">tij Udhëzimi Administrativ </w:t>
      </w:r>
      <w:r w:rsidR="0079131E" w:rsidRPr="00407A62">
        <w:rPr>
          <w:rFonts w:ascii="Sylfaen" w:eastAsia="Calibri" w:hAnsi="Sylfaen"/>
          <w:i/>
          <w:noProof/>
          <w:sz w:val="24"/>
          <w:szCs w:val="24"/>
        </w:rPr>
        <w:t xml:space="preserve">me qëllim që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të </w:t>
      </w:r>
      <w:r w:rsidR="00407A62">
        <w:rPr>
          <w:rFonts w:ascii="Sylfaen" w:eastAsia="Calibri" w:hAnsi="Sylfaen"/>
          <w:i/>
          <w:noProof/>
          <w:sz w:val="24"/>
          <w:szCs w:val="24"/>
        </w:rPr>
        <w:t xml:space="preserve">mundëson implementimin  e </w:t>
      </w:r>
      <w:r w:rsidR="002A72AC">
        <w:rPr>
          <w:rFonts w:ascii="Sylfaen" w:eastAsia="Calibri" w:hAnsi="Sylfaen"/>
          <w:i/>
          <w:noProof/>
          <w:sz w:val="24"/>
          <w:szCs w:val="24"/>
        </w:rPr>
        <w:t>Ligjit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FE5A3B" w:rsidRPr="00FE5A3B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Nr. 05/L-051 Për Treguesit Gjeografik </w:t>
      </w:r>
      <w:r w:rsidR="00690056">
        <w:rPr>
          <w:rFonts w:ascii="Sylfaen" w:eastAsia="Calibri" w:hAnsi="Sylfaen"/>
          <w:i/>
          <w:noProof/>
          <w:sz w:val="24"/>
          <w:szCs w:val="24"/>
          <w:lang w:val="sq-AL"/>
        </w:rPr>
        <w:t xml:space="preserve">dhe </w:t>
      </w:r>
      <w:bookmarkStart w:id="0" w:name="_GoBack"/>
      <w:bookmarkEnd w:id="0"/>
      <w:r w:rsidR="00FE5A3B" w:rsidRPr="00FE5A3B">
        <w:rPr>
          <w:rFonts w:ascii="Sylfaen" w:eastAsia="Calibri" w:hAnsi="Sylfaen"/>
          <w:i/>
          <w:noProof/>
          <w:sz w:val="24"/>
          <w:szCs w:val="24"/>
          <w:lang w:val="sq-AL"/>
        </w:rPr>
        <w:t>Emërtimet e Origjinës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>. Prandaj</w:t>
      </w:r>
      <w:r w:rsidR="00407A62" w:rsidRPr="0068520F">
        <w:rPr>
          <w:rFonts w:ascii="Sylfaen" w:eastAsia="Calibri" w:hAnsi="Sylfaen"/>
          <w:i/>
          <w:sz w:val="24"/>
          <w:szCs w:val="24"/>
          <w:lang w:val="hr-HR"/>
        </w:rPr>
        <w:t xml:space="preserve"> përmes hartimit të </w:t>
      </w:r>
      <w:r w:rsidR="00644627">
        <w:rPr>
          <w:rFonts w:ascii="Sylfaen" w:eastAsia="Calibri" w:hAnsi="Sylfaen"/>
          <w:i/>
          <w:sz w:val="24"/>
          <w:szCs w:val="24"/>
          <w:lang w:val="hr-HR"/>
        </w:rPr>
        <w:t>Draft Udhëzimit Administrativ në fjalë do tju</w:t>
      </w:r>
      <w:r w:rsidR="00407A62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644627">
        <w:rPr>
          <w:rFonts w:ascii="Sylfaen" w:eastAsia="Calibri" w:hAnsi="Sylfaen"/>
          <w:i/>
          <w:sz w:val="24"/>
          <w:szCs w:val="24"/>
          <w:lang w:val="sq-AL"/>
        </w:rPr>
        <w:t xml:space="preserve">mundësoj prodhuesve apo përpunuesve </w:t>
      </w:r>
      <w:r w:rsidR="00644627" w:rsidRPr="00644627">
        <w:rPr>
          <w:rFonts w:ascii="Sylfaen" w:eastAsia="Calibri" w:hAnsi="Sylfaen"/>
          <w:i/>
          <w:sz w:val="24"/>
          <w:szCs w:val="24"/>
          <w:lang w:val="sq-AL"/>
        </w:rPr>
        <w:t xml:space="preserve">për reklamim të produktit kur sigurohet që këto produkte janë në pajtim me specifikimet përkatëse dhe prodhuesit apo përpunuesit janë të regjistruar </w:t>
      </w:r>
      <w:r w:rsidR="002A72AC">
        <w:rPr>
          <w:rFonts w:ascii="Sylfaen" w:eastAsia="Calibri" w:hAnsi="Sylfaen"/>
          <w:i/>
          <w:sz w:val="24"/>
          <w:szCs w:val="24"/>
          <w:lang w:val="sq-AL"/>
        </w:rPr>
        <w:t>me produktet që mbulohen nga ky akt nënligjor si dhe mbikëqyrjen në treg të këtyre produkteve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>.</w:t>
      </w:r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Prandaj përmes hartimit të 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>kë</w:t>
      </w:r>
      <w:r w:rsidR="001B6C8F">
        <w:rPr>
          <w:rFonts w:ascii="Sylfaen" w:eastAsia="Calibri" w:hAnsi="Sylfaen"/>
          <w:i/>
          <w:sz w:val="24"/>
          <w:szCs w:val="24"/>
          <w:lang w:val="sq-AL"/>
        </w:rPr>
        <w:t xml:space="preserve">tij Udhëzimi Administrativ </w:t>
      </w:r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do të bëhet </w:t>
      </w:r>
      <w:r w:rsidR="002A72AC">
        <w:rPr>
          <w:rFonts w:ascii="Sylfaen" w:eastAsia="Calibri" w:hAnsi="Sylfaen"/>
          <w:i/>
          <w:sz w:val="24"/>
          <w:szCs w:val="24"/>
          <w:lang w:val="sq-AL"/>
        </w:rPr>
        <w:t>e mundur që të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 xml:space="preserve"> mbulohet dhe rregullohet kjo fushë</w:t>
      </w:r>
      <w:r w:rsidR="00CE6A48">
        <w:rPr>
          <w:rFonts w:ascii="Sylfaen" w:eastAsia="Calibri" w:hAnsi="Sylfaen"/>
          <w:i/>
          <w:sz w:val="24"/>
          <w:szCs w:val="24"/>
          <w:lang w:val="sq-AL"/>
        </w:rPr>
        <w:t xml:space="preserve"> në tërësi</w:t>
      </w:r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407A62" w:rsidRDefault="001026DC" w:rsidP="006B3B54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sz w:val="24"/>
          <w:szCs w:val="24"/>
          <w:lang w:val="sq-AL"/>
        </w:rPr>
        <w:t>Bazuar në Rregulloren nr.</w:t>
      </w:r>
      <w:r w:rsidR="00CE6A48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Pr="00407A62">
        <w:rPr>
          <w:rFonts w:ascii="Sylfaen" w:eastAsia="Calibri" w:hAnsi="Sylfaen"/>
          <w:i/>
          <w:sz w:val="24"/>
          <w:szCs w:val="24"/>
          <w:lang w:val="sq-AL"/>
        </w:rPr>
        <w:t>09/2011 të Punës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së Qeverisë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Rregulloren nr.13/2013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 Për Shërbimin Ligjor Qeveritar,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Ministria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i ka kaluar hapat e mëposhtëm të procesit legjislativ si:  formimin e grupit punues, pjesëmarrjen në </w:t>
      </w:r>
      <w:r w:rsidR="001569EA" w:rsidRPr="00407A62">
        <w:rPr>
          <w:rFonts w:ascii="Sylfaen" w:eastAsia="Calibri" w:hAnsi="Sylfaen"/>
          <w:i/>
          <w:noProof/>
          <w:sz w:val="24"/>
          <w:szCs w:val="24"/>
        </w:rPr>
        <w:t>disa takime me grupin punues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 për </w:t>
      </w:r>
      <w:r w:rsidR="00A15291">
        <w:rPr>
          <w:rFonts w:ascii="Sylfaen" w:eastAsia="Calibri" w:hAnsi="Sylfaen"/>
          <w:i/>
          <w:noProof/>
          <w:sz w:val="24"/>
          <w:szCs w:val="24"/>
        </w:rPr>
        <w:t>h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artimin 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draftit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fillestar të </w:t>
      </w:r>
      <w:r w:rsidR="006B3B54" w:rsidRPr="006B3B54">
        <w:rPr>
          <w:rFonts w:ascii="Sylfaen" w:eastAsia="Calibri" w:hAnsi="Sylfaen"/>
          <w:i/>
          <w:noProof/>
          <w:sz w:val="24"/>
          <w:szCs w:val="24"/>
        </w:rPr>
        <w:t>Udhëzimit Administrativ N</w:t>
      </w:r>
      <w:r w:rsidR="006B3B54" w:rsidRPr="006B3B54">
        <w:rPr>
          <w:rFonts w:ascii="Sylfaen" w:eastAsia="Calibri" w:hAnsi="Sylfaen"/>
          <w:i/>
          <w:noProof/>
          <w:sz w:val="24"/>
          <w:szCs w:val="24"/>
        </w:rPr>
        <w:t xml:space="preserve">r. </w:t>
      </w:r>
      <w:r w:rsidR="006B3B54" w:rsidRPr="006B3B54">
        <w:rPr>
          <w:rFonts w:ascii="Sylfaen" w:eastAsia="Calibri" w:hAnsi="Sylfaen"/>
          <w:i/>
          <w:noProof/>
          <w:sz w:val="24"/>
          <w:szCs w:val="24"/>
        </w:rPr>
        <w:t>00/2018</w:t>
      </w:r>
      <w:r w:rsidR="006B3B54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6B3B54" w:rsidRPr="006B3B54">
        <w:rPr>
          <w:rFonts w:ascii="Sylfaen" w:eastAsia="Calibri" w:hAnsi="Sylfaen"/>
          <w:i/>
          <w:noProof/>
          <w:sz w:val="24"/>
          <w:szCs w:val="24"/>
        </w:rPr>
        <w:t>Për përcaktimin e simboleve  për treguesit gjeografikë, emërtimit  të origjinës dhe special</w:t>
      </w:r>
      <w:r w:rsidR="0037642A">
        <w:rPr>
          <w:rFonts w:ascii="Sylfaen" w:eastAsia="Calibri" w:hAnsi="Sylfaen"/>
          <w:i/>
          <w:noProof/>
          <w:sz w:val="24"/>
          <w:szCs w:val="24"/>
        </w:rPr>
        <w:t>itetit tradicional të garantuar</w:t>
      </w:r>
      <w:r w:rsidR="00A15291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dhe pas p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ërfundimit të </w:t>
      </w:r>
      <w:r w:rsidR="0037642A">
        <w:rPr>
          <w:rFonts w:ascii="Sylfaen" w:eastAsia="Calibri" w:hAnsi="Sylfaen"/>
          <w:i/>
          <w:noProof/>
          <w:sz w:val="24"/>
          <w:szCs w:val="24"/>
        </w:rPr>
        <w:t>draft Udhëzimit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sht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d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rguar </w:t>
      </w:r>
      <w:r w:rsidR="00A15291">
        <w:rPr>
          <w:rFonts w:ascii="Sylfaen" w:eastAsia="Calibri" w:hAnsi="Sylfaen"/>
          <w:i/>
          <w:noProof/>
          <w:sz w:val="24"/>
          <w:szCs w:val="24"/>
        </w:rPr>
        <w:t>për komente t</w:t>
      </w:r>
      <w:r w:rsidR="002A72AC">
        <w:rPr>
          <w:rFonts w:ascii="Sylfaen" w:eastAsia="Calibri" w:hAnsi="Sylfaen"/>
          <w:i/>
          <w:noProof/>
          <w:sz w:val="24"/>
          <w:szCs w:val="24"/>
        </w:rPr>
        <w:t>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palët e interesit.</w:t>
      </w:r>
    </w:p>
    <w:p w:rsidR="0079131E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297A3E" w:rsidRPr="00407A62" w:rsidRDefault="00297A3E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9131E" w:rsidRPr="00407A62" w:rsidRDefault="0079131E" w:rsidP="0079131E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Qëllimi dhe fushëveprimi i konsultimit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gjatë hartimit të politikave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është me rëndësi që të gjithë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ata që janë të përfshirë në procesin e konsultimit të jenë të njohur qysh prej fillimit me qëllimin dhe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fushëveprimin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e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këtij </w:t>
      </w:r>
      <w:r w:rsidR="00302ABB">
        <w:rPr>
          <w:rFonts w:ascii="Sylfaen" w:eastAsia="Calibri" w:hAnsi="Sylfaen"/>
          <w:i/>
          <w:noProof/>
          <w:sz w:val="24"/>
          <w:szCs w:val="24"/>
        </w:rPr>
        <w:t>draft Udhëzimi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Kjo do ti ndihmoi Ministrisë për të analizuar gjendjen, identifikimin e problemeve, opsioneve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përgatitjen 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rekomandimeve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dhe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propozimeve 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>nga palët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p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ër ti përfshirë në </w:t>
      </w:r>
      <w:r w:rsidR="00302ABB">
        <w:rPr>
          <w:rFonts w:ascii="Sylfaen" w:eastAsia="Calibri" w:hAnsi="Sylfaen"/>
          <w:i/>
          <w:noProof/>
          <w:sz w:val="24"/>
          <w:szCs w:val="24"/>
        </w:rPr>
        <w:t>Udhëzimin</w:t>
      </w:r>
      <w:r w:rsidR="00302ABB" w:rsidRPr="00302ABB">
        <w:rPr>
          <w:rFonts w:ascii="Sylfaen" w:eastAsia="Calibri" w:hAnsi="Sylfaen"/>
          <w:i/>
          <w:noProof/>
          <w:sz w:val="24"/>
          <w:szCs w:val="24"/>
        </w:rPr>
        <w:t xml:space="preserve"> Administrativ Nr. 00/2018 Për përcaktimin e simboleve  për treguesit gjeografikë, emërtimit  të origjinës dhe specialitetit tradicional të garantuar</w:t>
      </w:r>
      <w:r w:rsidR="001622CE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297A3E" w:rsidRDefault="00297A3E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297A3E" w:rsidRDefault="00297A3E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297A3E" w:rsidRDefault="00297A3E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407A62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E673B1" w:rsidRPr="00407A62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Duke pasur parasysh se procesi i</w:t>
      </w:r>
      <w:r w:rsidR="00BD7595" w:rsidRPr="00407A62">
        <w:rPr>
          <w:rFonts w:ascii="Sylfaen" w:eastAsia="Calibri" w:hAnsi="Sylfaen"/>
          <w:i/>
          <w:noProof/>
          <w:sz w:val="24"/>
          <w:szCs w:val="24"/>
        </w:rPr>
        <w:t xml:space="preserve"> konsultimeve është realizuar dhe është </w:t>
      </w:r>
      <w:r w:rsidRPr="00407A62">
        <w:rPr>
          <w:rFonts w:ascii="Sylfaen" w:eastAsia="Calibri" w:hAnsi="Sylfaen"/>
          <w:i/>
          <w:noProof/>
          <w:sz w:val="24"/>
          <w:szCs w:val="24"/>
        </w:rPr>
        <w:t>zhvilluar konform rregullave dhe procedura</w:t>
      </w:r>
      <w:r w:rsidR="00645408" w:rsidRPr="00407A62">
        <w:rPr>
          <w:rFonts w:ascii="Sylfaen" w:eastAsia="Calibri" w:hAnsi="Sylfaen"/>
          <w:i/>
          <w:noProof/>
          <w:sz w:val="24"/>
          <w:szCs w:val="24"/>
        </w:rPr>
        <w:t>ve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të përcaktuara në Rregulloren për Punën e Qeverisë nr. 09/2011, 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>Rregulloren N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>r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 xml:space="preserve">. 05/2016 Për standardet minimale për procesin e konsultimit publik, </w:t>
      </w:r>
      <w:r w:rsidRPr="00407A62">
        <w:rPr>
          <w:rFonts w:ascii="Sylfaen" w:eastAsia="Calibri" w:hAnsi="Sylfaen"/>
          <w:i/>
          <w:noProof/>
          <w:sz w:val="24"/>
          <w:szCs w:val="24"/>
        </w:rPr>
        <w:t>Udhëzuesin për procesin e konsultimeve Nr.062/2011 dt. 26.09.2011,</w:t>
      </w:r>
      <w:r w:rsidR="00C85E8B" w:rsidRPr="00407A62">
        <w:rPr>
          <w:noProof/>
        </w:rPr>
        <w:t xml:space="preserve"> 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Ministria e Tregtisë dhe Industrisë, si organ propozues i këtij akti 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nën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>ligjor ka zhvilluar procesin e konsultimeve paraprake dhe p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ublike në të cilën peri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>udhë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 e  ka dërguar në Konsultim te të gjitha institucionet përkatëse dhe shoqatat relevante, që t’ju ofrojë informata për publikun e në veçanti për grupet e interesit me qëllim të merret mendimi i publikut dhe grupeve të interesit 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 xml:space="preserve">rreth hartimit të </w:t>
      </w:r>
      <w:r w:rsidR="00297A3E" w:rsidRPr="00297A3E">
        <w:rPr>
          <w:rFonts w:ascii="Sylfaen" w:eastAsia="Calibri" w:hAnsi="Sylfaen"/>
          <w:i/>
          <w:noProof/>
          <w:sz w:val="24"/>
          <w:szCs w:val="24"/>
        </w:rPr>
        <w:t>Udhëzimit Administrativ Nr. 00/2018 Për përcaktimin e simboleve  për treguesit gjeografikë, emërtimit  të origjinës dhe specialitetit tradicional të garantuar</w:t>
      </w:r>
      <w:r w:rsidR="00461838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E673B1" w:rsidRPr="00407A6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983DEE" w:rsidRPr="00407A6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G</w:t>
      </w:r>
      <w:r w:rsidR="00983DEE" w:rsidRPr="00407A62">
        <w:rPr>
          <w:rFonts w:ascii="Sylfaen" w:eastAsia="Calibri" w:hAnsi="Sylfaen"/>
          <w:i/>
          <w:noProof/>
          <w:sz w:val="24"/>
          <w:szCs w:val="24"/>
        </w:rPr>
        <w:t xml:space="preserve">jatë kësaj periudhe lidhur me </w:t>
      </w:r>
      <w:r w:rsidR="00101EA6">
        <w:rPr>
          <w:rFonts w:ascii="Sylfaen" w:eastAsia="Calibri" w:hAnsi="Sylfaen"/>
          <w:i/>
          <w:noProof/>
          <w:sz w:val="24"/>
          <w:szCs w:val="24"/>
        </w:rPr>
        <w:t xml:space="preserve">draft Udhëzimin </w:t>
      </w:r>
      <w:r w:rsidR="00101EA6" w:rsidRPr="00101EA6">
        <w:rPr>
          <w:rFonts w:ascii="Sylfaen" w:eastAsia="Calibri" w:hAnsi="Sylfaen"/>
          <w:i/>
          <w:noProof/>
          <w:sz w:val="24"/>
          <w:szCs w:val="24"/>
        </w:rPr>
        <w:t xml:space="preserve">Administrativ Nr. 00/2018 Për përcaktimin e simboleve  për treguesit gjeografikë, emërtimit  të origjinës dhe specialitetit tradicional të garantuar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nuk 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>kemi pranuar komente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nga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asnjë </w:t>
      </w:r>
      <w:r w:rsidR="00461838">
        <w:rPr>
          <w:rFonts w:ascii="Sylfaen" w:eastAsia="Calibri" w:hAnsi="Sylfaen"/>
          <w:i/>
          <w:noProof/>
          <w:sz w:val="24"/>
          <w:szCs w:val="24"/>
        </w:rPr>
        <w:t>pal</w:t>
      </w:r>
      <w:r w:rsidR="001622CE">
        <w:rPr>
          <w:rFonts w:ascii="Sylfaen" w:eastAsia="Calibri" w:hAnsi="Sylfaen"/>
          <w:i/>
          <w:noProof/>
          <w:sz w:val="24"/>
          <w:szCs w:val="24"/>
        </w:rPr>
        <w:t>ë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e interesit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</w:p>
    <w:p w:rsidR="005D65F8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Kohëzgjatja</w:t>
      </w:r>
      <w:r w:rsidR="00DC4A9B" w:rsidRPr="00407A62">
        <w:rPr>
          <w:rFonts w:ascii="Sylfaen" w:eastAsia="Calibri" w:hAnsi="Sylfaen"/>
          <w:i/>
          <w:noProof/>
          <w:sz w:val="24"/>
          <w:szCs w:val="24"/>
        </w:rPr>
        <w:t xml:space="preserve"> e procesit të kons</w:t>
      </w:r>
      <w:r w:rsidRPr="00407A62">
        <w:rPr>
          <w:rFonts w:ascii="Sylfaen" w:eastAsia="Calibri" w:hAnsi="Sylfaen"/>
          <w:i/>
          <w:noProof/>
          <w:sz w:val="24"/>
          <w:szCs w:val="24"/>
        </w:rPr>
        <w:t>ultimit të dokumentit në fjalë, është bërë konform Rregullores për Punën e Qeverisë nr. 09/2011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, </w:t>
      </w:r>
      <w:r w:rsidR="00CE6A48">
        <w:rPr>
          <w:rFonts w:ascii="Sylfaen" w:eastAsia="Calibri" w:hAnsi="Sylfaen"/>
          <w:i/>
          <w:noProof/>
          <w:sz w:val="24"/>
          <w:szCs w:val="24"/>
        </w:rPr>
        <w:t>gjegjësisht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 neni</w:t>
      </w:r>
      <w:r w:rsidR="00CE6A48">
        <w:rPr>
          <w:rFonts w:ascii="Sylfaen" w:eastAsia="Calibri" w:hAnsi="Sylfaen"/>
          <w:i/>
          <w:noProof/>
          <w:sz w:val="24"/>
          <w:szCs w:val="24"/>
        </w:rPr>
        <w:t>t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 7 paragrafit 6 që parasheh procedimin e projekt rregullores me afat të shkurtuar</w:t>
      </w:r>
      <w:r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87767B" w:rsidP="00E9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87767B">
              <w:rPr>
                <w:rFonts w:ascii="Sylfaen" w:hAnsi="Sylfaen"/>
                <w:noProof/>
                <w:sz w:val="21"/>
                <w:szCs w:val="24"/>
              </w:rPr>
              <w:t>13.08.2018</w:t>
            </w:r>
            <w:r w:rsidRPr="0087767B">
              <w:rPr>
                <w:rFonts w:ascii="Sylfaen" w:hAnsi="Sylfaen"/>
                <w:noProof/>
                <w:sz w:val="21"/>
                <w:szCs w:val="24"/>
              </w:rPr>
              <w:tab/>
              <w:t xml:space="preserve">31.08.2018 </w:t>
            </w: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  <w:r w:rsidR="00717A99" w:rsidRPr="00407A62">
              <w:rPr>
                <w:rFonts w:ascii="Sylfaen" w:hAnsi="Sylfaen"/>
                <w:noProof/>
                <w:sz w:val="21"/>
                <w:szCs w:val="24"/>
              </w:rPr>
              <w:t>5 ditë pune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lastRenderedPageBreak/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7C4FE1" w:rsidRPr="007C4FE1" w:rsidRDefault="00CE6A48" w:rsidP="007C4FE1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sz w:val="24"/>
          <w:szCs w:val="24"/>
          <w:lang w:val="sq-AL" w:eastAsia="sq-AL"/>
        </w:rPr>
        <w:t>Nuk ka pasur</w:t>
      </w:r>
      <w:r w:rsidR="007C4FE1">
        <w:rPr>
          <w:rFonts w:ascii="Times New Roman" w:eastAsia="Calibri" w:hAnsi="Times New Roman"/>
          <w:sz w:val="24"/>
          <w:szCs w:val="24"/>
          <w:lang w:val="sq-AL" w:eastAsia="sq-AL"/>
        </w:rPr>
        <w:t>.</w:t>
      </w: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Pas përfundimit të procesit të konsultimit </w:t>
      </w:r>
      <w:r w:rsidR="00BC4366" w:rsidRPr="00407A62">
        <w:rPr>
          <w:rFonts w:ascii="Sylfaen" w:eastAsia="Calibri" w:hAnsi="Sylfaen"/>
          <w:i/>
          <w:noProof/>
          <w:sz w:val="24"/>
          <w:szCs w:val="24"/>
        </w:rPr>
        <w:t xml:space="preserve">paraprak dhe 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>konsultimit publik i cil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, zyrtari përgjegjës për hartimin e </w:t>
      </w:r>
      <w:r w:rsidR="0087767B">
        <w:rPr>
          <w:rFonts w:ascii="Sylfaen" w:eastAsia="Calibri" w:hAnsi="Sylfaen"/>
          <w:i/>
          <w:noProof/>
          <w:sz w:val="24"/>
          <w:szCs w:val="24"/>
        </w:rPr>
        <w:t xml:space="preserve">draft Udhëzimit Administrativ </w:t>
      </w:r>
      <w:r w:rsidR="0087767B" w:rsidRPr="0087767B">
        <w:rPr>
          <w:rFonts w:ascii="Sylfaen" w:eastAsia="Calibri" w:hAnsi="Sylfaen"/>
          <w:i/>
          <w:noProof/>
          <w:sz w:val="24"/>
          <w:szCs w:val="24"/>
        </w:rPr>
        <w:t>Nr. 00/2018 Për përcaktimin e simboleve  për treguesit gjeografikë, emërtimit  të origjinës dhe specialitetit tradicional të garantuar</w:t>
      </w:r>
      <w:r w:rsidR="0087767B">
        <w:rPr>
          <w:rFonts w:ascii="Sylfaen" w:eastAsia="Calibri" w:hAnsi="Sylfaen"/>
          <w:i/>
          <w:noProof/>
          <w:sz w:val="24"/>
          <w:szCs w:val="24"/>
        </w:rPr>
        <w:t xml:space="preserve">,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ia dërgon projekt aktin normativ drejtorit të departamentit Ligjor të ministrisë përkatëse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hAnsi="Sylfaen"/>
          <w:i/>
          <w:noProof/>
          <w:sz w:val="24"/>
          <w:szCs w:val="24"/>
        </w:rPr>
        <w:t xml:space="preserve">i cili 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nëse nuk ka vërejtje, ia dërgon projekt aktin normativ për shqyrtim dhe miratim Ministrit përkatës përmes Sekretarit të Përgjithshëm të ministrisë përkatës</w:t>
      </w:r>
      <w:r w:rsidR="00CE6A48">
        <w:rPr>
          <w:rFonts w:ascii="Sylfaen" w:eastAsia="Calibri" w:hAnsi="Sylfaen"/>
          <w:i/>
          <w:noProof/>
          <w:sz w:val="24"/>
          <w:szCs w:val="24"/>
        </w:rPr>
        <w:t>e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 w:rsidRPr="00407A62">
        <w:rPr>
          <w:rFonts w:ascii="Sylfaen" w:eastAsia="Calibri" w:hAnsi="Sylfae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407A62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12296F">
        <w:trPr>
          <w:trHeight w:val="510"/>
        </w:trPr>
        <w:tc>
          <w:tcPr>
            <w:tcW w:w="1772" w:type="dxa"/>
          </w:tcPr>
          <w:p w:rsidR="007C4FE1" w:rsidRPr="00407A62" w:rsidRDefault="007C4FE1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440"/>
        </w:trPr>
        <w:tc>
          <w:tcPr>
            <w:tcW w:w="1772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530"/>
        </w:trPr>
        <w:tc>
          <w:tcPr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36" w:rsidRDefault="006A7236" w:rsidP="00531727">
      <w:pPr>
        <w:spacing w:after="0" w:line="240" w:lineRule="auto"/>
      </w:pPr>
      <w:r>
        <w:separator/>
      </w:r>
    </w:p>
    <w:p w:rsidR="006A7236" w:rsidRDefault="006A7236"/>
  </w:endnote>
  <w:endnote w:type="continuationSeparator" w:id="0">
    <w:p w:rsidR="006A7236" w:rsidRDefault="006A7236" w:rsidP="00531727">
      <w:pPr>
        <w:spacing w:after="0" w:line="240" w:lineRule="auto"/>
      </w:pPr>
      <w:r>
        <w:continuationSeparator/>
      </w:r>
    </w:p>
    <w:p w:rsidR="006A7236" w:rsidRDefault="006A7236"/>
  </w:endnote>
  <w:endnote w:type="continuationNotice" w:id="1">
    <w:p w:rsidR="006A7236" w:rsidRDefault="006A7236">
      <w:pPr>
        <w:spacing w:after="0" w:line="240" w:lineRule="auto"/>
      </w:pPr>
    </w:p>
    <w:p w:rsidR="006A7236" w:rsidRDefault="006A7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36" w:rsidRDefault="006A7236" w:rsidP="00531727">
      <w:pPr>
        <w:spacing w:after="0" w:line="240" w:lineRule="auto"/>
      </w:pPr>
      <w:r>
        <w:separator/>
      </w:r>
    </w:p>
    <w:p w:rsidR="006A7236" w:rsidRDefault="006A7236"/>
  </w:footnote>
  <w:footnote w:type="continuationSeparator" w:id="0">
    <w:p w:rsidR="006A7236" w:rsidRDefault="006A7236" w:rsidP="00531727">
      <w:pPr>
        <w:spacing w:after="0" w:line="240" w:lineRule="auto"/>
      </w:pPr>
      <w:r>
        <w:continuationSeparator/>
      </w:r>
    </w:p>
    <w:p w:rsidR="006A7236" w:rsidRDefault="006A7236"/>
  </w:footnote>
  <w:footnote w:type="continuationNotice" w:id="1">
    <w:p w:rsidR="006A7236" w:rsidRDefault="006A7236">
      <w:pPr>
        <w:spacing w:after="0" w:line="240" w:lineRule="auto"/>
      </w:pPr>
    </w:p>
    <w:p w:rsidR="006A7236" w:rsidRDefault="006A72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37ED"/>
    <w:rsid w:val="000E4FD6"/>
    <w:rsid w:val="000F44AD"/>
    <w:rsid w:val="000F70DA"/>
    <w:rsid w:val="00101EA6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B6C8F"/>
    <w:rsid w:val="001C0221"/>
    <w:rsid w:val="001C15B5"/>
    <w:rsid w:val="001C2CDC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97A3E"/>
    <w:rsid w:val="002A0328"/>
    <w:rsid w:val="002A2B35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2A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7642A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43D3"/>
    <w:rsid w:val="00635934"/>
    <w:rsid w:val="006364B0"/>
    <w:rsid w:val="00644627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0056"/>
    <w:rsid w:val="00692F7C"/>
    <w:rsid w:val="0069590D"/>
    <w:rsid w:val="006A14E5"/>
    <w:rsid w:val="006A7236"/>
    <w:rsid w:val="006B2EAD"/>
    <w:rsid w:val="006B3B54"/>
    <w:rsid w:val="006B3B67"/>
    <w:rsid w:val="006C4846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7767B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15291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E5A3B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5F28-37FA-42E4-A035-FA3E8AD9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Selvie Çeku</cp:lastModifiedBy>
  <cp:revision>17</cp:revision>
  <cp:lastPrinted>2016-02-18T09:50:00Z</cp:lastPrinted>
  <dcterms:created xsi:type="dcterms:W3CDTF">2018-06-20T07:13:00Z</dcterms:created>
  <dcterms:modified xsi:type="dcterms:W3CDTF">2018-08-27T12:47:00Z</dcterms:modified>
</cp:coreProperties>
</file>