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8" w:type="dxa"/>
        <w:tblLook w:val="01E0" w:firstRow="1" w:lastRow="1" w:firstColumn="1" w:lastColumn="1" w:noHBand="0" w:noVBand="0"/>
      </w:tblPr>
      <w:tblGrid>
        <w:gridCol w:w="9648"/>
      </w:tblGrid>
      <w:tr w:rsidR="000C3952" w:rsidRPr="00CA446A" w:rsidTr="006D0061">
        <w:trPr>
          <w:trHeight w:val="993"/>
        </w:trPr>
        <w:tc>
          <w:tcPr>
            <w:tcW w:w="9648" w:type="dxa"/>
            <w:vAlign w:val="center"/>
          </w:tcPr>
          <w:p w:rsidR="000C3952" w:rsidRPr="00CA446A" w:rsidRDefault="000C3952" w:rsidP="006D0061">
            <w:pPr>
              <w:spacing w:line="276" w:lineRule="auto"/>
              <w:jc w:val="center"/>
              <w:rPr>
                <w:rFonts w:ascii="Sylfaen" w:eastAsia="MS Mincho" w:hAnsi="Sylfaen" w:cs="Book Antiqua"/>
                <w:sz w:val="22"/>
                <w:szCs w:val="22"/>
                <w:lang w:val="sq-AL"/>
              </w:rPr>
            </w:pPr>
          </w:p>
          <w:p w:rsidR="000C3952" w:rsidRPr="00CA446A" w:rsidRDefault="000C3952" w:rsidP="006D0061">
            <w:pPr>
              <w:spacing w:line="276" w:lineRule="auto"/>
              <w:jc w:val="center"/>
              <w:rPr>
                <w:rFonts w:ascii="Sylfaen" w:hAnsi="Sylfaen"/>
                <w:b/>
                <w:bCs/>
                <w:sz w:val="22"/>
                <w:szCs w:val="22"/>
                <w:lang w:val="sq-AL"/>
              </w:rPr>
            </w:pPr>
          </w:p>
        </w:tc>
      </w:tr>
      <w:tr w:rsidR="000C3952" w:rsidRPr="00CA446A" w:rsidTr="006D0061">
        <w:tc>
          <w:tcPr>
            <w:tcW w:w="9648" w:type="dxa"/>
            <w:vAlign w:val="center"/>
          </w:tcPr>
          <w:p w:rsidR="000C3952" w:rsidRPr="00537E4F" w:rsidRDefault="000C3952" w:rsidP="006D0061">
            <w:pPr>
              <w:tabs>
                <w:tab w:val="left" w:pos="180"/>
              </w:tabs>
              <w:jc w:val="center"/>
              <w:rPr>
                <w:rFonts w:ascii="Times New Roman" w:eastAsia="Batang" w:hAnsi="Times New Roman"/>
                <w:b/>
                <w:bCs/>
              </w:rPr>
            </w:pPr>
            <w:proofErr w:type="spellStart"/>
            <w:r w:rsidRPr="00537E4F">
              <w:rPr>
                <w:rFonts w:ascii="Times New Roman" w:hAnsi="Times New Roman"/>
                <w:b/>
                <w:bCs/>
              </w:rPr>
              <w:t>Republika</w:t>
            </w:r>
            <w:proofErr w:type="spellEnd"/>
            <w:r w:rsidRPr="00537E4F">
              <w:rPr>
                <w:rFonts w:ascii="Times New Roman" w:hAnsi="Times New Roman"/>
                <w:b/>
                <w:bCs/>
              </w:rPr>
              <w:t xml:space="preserve"> e </w:t>
            </w:r>
            <w:proofErr w:type="spellStart"/>
            <w:r w:rsidRPr="00537E4F">
              <w:rPr>
                <w:rFonts w:ascii="Times New Roman" w:hAnsi="Times New Roman"/>
                <w:b/>
                <w:bCs/>
              </w:rPr>
              <w:t>Kosovës</w:t>
            </w:r>
            <w:proofErr w:type="spellEnd"/>
          </w:p>
          <w:p w:rsidR="000C3952" w:rsidRPr="00CA446A" w:rsidRDefault="000C3952" w:rsidP="006D0061">
            <w:pPr>
              <w:tabs>
                <w:tab w:val="left" w:pos="180"/>
              </w:tabs>
              <w:jc w:val="center"/>
              <w:rPr>
                <w:rFonts w:ascii="Times New Roman" w:eastAsia="MS Mincho" w:hAnsi="Times New Roman"/>
                <w:b/>
                <w:bCs/>
                <w:sz w:val="20"/>
                <w:szCs w:val="20"/>
              </w:rPr>
            </w:pPr>
            <w:proofErr w:type="spellStart"/>
            <w:r w:rsidRPr="00CA446A">
              <w:rPr>
                <w:rFonts w:ascii="Times New Roman" w:eastAsia="Batang" w:hAnsi="Times New Roman"/>
                <w:b/>
                <w:bCs/>
                <w:sz w:val="20"/>
                <w:szCs w:val="20"/>
              </w:rPr>
              <w:t>Republika</w:t>
            </w:r>
            <w:proofErr w:type="spellEnd"/>
            <w:r w:rsidRPr="00CA446A">
              <w:rPr>
                <w:rFonts w:ascii="Times New Roman" w:eastAsia="Batang" w:hAnsi="Times New Roman"/>
                <w:b/>
                <w:bCs/>
                <w:sz w:val="20"/>
                <w:szCs w:val="20"/>
              </w:rPr>
              <w:t xml:space="preserve"> </w:t>
            </w:r>
            <w:proofErr w:type="spellStart"/>
            <w:r w:rsidRPr="00CA446A">
              <w:rPr>
                <w:rFonts w:ascii="Times New Roman" w:eastAsia="Batang" w:hAnsi="Times New Roman"/>
                <w:b/>
                <w:bCs/>
                <w:sz w:val="20"/>
                <w:szCs w:val="20"/>
              </w:rPr>
              <w:t>Kosova</w:t>
            </w:r>
            <w:proofErr w:type="spellEnd"/>
            <w:r w:rsidRPr="00CA446A">
              <w:rPr>
                <w:rFonts w:ascii="Times New Roman" w:eastAsia="Batang" w:hAnsi="Times New Roman"/>
                <w:b/>
                <w:bCs/>
                <w:sz w:val="20"/>
                <w:szCs w:val="20"/>
              </w:rPr>
              <w:t>-</w:t>
            </w:r>
            <w:r w:rsidRPr="00CA446A">
              <w:rPr>
                <w:rFonts w:ascii="Times New Roman" w:hAnsi="Times New Roman"/>
                <w:b/>
                <w:bCs/>
                <w:sz w:val="20"/>
                <w:szCs w:val="20"/>
              </w:rPr>
              <w:t>Republic of Kosovo</w:t>
            </w:r>
          </w:p>
          <w:p w:rsidR="000C3952" w:rsidRPr="00537E4F" w:rsidRDefault="000C3952" w:rsidP="006D0061">
            <w:pPr>
              <w:tabs>
                <w:tab w:val="left" w:pos="180"/>
              </w:tabs>
              <w:jc w:val="center"/>
              <w:rPr>
                <w:rFonts w:ascii="Times New Roman" w:hAnsi="Times New Roman"/>
                <w:b/>
                <w:bCs/>
                <w:i/>
                <w:iCs/>
              </w:rPr>
            </w:pPr>
            <w:proofErr w:type="spellStart"/>
            <w:r>
              <w:rPr>
                <w:rFonts w:ascii="Times New Roman" w:hAnsi="Times New Roman"/>
                <w:b/>
                <w:bCs/>
                <w:i/>
                <w:iCs/>
              </w:rPr>
              <w:t>Qeveria</w:t>
            </w:r>
            <w:proofErr w:type="spellEnd"/>
            <w:r w:rsidRPr="00CA446A">
              <w:rPr>
                <w:rFonts w:ascii="Times New Roman" w:hAnsi="Times New Roman"/>
                <w:b/>
                <w:bCs/>
                <w:i/>
                <w:iCs/>
                <w:sz w:val="20"/>
                <w:szCs w:val="20"/>
              </w:rPr>
              <w:t>–</w:t>
            </w:r>
            <w:proofErr w:type="spellStart"/>
            <w:r w:rsidRPr="00CA446A">
              <w:rPr>
                <w:rFonts w:ascii="Times New Roman" w:hAnsi="Times New Roman"/>
                <w:b/>
                <w:bCs/>
                <w:i/>
                <w:iCs/>
                <w:sz w:val="20"/>
                <w:szCs w:val="20"/>
              </w:rPr>
              <w:t>Vlada</w:t>
            </w:r>
            <w:proofErr w:type="spellEnd"/>
            <w:r w:rsidRPr="00CA446A">
              <w:rPr>
                <w:rFonts w:ascii="Times New Roman" w:hAnsi="Times New Roman"/>
                <w:b/>
                <w:bCs/>
                <w:i/>
                <w:iCs/>
                <w:sz w:val="20"/>
                <w:szCs w:val="20"/>
              </w:rPr>
              <w:t>-Government</w:t>
            </w:r>
          </w:p>
          <w:p w:rsidR="000C3952" w:rsidRDefault="000C3952" w:rsidP="006D0061">
            <w:pPr>
              <w:tabs>
                <w:tab w:val="left" w:pos="180"/>
              </w:tabs>
              <w:jc w:val="center"/>
              <w:rPr>
                <w:rFonts w:ascii="Sylfaen" w:eastAsia="MS Mincho" w:hAnsi="Sylfaen" w:cs="Book Antiqua"/>
                <w:sz w:val="22"/>
                <w:szCs w:val="22"/>
                <w:u w:val="single"/>
                <w:lang w:val="sq-AL"/>
              </w:rPr>
            </w:pPr>
          </w:p>
          <w:p w:rsidR="000C3952" w:rsidRDefault="000C3952" w:rsidP="006D0061">
            <w:pPr>
              <w:tabs>
                <w:tab w:val="left" w:pos="180"/>
              </w:tabs>
              <w:jc w:val="center"/>
              <w:rPr>
                <w:rFonts w:ascii="Sylfaen" w:eastAsia="MS Mincho" w:hAnsi="Sylfaen" w:cs="Book Antiqua"/>
                <w:sz w:val="22"/>
                <w:szCs w:val="22"/>
                <w:u w:val="single"/>
                <w:lang w:val="sq-AL"/>
              </w:rPr>
            </w:pPr>
          </w:p>
          <w:p w:rsidR="000C3952" w:rsidRPr="00CA446A" w:rsidRDefault="000C3952" w:rsidP="006D0061">
            <w:pPr>
              <w:tabs>
                <w:tab w:val="left" w:pos="180"/>
              </w:tabs>
              <w:jc w:val="center"/>
              <w:rPr>
                <w:rFonts w:ascii="Sylfaen" w:eastAsia="MS Mincho" w:hAnsi="Sylfaen" w:cs="Book Antiqua"/>
                <w:sz w:val="22"/>
                <w:szCs w:val="22"/>
                <w:u w:val="single"/>
                <w:lang w:val="sq-AL"/>
              </w:rPr>
            </w:pPr>
          </w:p>
        </w:tc>
      </w:tr>
    </w:tbl>
    <w:p w:rsidR="000C3952" w:rsidRPr="00E10B81" w:rsidRDefault="000C3952" w:rsidP="000C3952">
      <w:pPr>
        <w:jc w:val="center"/>
        <w:rPr>
          <w:rFonts w:ascii="Times New Roman" w:hAnsi="Times New Roman" w:cs="Times New Roman"/>
          <w:b/>
          <w:lang w:val="sq-AL"/>
        </w:rPr>
      </w:pPr>
      <w:r w:rsidRPr="00E10B81">
        <w:rPr>
          <w:rFonts w:ascii="Times New Roman" w:eastAsia="MS Mincho" w:hAnsi="Times New Roman" w:cs="Times New Roman"/>
          <w:noProof/>
          <w:lang w:val="en-US"/>
        </w:rPr>
        <w:drawing>
          <wp:anchor distT="0" distB="0" distL="114300" distR="114300" simplePos="0" relativeHeight="251659264" behindDoc="1" locked="0" layoutInCell="1" allowOverlap="1" wp14:anchorId="35EAA51F" wp14:editId="05CD6F5B">
            <wp:simplePos x="0" y="0"/>
            <wp:positionH relativeFrom="column">
              <wp:posOffset>2649220</wp:posOffset>
            </wp:positionH>
            <wp:positionV relativeFrom="paragraph">
              <wp:posOffset>-2058035</wp:posOffset>
            </wp:positionV>
            <wp:extent cx="838200" cy="928370"/>
            <wp:effectExtent l="0" t="0" r="0" b="508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838200" cy="928370"/>
                    </a:xfrm>
                    <a:prstGeom prst="rect">
                      <a:avLst/>
                    </a:prstGeom>
                    <a:noFill/>
                  </pic:spPr>
                </pic:pic>
              </a:graphicData>
            </a:graphic>
            <wp14:sizeRelH relativeFrom="margin">
              <wp14:pctWidth>0</wp14:pctWidth>
            </wp14:sizeRelH>
            <wp14:sizeRelV relativeFrom="margin">
              <wp14:pctHeight>0</wp14:pctHeight>
            </wp14:sizeRelV>
          </wp:anchor>
        </w:drawing>
      </w:r>
      <w:r w:rsidRPr="00E10B81">
        <w:rPr>
          <w:rFonts w:ascii="Times New Roman" w:hAnsi="Times New Roman" w:cs="Times New Roman"/>
          <w:b/>
          <w:bCs/>
          <w:smallCaps/>
          <w:lang w:val="sq-AL"/>
        </w:rPr>
        <w:t xml:space="preserve">RAPORT NGA PROCESI I KONSULTIMIT PUBLIK PËR </w:t>
      </w:r>
      <w:r w:rsidRPr="00E10B81">
        <w:rPr>
          <w:rFonts w:ascii="Times New Roman" w:hAnsi="Times New Roman" w:cs="Times New Roman"/>
          <w:b/>
          <w:lang w:val="sq-AL"/>
        </w:rPr>
        <w:t>PROJEKTUDHËZIMIN ADMINISTRATIV PËR MËNYRËN DHE PROCEDURAT E VLERËSIMIT TË AFTËSISË PËR PUNË TË PERSONAVE ME AFTËSI TË KUFIZUARA</w:t>
      </w:r>
    </w:p>
    <w:p w:rsidR="00550565" w:rsidRDefault="00550565" w:rsidP="000C3952"/>
    <w:p w:rsidR="000C3952" w:rsidRDefault="000C3952" w:rsidP="000C3952"/>
    <w:p w:rsidR="000C3952" w:rsidRPr="000C3952" w:rsidRDefault="000C3952" w:rsidP="000C3952">
      <w:pPr>
        <w:jc w:val="center"/>
        <w:rPr>
          <w:rFonts w:ascii="Times New Roman" w:hAnsi="Times New Roman" w:cs="Times New Roman"/>
          <w:b/>
          <w:lang w:val="sq-AL"/>
        </w:rPr>
      </w:pPr>
      <w:r w:rsidRPr="000C3952">
        <w:rPr>
          <w:rFonts w:ascii="Times New Roman" w:hAnsi="Times New Roman" w:cs="Times New Roman"/>
          <w:b/>
          <w:lang w:val="sq-AL"/>
        </w:rPr>
        <w:t>Hyrja/sfondi</w:t>
      </w:r>
    </w:p>
    <w:p w:rsidR="000C3952" w:rsidRPr="000C3952" w:rsidRDefault="000C3952" w:rsidP="000C3952">
      <w:pPr>
        <w:jc w:val="center"/>
        <w:rPr>
          <w:rFonts w:ascii="Sylfaen" w:hAnsi="Sylfaen"/>
          <w:b/>
          <w:lang w:val="sq-AL"/>
        </w:rPr>
      </w:pPr>
    </w:p>
    <w:p w:rsidR="000C3952" w:rsidRPr="000C3952" w:rsidRDefault="000C3952" w:rsidP="007F34B0">
      <w:pPr>
        <w:autoSpaceDE w:val="0"/>
        <w:autoSpaceDN w:val="0"/>
        <w:adjustRightInd w:val="0"/>
        <w:jc w:val="both"/>
        <w:rPr>
          <w:rFonts w:ascii="Times New Roman" w:eastAsia="MS Mincho" w:hAnsi="Times New Roman" w:cs="Times New Roman"/>
          <w:lang w:val="sq-AL"/>
        </w:rPr>
      </w:pPr>
      <w:r w:rsidRPr="000C3952">
        <w:rPr>
          <w:rFonts w:ascii="Times New Roman" w:hAnsi="Times New Roman" w:cs="Times New Roman"/>
          <w:lang w:val="sq-AL"/>
        </w:rPr>
        <w:t xml:space="preserve">Projektudhëzimi </w:t>
      </w:r>
      <w:r w:rsidR="007F34B0">
        <w:rPr>
          <w:rFonts w:ascii="Times New Roman" w:hAnsi="Times New Roman" w:cs="Times New Roman"/>
          <w:lang w:val="sq-AL"/>
        </w:rPr>
        <w:t>A</w:t>
      </w:r>
      <w:r w:rsidRPr="000C3952">
        <w:rPr>
          <w:rFonts w:ascii="Times New Roman" w:hAnsi="Times New Roman" w:cs="Times New Roman"/>
          <w:lang w:val="sq-AL"/>
        </w:rPr>
        <w:t xml:space="preserve">dministrativ për mënyrën dhe procedurat e vlerësimit të aftësisë për punë të personave me aftësi të kufizuara, </w:t>
      </w:r>
      <w:r w:rsidRPr="000C3952">
        <w:rPr>
          <w:rFonts w:ascii="Times New Roman" w:eastAsia="MS Mincho" w:hAnsi="Times New Roman" w:cs="Times New Roman"/>
          <w:lang w:val="sq-AL"/>
        </w:rPr>
        <w:t xml:space="preserve">rregullon dhe përcakton mënyrën dhe procedurat e vlerësimit të aftësisë për punë të personave me aftësi të kufizuara, për përcaktimin e njohjes së të drejtave në aftësim, riaftësim dhe punësim. </w:t>
      </w:r>
    </w:p>
    <w:p w:rsidR="000C3952" w:rsidRPr="000C3952" w:rsidRDefault="000C3952" w:rsidP="000C3952">
      <w:pPr>
        <w:jc w:val="center"/>
        <w:rPr>
          <w:rFonts w:ascii="Times New Roman" w:eastAsia="MS Mincho" w:hAnsi="Times New Roman" w:cs="Times New Roman"/>
          <w:b/>
          <w:lang w:val="sq-AL"/>
        </w:rPr>
      </w:pPr>
    </w:p>
    <w:p w:rsidR="000C3952" w:rsidRPr="000C3952" w:rsidRDefault="000C3952" w:rsidP="000C3952">
      <w:pPr>
        <w:jc w:val="both"/>
        <w:rPr>
          <w:rFonts w:ascii="Times New Roman" w:hAnsi="Times New Roman"/>
          <w:lang w:val="sq-AL"/>
        </w:rPr>
      </w:pPr>
    </w:p>
    <w:p w:rsidR="000C3952" w:rsidRPr="000C3952" w:rsidRDefault="000C3952" w:rsidP="006413DC">
      <w:pPr>
        <w:jc w:val="both"/>
        <w:rPr>
          <w:rFonts w:ascii="Times New Roman" w:hAnsi="Times New Roman"/>
          <w:lang w:val="sq-AL"/>
        </w:rPr>
      </w:pPr>
      <w:r w:rsidRPr="000C3952">
        <w:rPr>
          <w:rFonts w:ascii="Times New Roman" w:hAnsi="Times New Roman"/>
          <w:lang w:val="sq-AL"/>
        </w:rPr>
        <w:t>Ministria e Punës dhe Mirëqenies Sociale me  këtë Udhëzim Administrativ do të  kompletoj</w:t>
      </w:r>
      <w:r w:rsidR="007F34B0">
        <w:rPr>
          <w:rFonts w:ascii="Times New Roman" w:hAnsi="Times New Roman"/>
          <w:lang w:val="sq-AL"/>
        </w:rPr>
        <w:t>ë</w:t>
      </w:r>
      <w:r w:rsidRPr="000C3952">
        <w:rPr>
          <w:rFonts w:ascii="Times New Roman" w:hAnsi="Times New Roman"/>
          <w:lang w:val="sq-AL"/>
        </w:rPr>
        <w:t xml:space="preserve">  pakon e akteve nënligjore të përcaktuara </w:t>
      </w:r>
      <w:r w:rsidRPr="000C3952">
        <w:rPr>
          <w:rFonts w:ascii="Times New Roman" w:hAnsi="Times New Roman" w:cs="Times New Roman"/>
          <w:lang w:val="sq-AL"/>
        </w:rPr>
        <w:t>n</w:t>
      </w:r>
      <w:r w:rsidR="007F34B0">
        <w:rPr>
          <w:rFonts w:ascii="Times New Roman" w:hAnsi="Times New Roman" w:cs="Times New Roman"/>
          <w:lang w:val="sq-AL"/>
        </w:rPr>
        <w:t>ë</w:t>
      </w:r>
      <w:r w:rsidRPr="000C3952">
        <w:rPr>
          <w:rFonts w:ascii="Times New Roman" w:hAnsi="Times New Roman" w:cs="Times New Roman"/>
          <w:lang w:val="sq-AL"/>
        </w:rPr>
        <w:t xml:space="preserve"> Ligjin Nr. 03 / L – 019 për aftësimin, riaftësimin profesional</w:t>
      </w:r>
      <w:r w:rsidR="007F34B0">
        <w:rPr>
          <w:rFonts w:ascii="Times New Roman" w:hAnsi="Times New Roman" w:cs="Times New Roman"/>
          <w:lang w:val="sq-AL"/>
        </w:rPr>
        <w:t>,</w:t>
      </w:r>
      <w:r w:rsidRPr="000C3952">
        <w:rPr>
          <w:rFonts w:ascii="Times New Roman" w:hAnsi="Times New Roman" w:cs="Times New Roman"/>
          <w:lang w:val="sq-AL"/>
        </w:rPr>
        <w:t xml:space="preserve"> si dhe punësimin e personave me aftësi të kufizuara</w:t>
      </w:r>
      <w:r w:rsidRPr="000C3952">
        <w:rPr>
          <w:rFonts w:ascii="Times New Roman" w:eastAsia="Calibri" w:hAnsi="Times New Roman" w:cs="Times New Roman"/>
          <w:lang w:val="sq-AL"/>
        </w:rPr>
        <w:t xml:space="preserve">, i ndryshuar dhe plotësuar me </w:t>
      </w:r>
      <w:r w:rsidRPr="000C3952">
        <w:rPr>
          <w:rFonts w:ascii="Times New Roman" w:hAnsi="Times New Roman"/>
          <w:lang w:val="sq-AL"/>
        </w:rPr>
        <w:t xml:space="preserve"> Ligjin </w:t>
      </w:r>
      <w:r w:rsidRPr="000C3952">
        <w:rPr>
          <w:rFonts w:ascii="Times New Roman" w:hAnsi="Times New Roman" w:cs="Times New Roman"/>
          <w:lang w:val="sq-AL"/>
        </w:rPr>
        <w:t xml:space="preserve">Nr. 05 / L – 078. Përmes këtij </w:t>
      </w:r>
      <w:r w:rsidR="006413DC">
        <w:rPr>
          <w:rFonts w:ascii="Times New Roman" w:hAnsi="Times New Roman" w:cs="Times New Roman"/>
          <w:lang w:val="sq-AL"/>
        </w:rPr>
        <w:t>U</w:t>
      </w:r>
      <w:r w:rsidRPr="000C3952">
        <w:rPr>
          <w:rFonts w:ascii="Times New Roman" w:hAnsi="Times New Roman" w:cs="Times New Roman"/>
          <w:lang w:val="sq-AL"/>
        </w:rPr>
        <w:t>dhëzimi, synohet të rregullohen me deta</w:t>
      </w:r>
      <w:r w:rsidR="006413DC">
        <w:rPr>
          <w:rFonts w:ascii="Times New Roman" w:hAnsi="Times New Roman" w:cs="Times New Roman"/>
          <w:lang w:val="sq-AL"/>
        </w:rPr>
        <w:t>j</w:t>
      </w:r>
      <w:r w:rsidRPr="000C3952">
        <w:rPr>
          <w:rFonts w:ascii="Times New Roman" w:hAnsi="Times New Roman" w:cs="Times New Roman"/>
          <w:lang w:val="sq-AL"/>
        </w:rPr>
        <w:t xml:space="preserve">isht procedurat e aplikimit, mënyra e </w:t>
      </w:r>
      <w:r w:rsidR="006413DC" w:rsidRPr="000C3952">
        <w:rPr>
          <w:rFonts w:ascii="Times New Roman" w:hAnsi="Times New Roman" w:cs="Times New Roman"/>
          <w:lang w:val="sq-AL"/>
        </w:rPr>
        <w:t>vlerësimit</w:t>
      </w:r>
      <w:r w:rsidRPr="000C3952">
        <w:rPr>
          <w:rFonts w:ascii="Times New Roman" w:hAnsi="Times New Roman" w:cs="Times New Roman"/>
          <w:lang w:val="sq-AL"/>
        </w:rPr>
        <w:t xml:space="preserve"> të shkallës së </w:t>
      </w:r>
      <w:r w:rsidR="006413DC" w:rsidRPr="000C3952">
        <w:rPr>
          <w:rFonts w:ascii="Times New Roman" w:hAnsi="Times New Roman" w:cs="Times New Roman"/>
          <w:lang w:val="sq-AL"/>
        </w:rPr>
        <w:t>aftësisë</w:t>
      </w:r>
      <w:r w:rsidRPr="000C3952">
        <w:rPr>
          <w:rFonts w:ascii="Times New Roman" w:hAnsi="Times New Roman" w:cs="Times New Roman"/>
          <w:lang w:val="sq-AL"/>
        </w:rPr>
        <w:t xml:space="preserve"> së mbetur për punë, përcaktimi i organeve përgjegjëse dhe </w:t>
      </w:r>
      <w:r w:rsidR="006413DC" w:rsidRPr="000C3952">
        <w:rPr>
          <w:rFonts w:ascii="Times New Roman" w:hAnsi="Times New Roman" w:cs="Times New Roman"/>
          <w:lang w:val="sq-AL"/>
        </w:rPr>
        <w:t>çështje</w:t>
      </w:r>
      <w:r w:rsidRPr="000C3952">
        <w:rPr>
          <w:rFonts w:ascii="Times New Roman" w:hAnsi="Times New Roman" w:cs="Times New Roman"/>
          <w:lang w:val="sq-AL"/>
        </w:rPr>
        <w:t xml:space="preserve"> tjera të kësaj natyre. Me këtë </w:t>
      </w:r>
      <w:r w:rsidR="006413DC">
        <w:rPr>
          <w:rFonts w:ascii="Times New Roman" w:hAnsi="Times New Roman" w:cs="Times New Roman"/>
          <w:lang w:val="sq-AL"/>
        </w:rPr>
        <w:t>U</w:t>
      </w:r>
      <w:r w:rsidRPr="000C3952">
        <w:rPr>
          <w:rFonts w:ascii="Times New Roman" w:hAnsi="Times New Roman" w:cs="Times New Roman"/>
          <w:lang w:val="sq-AL"/>
        </w:rPr>
        <w:t>dhëzim, synojmë të krijojmë nj</w:t>
      </w:r>
      <w:r w:rsidR="006413DC">
        <w:rPr>
          <w:rFonts w:ascii="Times New Roman" w:hAnsi="Times New Roman" w:cs="Times New Roman"/>
          <w:lang w:val="sq-AL"/>
        </w:rPr>
        <w:t>ë</w:t>
      </w:r>
      <w:r w:rsidRPr="000C3952">
        <w:rPr>
          <w:rFonts w:ascii="Times New Roman" w:hAnsi="Times New Roman" w:cs="Times New Roman"/>
          <w:lang w:val="sq-AL"/>
        </w:rPr>
        <w:t xml:space="preserve"> s</w:t>
      </w:r>
      <w:r w:rsidR="006413DC">
        <w:rPr>
          <w:rFonts w:ascii="Times New Roman" w:hAnsi="Times New Roman" w:cs="Times New Roman"/>
          <w:lang w:val="sq-AL"/>
        </w:rPr>
        <w:t>i</w:t>
      </w:r>
      <w:r w:rsidRPr="000C3952">
        <w:rPr>
          <w:rFonts w:ascii="Times New Roman" w:hAnsi="Times New Roman" w:cs="Times New Roman"/>
          <w:lang w:val="sq-AL"/>
        </w:rPr>
        <w:t>stem mbi punësimin e PAK</w:t>
      </w:r>
      <w:r w:rsidR="006413DC">
        <w:rPr>
          <w:rFonts w:ascii="Times New Roman" w:hAnsi="Times New Roman" w:cs="Times New Roman"/>
          <w:lang w:val="sq-AL"/>
        </w:rPr>
        <w:t>-së</w:t>
      </w:r>
      <w:r w:rsidRPr="000C3952">
        <w:rPr>
          <w:rFonts w:ascii="Times New Roman" w:hAnsi="Times New Roman" w:cs="Times New Roman"/>
          <w:lang w:val="sq-AL"/>
        </w:rPr>
        <w:t xml:space="preserve">,  duke </w:t>
      </w:r>
      <w:r w:rsidRPr="000C3952">
        <w:rPr>
          <w:rFonts w:ascii="Times New Roman" w:hAnsi="Times New Roman"/>
          <w:lang w:val="sq-AL"/>
        </w:rPr>
        <w:t>promovu</w:t>
      </w:r>
      <w:r w:rsidR="006413DC">
        <w:rPr>
          <w:rFonts w:ascii="Times New Roman" w:hAnsi="Times New Roman"/>
          <w:lang w:val="sq-AL"/>
        </w:rPr>
        <w:t>a</w:t>
      </w:r>
      <w:r w:rsidRPr="000C3952">
        <w:rPr>
          <w:rFonts w:ascii="Times New Roman" w:hAnsi="Times New Roman"/>
          <w:lang w:val="sq-AL"/>
        </w:rPr>
        <w:t xml:space="preserve">r punësimin e  tyre  dhe  krijimin e mundësive të barabarta në tregun e punës për të gjithë këtë kategori. </w:t>
      </w:r>
    </w:p>
    <w:p w:rsidR="000C3952" w:rsidRPr="000C3952" w:rsidRDefault="000C3952" w:rsidP="000C3952">
      <w:pPr>
        <w:jc w:val="both"/>
        <w:rPr>
          <w:rFonts w:ascii="Times New Roman" w:eastAsia="Calibri" w:hAnsi="Times New Roman" w:cs="Times New Roman"/>
          <w:lang w:val="sq-AL"/>
        </w:rPr>
      </w:pPr>
      <w:r w:rsidRPr="000C3952">
        <w:rPr>
          <w:rFonts w:ascii="Times New Roman" w:eastAsia="Calibri" w:hAnsi="Times New Roman" w:cs="Times New Roman"/>
          <w:lang w:val="sq-AL"/>
        </w:rPr>
        <w:t xml:space="preserve"> </w:t>
      </w:r>
    </w:p>
    <w:p w:rsidR="000C3952" w:rsidRPr="000C3952" w:rsidRDefault="000C3952" w:rsidP="006413DC">
      <w:pPr>
        <w:jc w:val="both"/>
        <w:rPr>
          <w:i/>
          <w:lang w:val="sq-AL" w:eastAsia="en-GB"/>
        </w:rPr>
      </w:pPr>
      <w:r w:rsidRPr="000C3952">
        <w:rPr>
          <w:rFonts w:ascii="Times New Roman" w:eastAsia="Calibri" w:hAnsi="Times New Roman" w:cs="Times New Roman"/>
          <w:lang w:val="sq-AL"/>
        </w:rPr>
        <w:t>Me qëllim të përfshirjes së të gjithë akt</w:t>
      </w:r>
      <w:r w:rsidR="006413DC">
        <w:rPr>
          <w:rFonts w:ascii="Times New Roman" w:eastAsia="Calibri" w:hAnsi="Times New Roman" w:cs="Times New Roman"/>
          <w:lang w:val="sq-AL"/>
        </w:rPr>
        <w:t>o</w:t>
      </w:r>
      <w:r w:rsidRPr="000C3952">
        <w:rPr>
          <w:rFonts w:ascii="Times New Roman" w:eastAsia="Calibri" w:hAnsi="Times New Roman" w:cs="Times New Roman"/>
          <w:lang w:val="sq-AL"/>
        </w:rPr>
        <w:t xml:space="preserve">rëve, pas hartimit të draftit të parë të </w:t>
      </w:r>
      <w:r w:rsidRPr="000C3952">
        <w:rPr>
          <w:rFonts w:ascii="Times New Roman" w:hAnsi="Times New Roman" w:cs="Times New Roman"/>
          <w:lang w:val="sq-AL"/>
        </w:rPr>
        <w:t>Projektudhëzimi</w:t>
      </w:r>
      <w:r w:rsidR="006413DC">
        <w:rPr>
          <w:rFonts w:ascii="Times New Roman" w:hAnsi="Times New Roman" w:cs="Times New Roman"/>
          <w:lang w:val="sq-AL"/>
        </w:rPr>
        <w:t>t</w:t>
      </w:r>
      <w:r w:rsidRPr="000C3952">
        <w:rPr>
          <w:rFonts w:ascii="Times New Roman" w:hAnsi="Times New Roman" w:cs="Times New Roman"/>
          <w:lang w:val="sq-AL"/>
        </w:rPr>
        <w:t xml:space="preserve"> </w:t>
      </w:r>
      <w:r w:rsidR="006413DC">
        <w:rPr>
          <w:rFonts w:ascii="Times New Roman" w:hAnsi="Times New Roman" w:cs="Times New Roman"/>
          <w:lang w:val="sq-AL"/>
        </w:rPr>
        <w:t>A</w:t>
      </w:r>
      <w:r w:rsidRPr="000C3952">
        <w:rPr>
          <w:rFonts w:ascii="Times New Roman" w:hAnsi="Times New Roman" w:cs="Times New Roman"/>
          <w:lang w:val="sq-AL"/>
        </w:rPr>
        <w:t>dministrativ për mënyrën dhe procedurat e vlerësimit të aftësisë për punë të personave me aftësi të kufizuara, drafti është dërguar për konsultime paraprake tek institucionet shtetërore, në konsul</w:t>
      </w:r>
      <w:r w:rsidR="006413DC">
        <w:rPr>
          <w:rFonts w:ascii="Times New Roman" w:hAnsi="Times New Roman" w:cs="Times New Roman"/>
          <w:lang w:val="sq-AL"/>
        </w:rPr>
        <w:t>t</w:t>
      </w:r>
      <w:r w:rsidRPr="000C3952">
        <w:rPr>
          <w:rFonts w:ascii="Times New Roman" w:hAnsi="Times New Roman" w:cs="Times New Roman"/>
          <w:lang w:val="sq-AL"/>
        </w:rPr>
        <w:t>ime publike tek shoqatat e personave me aftësi të kufizuar</w:t>
      </w:r>
      <w:r w:rsidR="006413DC">
        <w:rPr>
          <w:rFonts w:ascii="Times New Roman" w:hAnsi="Times New Roman" w:cs="Times New Roman"/>
          <w:lang w:val="sq-AL"/>
        </w:rPr>
        <w:t>a</w:t>
      </w:r>
      <w:r w:rsidRPr="000C3952">
        <w:rPr>
          <w:rFonts w:ascii="Times New Roman" w:hAnsi="Times New Roman" w:cs="Times New Roman"/>
          <w:lang w:val="sq-AL"/>
        </w:rPr>
        <w:t xml:space="preserve">, te partnerët dhe organizatat ndërkombëtare që e kanë mbështetur këtë proces, si dhe te grupet e interesit (punëdhënësit). </w:t>
      </w:r>
    </w:p>
    <w:p w:rsidR="000C3952" w:rsidRPr="000C3952" w:rsidRDefault="000C3952" w:rsidP="000C3952">
      <w:pPr>
        <w:jc w:val="both"/>
        <w:rPr>
          <w:rFonts w:ascii="Times New Roman" w:hAnsi="Times New Roman"/>
          <w:lang w:val="sq-AL"/>
        </w:rPr>
      </w:pPr>
    </w:p>
    <w:p w:rsidR="000C3952" w:rsidRPr="000C3952" w:rsidRDefault="000C3952" w:rsidP="000C3952">
      <w:pPr>
        <w:jc w:val="both"/>
        <w:rPr>
          <w:rFonts w:ascii="Times New Roman" w:hAnsi="Times New Roman"/>
          <w:lang w:val="sq-AL"/>
        </w:rPr>
      </w:pPr>
    </w:p>
    <w:p w:rsidR="000C3952" w:rsidRPr="000C3952" w:rsidRDefault="000C3952" w:rsidP="000C3952">
      <w:pPr>
        <w:jc w:val="center"/>
        <w:rPr>
          <w:rFonts w:ascii="Times New Roman" w:hAnsi="Times New Roman" w:cs="Times New Roman"/>
          <w:b/>
          <w:lang w:val="sq-AL"/>
        </w:rPr>
      </w:pPr>
      <w:r w:rsidRPr="000C3952">
        <w:rPr>
          <w:rFonts w:ascii="Times New Roman" w:hAnsi="Times New Roman" w:cs="Times New Roman"/>
          <w:b/>
          <w:lang w:val="sq-AL"/>
        </w:rPr>
        <w:t>Ecuria</w:t>
      </w:r>
      <w:r w:rsidR="006413DC">
        <w:rPr>
          <w:rFonts w:ascii="Times New Roman" w:hAnsi="Times New Roman" w:cs="Times New Roman"/>
          <w:b/>
          <w:lang w:val="sq-AL"/>
        </w:rPr>
        <w:t xml:space="preserve"> e</w:t>
      </w:r>
      <w:r w:rsidRPr="000C3952">
        <w:rPr>
          <w:rFonts w:ascii="Times New Roman" w:hAnsi="Times New Roman" w:cs="Times New Roman"/>
          <w:b/>
          <w:lang w:val="sq-AL"/>
        </w:rPr>
        <w:t xml:space="preserve"> procesit të konsultimit</w:t>
      </w:r>
    </w:p>
    <w:p w:rsidR="000C3952" w:rsidRPr="000C3952" w:rsidRDefault="000C3952" w:rsidP="006413DC">
      <w:pPr>
        <w:tabs>
          <w:tab w:val="left" w:pos="180"/>
        </w:tabs>
        <w:spacing w:before="240"/>
        <w:jc w:val="both"/>
        <w:rPr>
          <w:rFonts w:ascii="Times New Roman" w:eastAsia="Times New Roman" w:hAnsi="Times New Roman" w:cs="Times New Roman"/>
          <w:lang w:val="sq-AL" w:eastAsia="x-none"/>
        </w:rPr>
      </w:pPr>
      <w:r w:rsidRPr="000C3952">
        <w:rPr>
          <w:rFonts w:ascii="Times New Roman" w:eastAsia="Times New Roman" w:hAnsi="Times New Roman" w:cs="Times New Roman"/>
          <w:lang w:val="sq-AL" w:eastAsia="x-none"/>
        </w:rPr>
        <w:t xml:space="preserve">Projektudhëzimi </w:t>
      </w:r>
      <w:r w:rsidR="006413DC">
        <w:rPr>
          <w:rFonts w:ascii="Times New Roman" w:eastAsia="Times New Roman" w:hAnsi="Times New Roman" w:cs="Times New Roman"/>
          <w:lang w:val="sq-AL" w:eastAsia="x-none"/>
        </w:rPr>
        <w:t>A</w:t>
      </w:r>
      <w:r w:rsidRPr="000C3952">
        <w:rPr>
          <w:rFonts w:ascii="Times New Roman" w:eastAsia="Times New Roman" w:hAnsi="Times New Roman" w:cs="Times New Roman"/>
          <w:lang w:val="sq-AL" w:eastAsia="x-none"/>
        </w:rPr>
        <w:t>dministrativ për mënyrën dhe procedurat e vlerësimit të aftësisë për punë të personave me aftësi të kufizuara, është publikuar në platformën online</w:t>
      </w:r>
      <w:r w:rsidR="006413DC">
        <w:rPr>
          <w:rFonts w:ascii="Times New Roman" w:eastAsia="Times New Roman" w:hAnsi="Times New Roman" w:cs="Times New Roman"/>
          <w:lang w:val="sq-AL" w:eastAsia="x-none"/>
        </w:rPr>
        <w:t>,</w:t>
      </w:r>
      <w:r w:rsidRPr="000C3952">
        <w:rPr>
          <w:rFonts w:ascii="Times New Roman" w:eastAsia="Times New Roman" w:hAnsi="Times New Roman" w:cs="Times New Roman"/>
          <w:lang w:val="sq-AL" w:eastAsia="x-none"/>
        </w:rPr>
        <w:t xml:space="preserve"> si dhe</w:t>
      </w:r>
      <w:r w:rsidR="006413DC">
        <w:rPr>
          <w:rFonts w:ascii="Times New Roman" w:eastAsia="Times New Roman" w:hAnsi="Times New Roman" w:cs="Times New Roman"/>
          <w:lang w:val="sq-AL" w:eastAsia="x-none"/>
        </w:rPr>
        <w:t xml:space="preserve"> iu</w:t>
      </w:r>
      <w:r w:rsidRPr="000C3952">
        <w:rPr>
          <w:rFonts w:ascii="Times New Roman" w:eastAsia="Times New Roman" w:hAnsi="Times New Roman" w:cs="Times New Roman"/>
          <w:lang w:val="sq-AL" w:eastAsia="x-none"/>
        </w:rPr>
        <w:t xml:space="preserve"> është dërguar për komente përmes postës elektronike institucioneve, akt</w:t>
      </w:r>
      <w:r w:rsidR="006413DC">
        <w:rPr>
          <w:rFonts w:ascii="Times New Roman" w:eastAsia="Times New Roman" w:hAnsi="Times New Roman" w:cs="Times New Roman"/>
          <w:lang w:val="sq-AL" w:eastAsia="x-none"/>
        </w:rPr>
        <w:t>o</w:t>
      </w:r>
      <w:r w:rsidRPr="000C3952">
        <w:rPr>
          <w:rFonts w:ascii="Times New Roman" w:eastAsia="Times New Roman" w:hAnsi="Times New Roman" w:cs="Times New Roman"/>
          <w:lang w:val="sq-AL" w:eastAsia="x-none"/>
        </w:rPr>
        <w:t xml:space="preserve">rëve dhe grupeve tjera të interesit. Afati për dërgimin e komenteve ka qenë 15 ditë pune.  </w:t>
      </w:r>
    </w:p>
    <w:p w:rsidR="000C3952" w:rsidRPr="000C3952" w:rsidRDefault="000C3952" w:rsidP="006413DC">
      <w:pPr>
        <w:tabs>
          <w:tab w:val="left" w:pos="180"/>
        </w:tabs>
        <w:spacing w:before="240"/>
        <w:jc w:val="both"/>
        <w:rPr>
          <w:rFonts w:ascii="Times New Roman" w:eastAsia="Times New Roman" w:hAnsi="Times New Roman" w:cs="Times New Roman"/>
          <w:lang w:val="sq-AL" w:eastAsia="x-none"/>
        </w:rPr>
      </w:pPr>
      <w:r w:rsidRPr="000C3952">
        <w:rPr>
          <w:rFonts w:ascii="Times New Roman" w:eastAsia="Calibri" w:hAnsi="Times New Roman" w:cs="Times New Roman"/>
          <w:lang w:val="sq-AL" w:eastAsia="x-none"/>
        </w:rPr>
        <w:lastRenderedPageBreak/>
        <w:t>Projekt</w:t>
      </w:r>
      <w:r w:rsidR="006413DC">
        <w:rPr>
          <w:rFonts w:ascii="Times New Roman" w:eastAsia="Calibri" w:hAnsi="Times New Roman" w:cs="Times New Roman"/>
          <w:lang w:val="sq-AL" w:eastAsia="x-none"/>
        </w:rPr>
        <w:t>u</w:t>
      </w:r>
      <w:r w:rsidRPr="000C3952">
        <w:rPr>
          <w:rFonts w:ascii="Times New Roman" w:eastAsia="Calibri" w:hAnsi="Times New Roman" w:cs="Times New Roman"/>
          <w:lang w:val="sq-AL" w:eastAsia="x-none"/>
        </w:rPr>
        <w:t xml:space="preserve">dhëzimi Administrativ iu </w:t>
      </w:r>
      <w:r w:rsidRPr="000C3952">
        <w:rPr>
          <w:rFonts w:ascii="Times New Roman" w:eastAsia="Times New Roman" w:hAnsi="Times New Roman" w:cs="Times New Roman"/>
          <w:lang w:val="sq-AL" w:eastAsia="x-none"/>
        </w:rPr>
        <w:t>është dërguar Agjenc</w:t>
      </w:r>
      <w:r w:rsidR="006413DC">
        <w:rPr>
          <w:rFonts w:ascii="Times New Roman" w:eastAsia="Times New Roman" w:hAnsi="Times New Roman" w:cs="Times New Roman"/>
          <w:lang w:val="sq-AL" w:eastAsia="x-none"/>
        </w:rPr>
        <w:t>isë</w:t>
      </w:r>
      <w:r w:rsidRPr="000C3952">
        <w:rPr>
          <w:rFonts w:ascii="Times New Roman" w:eastAsia="Times New Roman" w:hAnsi="Times New Roman" w:cs="Times New Roman"/>
          <w:lang w:val="sq-AL" w:eastAsia="x-none"/>
        </w:rPr>
        <w:t xml:space="preserve"> për Barazi Gjinore, Sekretariati</w:t>
      </w:r>
      <w:r w:rsidR="006413DC">
        <w:rPr>
          <w:rFonts w:ascii="Times New Roman" w:eastAsia="Times New Roman" w:hAnsi="Times New Roman" w:cs="Times New Roman"/>
          <w:lang w:val="sq-AL" w:eastAsia="x-none"/>
        </w:rPr>
        <w:t>t</w:t>
      </w:r>
      <w:r w:rsidRPr="000C3952">
        <w:rPr>
          <w:rFonts w:ascii="Times New Roman" w:eastAsia="Times New Roman" w:hAnsi="Times New Roman" w:cs="Times New Roman"/>
          <w:lang w:val="sq-AL" w:eastAsia="x-none"/>
        </w:rPr>
        <w:t xml:space="preserve"> Koordinues </w:t>
      </w:r>
      <w:r w:rsidR="006413DC">
        <w:rPr>
          <w:rFonts w:ascii="Times New Roman" w:eastAsia="Times New Roman" w:hAnsi="Times New Roman" w:cs="Times New Roman"/>
          <w:lang w:val="sq-AL" w:eastAsia="x-none"/>
        </w:rPr>
        <w:t>të</w:t>
      </w:r>
      <w:r w:rsidRPr="000C3952">
        <w:rPr>
          <w:rFonts w:ascii="Times New Roman" w:eastAsia="Times New Roman" w:hAnsi="Times New Roman" w:cs="Times New Roman"/>
          <w:lang w:val="sq-AL" w:eastAsia="x-none"/>
        </w:rPr>
        <w:t xml:space="preserve"> Qeverisë, Zyr</w:t>
      </w:r>
      <w:r w:rsidR="006413DC">
        <w:rPr>
          <w:rFonts w:ascii="Times New Roman" w:eastAsia="Times New Roman" w:hAnsi="Times New Roman" w:cs="Times New Roman"/>
          <w:lang w:val="sq-AL" w:eastAsia="x-none"/>
        </w:rPr>
        <w:t>ës</w:t>
      </w:r>
      <w:r w:rsidRPr="000C3952">
        <w:rPr>
          <w:rFonts w:ascii="Times New Roman" w:eastAsia="Times New Roman" w:hAnsi="Times New Roman" w:cs="Times New Roman"/>
          <w:lang w:val="sq-AL" w:eastAsia="x-none"/>
        </w:rPr>
        <w:t xml:space="preserve"> për Planifikim Strategjik, Zyr</w:t>
      </w:r>
      <w:r w:rsidR="006413DC">
        <w:rPr>
          <w:rFonts w:ascii="Times New Roman" w:eastAsia="Times New Roman" w:hAnsi="Times New Roman" w:cs="Times New Roman"/>
          <w:lang w:val="sq-AL" w:eastAsia="x-none"/>
        </w:rPr>
        <w:t>ës Ligjore në</w:t>
      </w:r>
      <w:r w:rsidRPr="000C3952">
        <w:rPr>
          <w:rFonts w:ascii="Times New Roman" w:eastAsia="Times New Roman" w:hAnsi="Times New Roman" w:cs="Times New Roman"/>
          <w:lang w:val="sq-AL" w:eastAsia="x-none"/>
        </w:rPr>
        <w:t xml:space="preserve"> Kryeministri, Zyr</w:t>
      </w:r>
      <w:r w:rsidR="006413DC">
        <w:rPr>
          <w:rFonts w:ascii="Times New Roman" w:eastAsia="Times New Roman" w:hAnsi="Times New Roman" w:cs="Times New Roman"/>
          <w:lang w:val="sq-AL" w:eastAsia="x-none"/>
        </w:rPr>
        <w:t>ës</w:t>
      </w:r>
      <w:r w:rsidRPr="000C3952">
        <w:rPr>
          <w:rFonts w:ascii="Times New Roman" w:eastAsia="Times New Roman" w:hAnsi="Times New Roman" w:cs="Times New Roman"/>
          <w:lang w:val="sq-AL" w:eastAsia="x-none"/>
        </w:rPr>
        <w:t xml:space="preserve"> për Qeverisje të Mirë, Ministri</w:t>
      </w:r>
      <w:r w:rsidR="006413DC">
        <w:rPr>
          <w:rFonts w:ascii="Times New Roman" w:eastAsia="Times New Roman" w:hAnsi="Times New Roman" w:cs="Times New Roman"/>
          <w:lang w:val="sq-AL" w:eastAsia="x-none"/>
        </w:rPr>
        <w:t>së</w:t>
      </w:r>
      <w:r w:rsidRPr="000C3952">
        <w:rPr>
          <w:rFonts w:ascii="Times New Roman" w:eastAsia="Times New Roman" w:hAnsi="Times New Roman" w:cs="Times New Roman"/>
          <w:lang w:val="sq-AL" w:eastAsia="x-none"/>
        </w:rPr>
        <w:t xml:space="preserve"> </w:t>
      </w:r>
      <w:r w:rsidR="006413DC">
        <w:rPr>
          <w:rFonts w:ascii="Times New Roman" w:eastAsia="Times New Roman" w:hAnsi="Times New Roman" w:cs="Times New Roman"/>
          <w:lang w:val="sq-AL" w:eastAsia="x-none"/>
        </w:rPr>
        <w:t>së Financave, Ministrisë</w:t>
      </w:r>
      <w:r w:rsidRPr="000C3952">
        <w:rPr>
          <w:rFonts w:ascii="Times New Roman" w:eastAsia="Times New Roman" w:hAnsi="Times New Roman" w:cs="Times New Roman"/>
          <w:lang w:val="sq-AL" w:eastAsia="x-none"/>
        </w:rPr>
        <w:t xml:space="preserve"> </w:t>
      </w:r>
      <w:r w:rsidR="006413DC">
        <w:rPr>
          <w:rFonts w:ascii="Times New Roman" w:eastAsia="Times New Roman" w:hAnsi="Times New Roman" w:cs="Times New Roman"/>
          <w:lang w:val="sq-AL" w:eastAsia="x-none"/>
        </w:rPr>
        <w:t>së</w:t>
      </w:r>
      <w:r w:rsidRPr="000C3952">
        <w:rPr>
          <w:rFonts w:ascii="Times New Roman" w:eastAsia="Times New Roman" w:hAnsi="Times New Roman" w:cs="Times New Roman"/>
          <w:lang w:val="sq-AL" w:eastAsia="x-none"/>
        </w:rPr>
        <w:t xml:space="preserve"> Integrimeve Ekonomike, Ministri</w:t>
      </w:r>
      <w:r w:rsidR="006413DC">
        <w:rPr>
          <w:rFonts w:ascii="Times New Roman" w:eastAsia="Times New Roman" w:hAnsi="Times New Roman" w:cs="Times New Roman"/>
          <w:lang w:val="sq-AL" w:eastAsia="x-none"/>
        </w:rPr>
        <w:t>së</w:t>
      </w:r>
      <w:r w:rsidRPr="000C3952">
        <w:rPr>
          <w:rFonts w:ascii="Times New Roman" w:eastAsia="Times New Roman" w:hAnsi="Times New Roman" w:cs="Times New Roman"/>
          <w:lang w:val="sq-AL" w:eastAsia="x-none"/>
        </w:rPr>
        <w:t xml:space="preserve"> për Drejtësi, Ministri</w:t>
      </w:r>
      <w:r w:rsidR="006413DC">
        <w:rPr>
          <w:rFonts w:ascii="Times New Roman" w:eastAsia="Times New Roman" w:hAnsi="Times New Roman" w:cs="Times New Roman"/>
          <w:lang w:val="sq-AL" w:eastAsia="x-none"/>
        </w:rPr>
        <w:t>së</w:t>
      </w:r>
      <w:r w:rsidRPr="000C3952">
        <w:rPr>
          <w:rFonts w:ascii="Times New Roman" w:eastAsia="Times New Roman" w:hAnsi="Times New Roman" w:cs="Times New Roman"/>
          <w:lang w:val="sq-AL" w:eastAsia="x-none"/>
        </w:rPr>
        <w:t xml:space="preserve"> për Administratë Publike, Ministri</w:t>
      </w:r>
      <w:r w:rsidR="006413DC">
        <w:rPr>
          <w:rFonts w:ascii="Times New Roman" w:eastAsia="Times New Roman" w:hAnsi="Times New Roman" w:cs="Times New Roman"/>
          <w:lang w:val="sq-AL" w:eastAsia="x-none"/>
        </w:rPr>
        <w:t>së</w:t>
      </w:r>
      <w:r w:rsidRPr="000C3952">
        <w:rPr>
          <w:rFonts w:ascii="Times New Roman" w:eastAsia="Times New Roman" w:hAnsi="Times New Roman" w:cs="Times New Roman"/>
          <w:lang w:val="sq-AL" w:eastAsia="x-none"/>
        </w:rPr>
        <w:t xml:space="preserve"> </w:t>
      </w:r>
      <w:r w:rsidR="006413DC">
        <w:rPr>
          <w:rFonts w:ascii="Times New Roman" w:eastAsia="Times New Roman" w:hAnsi="Times New Roman" w:cs="Times New Roman"/>
          <w:lang w:val="sq-AL" w:eastAsia="x-none"/>
        </w:rPr>
        <w:t>së</w:t>
      </w:r>
      <w:r w:rsidRPr="000C3952">
        <w:rPr>
          <w:rFonts w:ascii="Times New Roman" w:eastAsia="Times New Roman" w:hAnsi="Times New Roman" w:cs="Times New Roman"/>
          <w:lang w:val="sq-AL" w:eastAsia="x-none"/>
        </w:rPr>
        <w:t xml:space="preserve"> Pushtetit Lokal, Ministri</w:t>
      </w:r>
      <w:r w:rsidR="006413DC">
        <w:rPr>
          <w:rFonts w:ascii="Times New Roman" w:eastAsia="Times New Roman" w:hAnsi="Times New Roman" w:cs="Times New Roman"/>
          <w:lang w:val="sq-AL" w:eastAsia="x-none"/>
        </w:rPr>
        <w:t>së</w:t>
      </w:r>
      <w:r w:rsidRPr="000C3952">
        <w:rPr>
          <w:rFonts w:ascii="Times New Roman" w:eastAsia="Times New Roman" w:hAnsi="Times New Roman" w:cs="Times New Roman"/>
          <w:lang w:val="sq-AL" w:eastAsia="x-none"/>
        </w:rPr>
        <w:t xml:space="preserve"> për Komunitete dhe Kthim, Sekretariati</w:t>
      </w:r>
      <w:r w:rsidR="006413DC">
        <w:rPr>
          <w:rFonts w:ascii="Times New Roman" w:eastAsia="Times New Roman" w:hAnsi="Times New Roman" w:cs="Times New Roman"/>
          <w:lang w:val="sq-AL" w:eastAsia="x-none"/>
        </w:rPr>
        <w:t>t</w:t>
      </w:r>
      <w:r w:rsidRPr="000C3952">
        <w:rPr>
          <w:rFonts w:ascii="Times New Roman" w:eastAsia="Times New Roman" w:hAnsi="Times New Roman" w:cs="Times New Roman"/>
          <w:lang w:val="sq-AL" w:eastAsia="x-none"/>
        </w:rPr>
        <w:t xml:space="preserve"> Koordinues </w:t>
      </w:r>
      <w:r w:rsidR="006413DC">
        <w:rPr>
          <w:rFonts w:ascii="Times New Roman" w:eastAsia="Times New Roman" w:hAnsi="Times New Roman" w:cs="Times New Roman"/>
          <w:lang w:val="sq-AL" w:eastAsia="x-none"/>
        </w:rPr>
        <w:t>të</w:t>
      </w:r>
      <w:r w:rsidRPr="000C3952">
        <w:rPr>
          <w:rFonts w:ascii="Times New Roman" w:eastAsia="Times New Roman" w:hAnsi="Times New Roman" w:cs="Times New Roman"/>
          <w:lang w:val="sq-AL" w:eastAsia="x-none"/>
        </w:rPr>
        <w:t xml:space="preserve"> Këshillit Konsultativ për Komunitete, Avokati</w:t>
      </w:r>
      <w:r w:rsidR="006413DC">
        <w:rPr>
          <w:rFonts w:ascii="Times New Roman" w:eastAsia="Times New Roman" w:hAnsi="Times New Roman" w:cs="Times New Roman"/>
          <w:lang w:val="sq-AL" w:eastAsia="x-none"/>
        </w:rPr>
        <w:t>t</w:t>
      </w:r>
      <w:r w:rsidRPr="000C3952">
        <w:rPr>
          <w:rFonts w:ascii="Times New Roman" w:eastAsia="Times New Roman" w:hAnsi="Times New Roman" w:cs="Times New Roman"/>
          <w:lang w:val="sq-AL" w:eastAsia="x-none"/>
        </w:rPr>
        <w:t xml:space="preserve"> </w:t>
      </w:r>
      <w:r w:rsidR="006413DC">
        <w:rPr>
          <w:rFonts w:ascii="Times New Roman" w:eastAsia="Times New Roman" w:hAnsi="Times New Roman" w:cs="Times New Roman"/>
          <w:lang w:val="sq-AL" w:eastAsia="x-none"/>
        </w:rPr>
        <w:t>të Popullit, platformës</w:t>
      </w:r>
      <w:r w:rsidRPr="000C3952">
        <w:rPr>
          <w:rFonts w:ascii="Times New Roman" w:eastAsia="Times New Roman" w:hAnsi="Times New Roman" w:cs="Times New Roman"/>
          <w:lang w:val="sq-AL" w:eastAsia="x-none"/>
        </w:rPr>
        <w:t xml:space="preserve"> Civikos e shoqërisë civile, OSCE</w:t>
      </w:r>
      <w:r w:rsidR="006413DC">
        <w:rPr>
          <w:rFonts w:ascii="Times New Roman" w:eastAsia="Times New Roman" w:hAnsi="Times New Roman" w:cs="Times New Roman"/>
          <w:lang w:val="sq-AL" w:eastAsia="x-none"/>
        </w:rPr>
        <w:t>-së</w:t>
      </w:r>
      <w:r w:rsidRPr="000C3952">
        <w:rPr>
          <w:rFonts w:ascii="Times New Roman" w:eastAsia="Times New Roman" w:hAnsi="Times New Roman" w:cs="Times New Roman"/>
          <w:lang w:val="sq-AL" w:eastAsia="x-none"/>
        </w:rPr>
        <w:t>, partner</w:t>
      </w:r>
      <w:r w:rsidR="006413DC">
        <w:rPr>
          <w:rFonts w:ascii="Times New Roman" w:eastAsia="Times New Roman" w:hAnsi="Times New Roman" w:cs="Times New Roman"/>
          <w:lang w:val="sq-AL" w:eastAsia="x-none"/>
        </w:rPr>
        <w:t>ë</w:t>
      </w:r>
      <w:r w:rsidRPr="000C3952">
        <w:rPr>
          <w:rFonts w:ascii="Times New Roman" w:eastAsia="Times New Roman" w:hAnsi="Times New Roman" w:cs="Times New Roman"/>
          <w:lang w:val="sq-AL" w:eastAsia="x-none"/>
        </w:rPr>
        <w:t>ve soc</w:t>
      </w:r>
      <w:r w:rsidR="006413DC">
        <w:rPr>
          <w:rFonts w:ascii="Times New Roman" w:eastAsia="Times New Roman" w:hAnsi="Times New Roman" w:cs="Times New Roman"/>
          <w:lang w:val="sq-AL" w:eastAsia="x-none"/>
        </w:rPr>
        <w:t>i</w:t>
      </w:r>
      <w:r w:rsidRPr="000C3952">
        <w:rPr>
          <w:rFonts w:ascii="Times New Roman" w:eastAsia="Times New Roman" w:hAnsi="Times New Roman" w:cs="Times New Roman"/>
          <w:lang w:val="sq-AL" w:eastAsia="x-none"/>
        </w:rPr>
        <w:t>a</w:t>
      </w:r>
      <w:r w:rsidR="006413DC">
        <w:rPr>
          <w:rFonts w:ascii="Times New Roman" w:eastAsia="Times New Roman" w:hAnsi="Times New Roman" w:cs="Times New Roman"/>
          <w:lang w:val="sq-AL" w:eastAsia="x-none"/>
        </w:rPr>
        <w:t>l</w:t>
      </w:r>
      <w:r w:rsidRPr="000C3952">
        <w:rPr>
          <w:rFonts w:ascii="Times New Roman" w:eastAsia="Times New Roman" w:hAnsi="Times New Roman" w:cs="Times New Roman"/>
          <w:lang w:val="sq-AL" w:eastAsia="x-none"/>
        </w:rPr>
        <w:t>,  HENDIKOS-i, etj.</w:t>
      </w:r>
    </w:p>
    <w:p w:rsidR="000C3952" w:rsidRPr="000C3952" w:rsidRDefault="000C3952" w:rsidP="000C3952">
      <w:pPr>
        <w:tabs>
          <w:tab w:val="left" w:pos="180"/>
        </w:tabs>
        <w:spacing w:before="240"/>
        <w:jc w:val="both"/>
        <w:rPr>
          <w:rFonts w:ascii="Times New Roman" w:eastAsia="Times New Roman" w:hAnsi="Times New Roman" w:cs="Times New Roman"/>
          <w:lang w:val="sq-AL" w:eastAsia="x-none"/>
        </w:rPr>
      </w:pPr>
    </w:p>
    <w:p w:rsidR="000C3952" w:rsidRPr="000C3952" w:rsidRDefault="000C3952" w:rsidP="000C3952">
      <w:pPr>
        <w:jc w:val="both"/>
        <w:rPr>
          <w:rFonts w:ascii="Sylfaen" w:hAnsi="Sylfaen"/>
          <w:i/>
          <w:lang w:val="sq-AL"/>
        </w:rPr>
      </w:pPr>
    </w:p>
    <w:tbl>
      <w:tblPr>
        <w:tblStyle w:val="GridTable1Light-Accent51"/>
        <w:tblW w:w="0" w:type="auto"/>
        <w:tblLook w:val="04A0" w:firstRow="1" w:lastRow="0" w:firstColumn="1" w:lastColumn="0" w:noHBand="0" w:noVBand="1"/>
      </w:tblPr>
      <w:tblGrid>
        <w:gridCol w:w="3675"/>
        <w:gridCol w:w="2446"/>
        <w:gridCol w:w="3229"/>
      </w:tblGrid>
      <w:tr w:rsidR="000C3952" w:rsidRPr="000C3952" w:rsidTr="006D00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shd w:val="clear" w:color="auto" w:fill="FBE4D5" w:themeFill="accent2" w:themeFillTint="33"/>
          </w:tcPr>
          <w:p w:rsidR="000C3952" w:rsidRPr="000C3952" w:rsidRDefault="000C3952" w:rsidP="000C3952">
            <w:pPr>
              <w:widowControl w:val="0"/>
              <w:autoSpaceDE w:val="0"/>
              <w:autoSpaceDN w:val="0"/>
              <w:adjustRightInd w:val="0"/>
              <w:rPr>
                <w:rFonts w:ascii="Times New Roman" w:hAnsi="Times New Roman" w:cs="Times New Roman"/>
                <w:lang w:val="sq-AL"/>
              </w:rPr>
            </w:pPr>
            <w:r w:rsidRPr="000C3952">
              <w:rPr>
                <w:rFonts w:ascii="Times New Roman" w:hAnsi="Times New Roman" w:cs="Times New Roman"/>
                <w:lang w:val="sq-AL"/>
              </w:rPr>
              <w:t>Metodat e Konsultimit</w:t>
            </w:r>
          </w:p>
        </w:tc>
        <w:tc>
          <w:tcPr>
            <w:tcW w:w="2483" w:type="dxa"/>
            <w:shd w:val="clear" w:color="auto" w:fill="FBE4D5" w:themeFill="accent2" w:themeFillTint="33"/>
          </w:tcPr>
          <w:p w:rsidR="000C3952" w:rsidRPr="000C3952" w:rsidRDefault="000C3952" w:rsidP="000C3952">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sq-AL"/>
              </w:rPr>
            </w:pPr>
            <w:r w:rsidRPr="000C3952">
              <w:rPr>
                <w:rFonts w:ascii="Times New Roman" w:hAnsi="Times New Roman" w:cs="Times New Roman"/>
                <w:lang w:val="sq-AL"/>
              </w:rPr>
              <w:t>Datat/kohëzgjatja</w:t>
            </w:r>
          </w:p>
        </w:tc>
        <w:tc>
          <w:tcPr>
            <w:tcW w:w="3044" w:type="dxa"/>
            <w:shd w:val="clear" w:color="auto" w:fill="FBE4D5" w:themeFill="accent2" w:themeFillTint="33"/>
          </w:tcPr>
          <w:p w:rsidR="000C3952" w:rsidRPr="000C3952" w:rsidRDefault="000C3952" w:rsidP="000C3952">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sq-AL"/>
              </w:rPr>
            </w:pPr>
            <w:r w:rsidRPr="000C3952">
              <w:rPr>
                <w:rFonts w:ascii="Times New Roman" w:hAnsi="Times New Roman" w:cs="Times New Roman"/>
                <w:lang w:val="sq-AL"/>
              </w:rPr>
              <w:t xml:space="preserve">Numri i </w:t>
            </w:r>
            <w:r w:rsidR="00B3141A" w:rsidRPr="000C3952">
              <w:rPr>
                <w:rFonts w:ascii="Times New Roman" w:hAnsi="Times New Roman" w:cs="Times New Roman"/>
                <w:lang w:val="sq-AL"/>
              </w:rPr>
              <w:t>pjesëmarrësve</w:t>
            </w:r>
            <w:r w:rsidRPr="000C3952">
              <w:rPr>
                <w:rFonts w:ascii="Times New Roman" w:hAnsi="Times New Roman" w:cs="Times New Roman"/>
                <w:lang w:val="sq-AL"/>
              </w:rPr>
              <w:t>/</w:t>
            </w:r>
            <w:r w:rsidR="00B3141A" w:rsidRPr="000C3952">
              <w:rPr>
                <w:rFonts w:ascii="Times New Roman" w:hAnsi="Times New Roman" w:cs="Times New Roman"/>
                <w:lang w:val="sq-AL"/>
              </w:rPr>
              <w:t>kontribuuesve</w:t>
            </w:r>
          </w:p>
        </w:tc>
      </w:tr>
      <w:tr w:rsidR="000C3952" w:rsidRPr="000C3952" w:rsidTr="006D0061">
        <w:tc>
          <w:tcPr>
            <w:cnfStyle w:val="001000000000" w:firstRow="0" w:lastRow="0" w:firstColumn="1" w:lastColumn="0" w:oddVBand="0" w:evenVBand="0" w:oddHBand="0" w:evenHBand="0" w:firstRowFirstColumn="0" w:firstRowLastColumn="0" w:lastRowFirstColumn="0" w:lastRowLastColumn="0"/>
            <w:tcW w:w="3823" w:type="dxa"/>
            <w:shd w:val="clear" w:color="auto" w:fill="FBE4D5" w:themeFill="accent2" w:themeFillTint="33"/>
          </w:tcPr>
          <w:p w:rsidR="000C3952" w:rsidRPr="000C3952" w:rsidRDefault="000C3952" w:rsidP="000C3952">
            <w:pPr>
              <w:widowControl w:val="0"/>
              <w:numPr>
                <w:ilvl w:val="0"/>
                <w:numId w:val="1"/>
              </w:numPr>
              <w:autoSpaceDE w:val="0"/>
              <w:autoSpaceDN w:val="0"/>
              <w:adjustRightInd w:val="0"/>
              <w:ind w:left="454"/>
              <w:rPr>
                <w:rFonts w:ascii="Times New Roman" w:hAnsi="Times New Roman" w:cs="Times New Roman"/>
                <w:color w:val="000000"/>
                <w:lang w:val="sq-AL"/>
              </w:rPr>
            </w:pPr>
            <w:r w:rsidRPr="000C3952">
              <w:rPr>
                <w:rFonts w:ascii="Times New Roman" w:hAnsi="Times New Roman" w:cs="Times New Roman"/>
                <w:color w:val="000000"/>
                <w:lang w:val="sq-AL"/>
              </w:rPr>
              <w:t>Konsultimet me shkrim / në mënyrë elektronike;</w:t>
            </w:r>
          </w:p>
        </w:tc>
        <w:tc>
          <w:tcPr>
            <w:tcW w:w="2483" w:type="dxa"/>
          </w:tcPr>
          <w:p w:rsidR="000C3952" w:rsidRPr="000C3952" w:rsidRDefault="000C3952" w:rsidP="000C395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sq-AL"/>
              </w:rPr>
            </w:pPr>
            <w:r w:rsidRPr="000C3952">
              <w:rPr>
                <w:rFonts w:ascii="Times New Roman" w:hAnsi="Times New Roman" w:cs="Times New Roman"/>
                <w:lang w:val="sq-AL"/>
              </w:rPr>
              <w:t>15 ditë pune</w:t>
            </w:r>
          </w:p>
        </w:tc>
        <w:tc>
          <w:tcPr>
            <w:tcW w:w="3044" w:type="dxa"/>
          </w:tcPr>
          <w:p w:rsidR="000C3952" w:rsidRPr="000C3952" w:rsidRDefault="000C3952" w:rsidP="000C395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sq-AL"/>
              </w:rPr>
            </w:pPr>
            <w:r w:rsidRPr="000C3952">
              <w:rPr>
                <w:rFonts w:ascii="Times New Roman" w:hAnsi="Times New Roman" w:cs="Times New Roman"/>
                <w:lang w:val="sq-AL"/>
              </w:rPr>
              <w:t>2</w:t>
            </w:r>
          </w:p>
        </w:tc>
      </w:tr>
      <w:tr w:rsidR="000C3952" w:rsidRPr="000C3952" w:rsidTr="006D0061">
        <w:tc>
          <w:tcPr>
            <w:cnfStyle w:val="001000000000" w:firstRow="0" w:lastRow="0" w:firstColumn="1" w:lastColumn="0" w:oddVBand="0" w:evenVBand="0" w:oddHBand="0" w:evenHBand="0" w:firstRowFirstColumn="0" w:firstRowLastColumn="0" w:lastRowFirstColumn="0" w:lastRowLastColumn="0"/>
            <w:tcW w:w="3823" w:type="dxa"/>
            <w:shd w:val="clear" w:color="auto" w:fill="FBE4D5" w:themeFill="accent2" w:themeFillTint="33"/>
          </w:tcPr>
          <w:p w:rsidR="000C3952" w:rsidRPr="000C3952" w:rsidRDefault="000C3952" w:rsidP="000475B9">
            <w:pPr>
              <w:widowControl w:val="0"/>
              <w:numPr>
                <w:ilvl w:val="0"/>
                <w:numId w:val="1"/>
              </w:numPr>
              <w:autoSpaceDE w:val="0"/>
              <w:autoSpaceDN w:val="0"/>
              <w:adjustRightInd w:val="0"/>
              <w:ind w:left="454"/>
              <w:rPr>
                <w:rFonts w:ascii="Times New Roman" w:hAnsi="Times New Roman" w:cs="Times New Roman"/>
                <w:lang w:val="sq-AL"/>
              </w:rPr>
            </w:pPr>
            <w:r w:rsidRPr="000C3952">
              <w:rPr>
                <w:rFonts w:ascii="Times New Roman" w:hAnsi="Times New Roman" w:cs="Times New Roman"/>
                <w:color w:val="000000"/>
                <w:lang w:val="sq-AL"/>
              </w:rPr>
              <w:t>Publikimi në ueb</w:t>
            </w:r>
            <w:r w:rsidR="001706EE">
              <w:rPr>
                <w:rFonts w:ascii="Times New Roman" w:hAnsi="Times New Roman" w:cs="Times New Roman"/>
                <w:color w:val="000000"/>
                <w:lang w:val="sq-AL"/>
              </w:rPr>
              <w:t>-</w:t>
            </w:r>
            <w:r w:rsidRPr="000C3952">
              <w:rPr>
                <w:rFonts w:ascii="Times New Roman" w:hAnsi="Times New Roman" w:cs="Times New Roman"/>
                <w:color w:val="000000"/>
                <w:lang w:val="sq-AL"/>
              </w:rPr>
              <w:t>faqe</w:t>
            </w:r>
            <w:r w:rsidR="001706EE">
              <w:rPr>
                <w:rFonts w:ascii="Times New Roman" w:hAnsi="Times New Roman" w:cs="Times New Roman"/>
                <w:color w:val="000000"/>
                <w:lang w:val="sq-AL"/>
              </w:rPr>
              <w:t xml:space="preserve"> </w:t>
            </w:r>
            <w:r w:rsidRPr="000C3952">
              <w:rPr>
                <w:rFonts w:ascii="Times New Roman" w:hAnsi="Times New Roman" w:cs="Times New Roman"/>
                <w:color w:val="000000"/>
                <w:lang w:val="sq-AL"/>
              </w:rPr>
              <w:t>/</w:t>
            </w:r>
            <w:r w:rsidR="001706EE">
              <w:rPr>
                <w:rFonts w:ascii="Times New Roman" w:hAnsi="Times New Roman" w:cs="Times New Roman"/>
                <w:color w:val="000000"/>
                <w:lang w:val="sq-AL"/>
              </w:rPr>
              <w:t xml:space="preserve"> </w:t>
            </w:r>
            <w:r w:rsidRPr="000C3952">
              <w:rPr>
                <w:rFonts w:ascii="Times New Roman" w:hAnsi="Times New Roman" w:cs="Times New Roman"/>
                <w:color w:val="000000"/>
                <w:lang w:val="sq-AL"/>
              </w:rPr>
              <w:t>Platforma elektronike</w:t>
            </w:r>
            <w:r w:rsidR="001706EE">
              <w:rPr>
                <w:rFonts w:ascii="Times New Roman" w:hAnsi="Times New Roman" w:cs="Times New Roman"/>
                <w:color w:val="000000"/>
                <w:lang w:val="sq-AL"/>
              </w:rPr>
              <w:t>;</w:t>
            </w:r>
          </w:p>
        </w:tc>
        <w:tc>
          <w:tcPr>
            <w:tcW w:w="2483" w:type="dxa"/>
          </w:tcPr>
          <w:p w:rsidR="000C3952" w:rsidRPr="000C3952" w:rsidRDefault="000C3952" w:rsidP="000C395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sq-AL"/>
              </w:rPr>
            </w:pPr>
            <w:r w:rsidRPr="000C3952">
              <w:rPr>
                <w:rFonts w:ascii="Times New Roman" w:hAnsi="Times New Roman" w:cs="Times New Roman"/>
                <w:lang w:val="sq-AL"/>
              </w:rPr>
              <w:t>15 ditë pune</w:t>
            </w:r>
          </w:p>
        </w:tc>
        <w:tc>
          <w:tcPr>
            <w:tcW w:w="3044" w:type="dxa"/>
          </w:tcPr>
          <w:p w:rsidR="000C3952" w:rsidRPr="000C3952" w:rsidRDefault="000C3952" w:rsidP="000C395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sq-AL"/>
              </w:rPr>
            </w:pPr>
            <w:r w:rsidRPr="000C3952">
              <w:rPr>
                <w:rFonts w:ascii="Times New Roman" w:hAnsi="Times New Roman" w:cs="Times New Roman"/>
                <w:lang w:val="sq-AL"/>
              </w:rPr>
              <w:t>1</w:t>
            </w:r>
          </w:p>
        </w:tc>
      </w:tr>
      <w:tr w:rsidR="000C3952" w:rsidRPr="000C3952" w:rsidTr="006D0061">
        <w:trPr>
          <w:trHeight w:val="283"/>
        </w:trPr>
        <w:tc>
          <w:tcPr>
            <w:cnfStyle w:val="001000000000" w:firstRow="0" w:lastRow="0" w:firstColumn="1" w:lastColumn="0" w:oddVBand="0" w:evenVBand="0" w:oddHBand="0" w:evenHBand="0" w:firstRowFirstColumn="0" w:firstRowLastColumn="0" w:lastRowFirstColumn="0" w:lastRowLastColumn="0"/>
            <w:tcW w:w="3823" w:type="dxa"/>
            <w:shd w:val="clear" w:color="auto" w:fill="FBE4D5" w:themeFill="accent2" w:themeFillTint="33"/>
          </w:tcPr>
          <w:p w:rsidR="000C3952" w:rsidRPr="000C3952" w:rsidRDefault="000C3952" w:rsidP="001706EE">
            <w:pPr>
              <w:widowControl w:val="0"/>
              <w:numPr>
                <w:ilvl w:val="0"/>
                <w:numId w:val="1"/>
              </w:numPr>
              <w:autoSpaceDE w:val="0"/>
              <w:autoSpaceDN w:val="0"/>
              <w:adjustRightInd w:val="0"/>
              <w:ind w:left="454"/>
              <w:rPr>
                <w:rFonts w:ascii="Times New Roman" w:hAnsi="Times New Roman" w:cs="Times New Roman"/>
                <w:lang w:val="sq-AL"/>
              </w:rPr>
            </w:pPr>
            <w:r w:rsidRPr="000C3952">
              <w:rPr>
                <w:rFonts w:ascii="Times New Roman" w:hAnsi="Times New Roman" w:cs="Times New Roman"/>
                <w:color w:val="000000"/>
                <w:lang w:val="sq-AL"/>
              </w:rPr>
              <w:t>Punëtori njëditore e zyrtarit përgjegjës, ekipit mbështetës</w:t>
            </w:r>
            <w:r w:rsidR="001706EE">
              <w:rPr>
                <w:rFonts w:ascii="Times New Roman" w:hAnsi="Times New Roman" w:cs="Times New Roman"/>
                <w:color w:val="000000"/>
                <w:lang w:val="sq-AL"/>
              </w:rPr>
              <w:t>,</w:t>
            </w:r>
            <w:r w:rsidRPr="000C3952">
              <w:rPr>
                <w:rFonts w:ascii="Times New Roman" w:hAnsi="Times New Roman" w:cs="Times New Roman"/>
                <w:color w:val="000000"/>
                <w:lang w:val="sq-AL"/>
              </w:rPr>
              <w:t xml:space="preserve"> si dhe 2 përfaqësuesve të HENDIKOS-it. </w:t>
            </w:r>
          </w:p>
        </w:tc>
        <w:tc>
          <w:tcPr>
            <w:tcW w:w="2483" w:type="dxa"/>
          </w:tcPr>
          <w:p w:rsidR="000C3952" w:rsidRPr="000C3952" w:rsidRDefault="001706EE" w:rsidP="001706EE">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sq-AL"/>
              </w:rPr>
            </w:pPr>
            <w:r>
              <w:rPr>
                <w:rFonts w:ascii="Times New Roman" w:hAnsi="Times New Roman" w:cs="Times New Roman"/>
                <w:lang w:val="sq-AL"/>
              </w:rPr>
              <w:t>D</w:t>
            </w:r>
            <w:r w:rsidR="000C3952" w:rsidRPr="000C3952">
              <w:rPr>
                <w:rFonts w:ascii="Times New Roman" w:hAnsi="Times New Roman" w:cs="Times New Roman"/>
                <w:lang w:val="sq-AL"/>
              </w:rPr>
              <w:t xml:space="preserve">hjetor 2017 </w:t>
            </w:r>
          </w:p>
        </w:tc>
        <w:tc>
          <w:tcPr>
            <w:tcW w:w="3044" w:type="dxa"/>
          </w:tcPr>
          <w:p w:rsidR="000C3952" w:rsidRPr="000C3952" w:rsidRDefault="000C3952" w:rsidP="000C395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sq-AL"/>
              </w:rPr>
            </w:pPr>
            <w:r w:rsidRPr="000C3952">
              <w:rPr>
                <w:rFonts w:ascii="Times New Roman" w:hAnsi="Times New Roman" w:cs="Times New Roman"/>
                <w:lang w:val="sq-AL"/>
              </w:rPr>
              <w:t>Zyrtari përgjegjës, ekipi mbështetës dhe 2 përfaqësues të HENDIKOS-it</w:t>
            </w:r>
            <w:r w:rsidR="001706EE">
              <w:rPr>
                <w:rFonts w:ascii="Times New Roman" w:hAnsi="Times New Roman" w:cs="Times New Roman"/>
                <w:lang w:val="sq-AL"/>
              </w:rPr>
              <w:t>.</w:t>
            </w:r>
            <w:r w:rsidRPr="000C3952">
              <w:rPr>
                <w:rFonts w:ascii="Times New Roman" w:hAnsi="Times New Roman" w:cs="Times New Roman"/>
                <w:lang w:val="sq-AL"/>
              </w:rPr>
              <w:t xml:space="preserve"> </w:t>
            </w:r>
          </w:p>
        </w:tc>
      </w:tr>
    </w:tbl>
    <w:p w:rsidR="000C3952" w:rsidRPr="000C3952" w:rsidRDefault="000C3952" w:rsidP="000C3952">
      <w:pPr>
        <w:jc w:val="both"/>
        <w:rPr>
          <w:rFonts w:ascii="Times New Roman" w:hAnsi="Times New Roman" w:cs="Times New Roman"/>
          <w:lang w:val="sq-AL"/>
        </w:rPr>
      </w:pPr>
    </w:p>
    <w:p w:rsidR="000C3952" w:rsidRPr="000C3952" w:rsidRDefault="000C3952" w:rsidP="000C3952">
      <w:pPr>
        <w:jc w:val="both"/>
        <w:rPr>
          <w:rFonts w:ascii="Sylfaen" w:hAnsi="Sylfaen"/>
          <w:lang w:val="sq-AL"/>
        </w:rPr>
      </w:pPr>
    </w:p>
    <w:p w:rsidR="000C3952" w:rsidRPr="000C3952" w:rsidRDefault="000C3952" w:rsidP="000C3952">
      <w:pPr>
        <w:jc w:val="both"/>
        <w:rPr>
          <w:rFonts w:ascii="Sylfaen" w:hAnsi="Sylfaen"/>
          <w:lang w:val="sq-AL"/>
        </w:rPr>
      </w:pPr>
    </w:p>
    <w:p w:rsidR="000C3952" w:rsidRPr="000C3952" w:rsidRDefault="000C3952" w:rsidP="000C3952">
      <w:pPr>
        <w:jc w:val="center"/>
        <w:rPr>
          <w:rFonts w:ascii="Times New Roman" w:hAnsi="Times New Roman" w:cs="Times New Roman"/>
          <w:b/>
          <w:lang w:val="sq-AL"/>
        </w:rPr>
      </w:pPr>
      <w:r w:rsidRPr="000C3952">
        <w:rPr>
          <w:rFonts w:ascii="Times New Roman" w:hAnsi="Times New Roman" w:cs="Times New Roman"/>
          <w:b/>
          <w:lang w:val="sq-AL"/>
        </w:rPr>
        <w:t>Përmbledhje e  kontributeve të pranuara gjatë procesit të konsultimit</w:t>
      </w:r>
    </w:p>
    <w:p w:rsidR="000C3952" w:rsidRPr="000C3952" w:rsidRDefault="000C3952" w:rsidP="000C3952">
      <w:pPr>
        <w:jc w:val="center"/>
        <w:rPr>
          <w:rFonts w:ascii="Sylfaen" w:hAnsi="Sylfaen"/>
          <w:b/>
          <w:lang w:val="sq-AL"/>
        </w:rPr>
      </w:pPr>
    </w:p>
    <w:p w:rsidR="000C3952" w:rsidRPr="000C3952" w:rsidRDefault="000C3952" w:rsidP="00795F68">
      <w:pPr>
        <w:jc w:val="both"/>
        <w:rPr>
          <w:rFonts w:ascii="Times New Roman" w:hAnsi="Times New Roman"/>
          <w:lang w:val="sq-AL"/>
        </w:rPr>
      </w:pPr>
      <w:r w:rsidRPr="000C3952">
        <w:rPr>
          <w:rFonts w:ascii="Times New Roman" w:hAnsi="Times New Roman"/>
          <w:lang w:val="sq-AL"/>
        </w:rPr>
        <w:t xml:space="preserve">Kontributet nga palët e interesit gjatë procesit të konsultimit të draftit të </w:t>
      </w:r>
      <w:r w:rsidR="00795F68">
        <w:rPr>
          <w:rFonts w:ascii="Times New Roman" w:hAnsi="Times New Roman"/>
          <w:lang w:val="sq-AL"/>
        </w:rPr>
        <w:t>P</w:t>
      </w:r>
      <w:r w:rsidRPr="000C3952">
        <w:rPr>
          <w:rFonts w:ascii="Times New Roman" w:eastAsia="Calibri" w:hAnsi="Times New Roman" w:cs="Times New Roman"/>
          <w:lang w:val="sq-AL"/>
        </w:rPr>
        <w:t>rojekt</w:t>
      </w:r>
      <w:r w:rsidR="00795F68">
        <w:rPr>
          <w:rFonts w:ascii="Times New Roman" w:eastAsia="Calibri" w:hAnsi="Times New Roman" w:cs="Times New Roman"/>
          <w:lang w:val="sq-AL"/>
        </w:rPr>
        <w:t>u</w:t>
      </w:r>
      <w:r w:rsidRPr="000C3952">
        <w:rPr>
          <w:rFonts w:ascii="Times New Roman" w:eastAsia="Calibri" w:hAnsi="Times New Roman" w:cs="Times New Roman"/>
          <w:lang w:val="sq-AL"/>
        </w:rPr>
        <w:t xml:space="preserve">dhëzimit Administrativ </w:t>
      </w:r>
      <w:r w:rsidRPr="000C3952">
        <w:rPr>
          <w:rFonts w:ascii="Times New Roman" w:hAnsi="Times New Roman" w:cs="Times New Roman"/>
          <w:lang w:val="sq-AL"/>
        </w:rPr>
        <w:t>kanë dhënë</w:t>
      </w:r>
      <w:r w:rsidRPr="000C3952">
        <w:rPr>
          <w:rFonts w:ascii="Times New Roman" w:hAnsi="Times New Roman"/>
          <w:lang w:val="sq-AL"/>
        </w:rPr>
        <w:t xml:space="preserve"> Zyra Ligjore e Zyrës së Kryeministrit si dhe OSCE-ja</w:t>
      </w:r>
      <w:r w:rsidR="00795F68">
        <w:rPr>
          <w:rFonts w:ascii="Times New Roman" w:hAnsi="Times New Roman"/>
          <w:lang w:val="sq-AL"/>
        </w:rPr>
        <w:t>,</w:t>
      </w:r>
      <w:r w:rsidRPr="000C3952">
        <w:rPr>
          <w:rFonts w:ascii="Times New Roman" w:hAnsi="Times New Roman"/>
          <w:lang w:val="sq-AL"/>
        </w:rPr>
        <w:t xml:space="preserve"> të cilët i kanë dërguar komentet përmes postës elektronike</w:t>
      </w:r>
      <w:r w:rsidRPr="000C3952">
        <w:rPr>
          <w:rFonts w:ascii="Times New Roman" w:hAnsi="Times New Roman" w:cs="Times New Roman"/>
          <w:lang w:val="sq-AL"/>
        </w:rPr>
        <w:t xml:space="preserve">. </w:t>
      </w:r>
      <w:r w:rsidRPr="000C3952">
        <w:rPr>
          <w:rFonts w:ascii="Times New Roman" w:hAnsi="Times New Roman"/>
          <w:lang w:val="sq-AL"/>
        </w:rPr>
        <w:t xml:space="preserve"> </w:t>
      </w:r>
    </w:p>
    <w:p w:rsidR="000C3952" w:rsidRPr="000C3952" w:rsidRDefault="000C3952" w:rsidP="000C3952">
      <w:pPr>
        <w:jc w:val="both"/>
        <w:rPr>
          <w:rFonts w:ascii="Sylfaen" w:hAnsi="Sylfaen"/>
          <w:lang w:val="sq-AL"/>
        </w:rPr>
      </w:pPr>
    </w:p>
    <w:p w:rsidR="000C3952" w:rsidRPr="000C3952" w:rsidRDefault="000C3952" w:rsidP="000C3952">
      <w:pPr>
        <w:jc w:val="center"/>
        <w:rPr>
          <w:rFonts w:ascii="Sylfaen" w:hAnsi="Sylfaen"/>
          <w:b/>
          <w:lang w:val="sq-AL"/>
        </w:rPr>
      </w:pPr>
    </w:p>
    <w:p w:rsidR="000C3952" w:rsidRPr="000C3952" w:rsidRDefault="000C3952" w:rsidP="000C3952">
      <w:pPr>
        <w:jc w:val="center"/>
        <w:rPr>
          <w:rFonts w:ascii="Times New Roman" w:hAnsi="Times New Roman" w:cs="Times New Roman"/>
          <w:b/>
          <w:lang w:val="sq-AL"/>
        </w:rPr>
      </w:pPr>
      <w:r w:rsidRPr="000C3952">
        <w:rPr>
          <w:rFonts w:ascii="Times New Roman" w:hAnsi="Times New Roman" w:cs="Times New Roman"/>
          <w:b/>
          <w:lang w:val="sq-AL"/>
        </w:rPr>
        <w:t>Hapat e ardhshëm</w:t>
      </w:r>
    </w:p>
    <w:p w:rsidR="000C3952" w:rsidRPr="000C3952" w:rsidRDefault="000C3952" w:rsidP="000C3952">
      <w:pPr>
        <w:jc w:val="both"/>
        <w:rPr>
          <w:rFonts w:ascii="Sylfaen" w:hAnsi="Sylfaen"/>
          <w:lang w:val="sq-AL"/>
        </w:rPr>
      </w:pPr>
    </w:p>
    <w:p w:rsidR="000C3952" w:rsidRPr="000C3952" w:rsidRDefault="000C3952" w:rsidP="00795F68">
      <w:pPr>
        <w:jc w:val="both"/>
        <w:rPr>
          <w:rFonts w:ascii="Times New Roman" w:hAnsi="Times New Roman"/>
          <w:lang w:val="sq-AL"/>
        </w:rPr>
      </w:pPr>
      <w:r w:rsidRPr="000C3952">
        <w:rPr>
          <w:rFonts w:ascii="Times New Roman" w:hAnsi="Times New Roman"/>
          <w:lang w:val="sq-AL"/>
        </w:rPr>
        <w:t xml:space="preserve">Drafti </w:t>
      </w:r>
      <w:r w:rsidR="00795F68">
        <w:rPr>
          <w:rFonts w:ascii="Times New Roman" w:hAnsi="Times New Roman"/>
          <w:lang w:val="sq-AL"/>
        </w:rPr>
        <w:t>i P</w:t>
      </w:r>
      <w:r w:rsidRPr="000C3952">
        <w:rPr>
          <w:rFonts w:ascii="Times New Roman" w:eastAsia="Calibri" w:hAnsi="Times New Roman" w:cs="Times New Roman"/>
          <w:lang w:val="sq-AL"/>
        </w:rPr>
        <w:t>rojekt</w:t>
      </w:r>
      <w:r w:rsidR="00795F68">
        <w:rPr>
          <w:rFonts w:ascii="Times New Roman" w:eastAsia="Calibri" w:hAnsi="Times New Roman" w:cs="Times New Roman"/>
          <w:lang w:val="sq-AL"/>
        </w:rPr>
        <w:t>u</w:t>
      </w:r>
      <w:r w:rsidRPr="000C3952">
        <w:rPr>
          <w:rFonts w:ascii="Times New Roman" w:eastAsia="Calibri" w:hAnsi="Times New Roman" w:cs="Times New Roman"/>
          <w:lang w:val="sq-AL"/>
        </w:rPr>
        <w:t xml:space="preserve">dhëzimit Administrativ </w:t>
      </w:r>
      <w:r w:rsidRPr="000C3952">
        <w:rPr>
          <w:rFonts w:ascii="Times New Roman" w:hAnsi="Times New Roman"/>
          <w:lang w:val="sq-AL"/>
        </w:rPr>
        <w:t xml:space="preserve">për mënyrën, procedurat dhe afatet e pagesës mujore për </w:t>
      </w:r>
      <w:r w:rsidRPr="000C3952">
        <w:rPr>
          <w:rFonts w:ascii="Times New Roman" w:hAnsi="Times New Roman" w:cs="Times New Roman"/>
          <w:lang w:val="sq-AL"/>
        </w:rPr>
        <w:t>punëdhënësit të cilët nuk punësojnë persona me aftësi të kufizuar</w:t>
      </w:r>
      <w:r w:rsidR="00795F68">
        <w:rPr>
          <w:rFonts w:ascii="Times New Roman" w:hAnsi="Times New Roman" w:cs="Times New Roman"/>
          <w:lang w:val="sq-AL"/>
        </w:rPr>
        <w:t>a</w:t>
      </w:r>
      <w:r w:rsidRPr="000C3952">
        <w:rPr>
          <w:rFonts w:ascii="Times New Roman" w:hAnsi="Times New Roman"/>
          <w:lang w:val="sq-AL"/>
        </w:rPr>
        <w:t xml:space="preserve"> tani është finalizuar. Në draftin final janë përfshirë komentet/propozimet e pranuara dhe janë riformuluar disa të tjera. Tabela me komentet dhe përgjigjet në komente është finalizuar dhe ajo do të publikohet në platformën online për konsultimet me publikun. Ajo përmban tri kolona: </w:t>
      </w:r>
    </w:p>
    <w:p w:rsidR="000C3952" w:rsidRPr="000C3952" w:rsidRDefault="000C3952" w:rsidP="000C3952">
      <w:pPr>
        <w:jc w:val="both"/>
        <w:rPr>
          <w:rFonts w:ascii="Times New Roman" w:hAnsi="Times New Roman"/>
          <w:lang w:val="sq-AL"/>
        </w:rPr>
      </w:pPr>
    </w:p>
    <w:p w:rsidR="000C3952" w:rsidRPr="000C3952" w:rsidRDefault="000C3952" w:rsidP="000C3952">
      <w:pPr>
        <w:numPr>
          <w:ilvl w:val="0"/>
          <w:numId w:val="2"/>
        </w:numPr>
        <w:jc w:val="both"/>
        <w:rPr>
          <w:rFonts w:ascii="Times New Roman" w:eastAsia="Times New Roman" w:hAnsi="Times New Roman" w:cs="Times New Roman"/>
          <w:lang w:val="sq-AL" w:eastAsia="x-none"/>
        </w:rPr>
      </w:pPr>
      <w:r w:rsidRPr="000C3952">
        <w:rPr>
          <w:rFonts w:ascii="Times New Roman" w:eastAsia="Times New Roman" w:hAnsi="Times New Roman" w:cs="Times New Roman"/>
          <w:lang w:val="sq-AL" w:eastAsia="x-none"/>
        </w:rPr>
        <w:t>kolona 1 përmban draftin e dërguar për diskutim;</w:t>
      </w:r>
    </w:p>
    <w:p w:rsidR="000C3952" w:rsidRPr="000C3952" w:rsidRDefault="000C3952" w:rsidP="000C3952">
      <w:pPr>
        <w:numPr>
          <w:ilvl w:val="0"/>
          <w:numId w:val="2"/>
        </w:numPr>
        <w:jc w:val="both"/>
        <w:rPr>
          <w:rFonts w:ascii="Times New Roman" w:eastAsia="Times New Roman" w:hAnsi="Times New Roman" w:cs="Times New Roman"/>
          <w:lang w:val="sq-AL" w:eastAsia="x-none"/>
        </w:rPr>
      </w:pPr>
      <w:r w:rsidRPr="000C3952">
        <w:rPr>
          <w:rFonts w:ascii="Times New Roman" w:eastAsia="Times New Roman" w:hAnsi="Times New Roman" w:cs="Times New Roman"/>
          <w:lang w:val="sq-AL" w:eastAsia="x-none"/>
        </w:rPr>
        <w:t>kolona 2 përmban komentet, vërejtjet dhe propozimet nga palët e interesit;</w:t>
      </w:r>
    </w:p>
    <w:p w:rsidR="000C3952" w:rsidRPr="000C3952" w:rsidRDefault="000C3952" w:rsidP="000C3952">
      <w:pPr>
        <w:numPr>
          <w:ilvl w:val="0"/>
          <w:numId w:val="2"/>
        </w:numPr>
        <w:jc w:val="both"/>
        <w:rPr>
          <w:rFonts w:ascii="Times New Roman" w:eastAsia="Times New Roman" w:hAnsi="Times New Roman" w:cs="Times New Roman"/>
          <w:lang w:val="sq-AL" w:eastAsia="x-none"/>
        </w:rPr>
      </w:pPr>
      <w:r w:rsidRPr="000C3952">
        <w:rPr>
          <w:rFonts w:ascii="Times New Roman" w:eastAsia="Times New Roman" w:hAnsi="Times New Roman" w:cs="Times New Roman"/>
          <w:lang w:val="sq-AL" w:eastAsia="x-none"/>
        </w:rPr>
        <w:t>kolona 3 përmban përgjigjet tona në komentet/propozimet e palëve të interesit, të cilat tregojnë se janë pranuar, janë pranuar pjesërisht apo nuk janë pranuar propozimet, si dhe arsyetimin.</w:t>
      </w:r>
    </w:p>
    <w:p w:rsidR="000C3952" w:rsidRPr="000C3952" w:rsidRDefault="000C3952" w:rsidP="000C3952">
      <w:pPr>
        <w:jc w:val="both"/>
        <w:rPr>
          <w:rFonts w:ascii="Times New Roman" w:hAnsi="Times New Roman"/>
          <w:lang w:val="sq-AL"/>
        </w:rPr>
      </w:pPr>
      <w:r w:rsidRPr="000C3952">
        <w:rPr>
          <w:rFonts w:ascii="Times New Roman" w:hAnsi="Times New Roman"/>
          <w:lang w:val="sq-AL"/>
        </w:rPr>
        <w:t xml:space="preserve"> </w:t>
      </w:r>
    </w:p>
    <w:p w:rsidR="000C3952" w:rsidRPr="000C3952" w:rsidRDefault="000C3952" w:rsidP="00795F68">
      <w:pPr>
        <w:jc w:val="both"/>
        <w:rPr>
          <w:rFonts w:ascii="Times New Roman" w:hAnsi="Times New Roman"/>
          <w:lang w:val="sq-AL"/>
        </w:rPr>
      </w:pPr>
      <w:r w:rsidRPr="000C3952">
        <w:rPr>
          <w:rFonts w:ascii="Times New Roman" w:hAnsi="Times New Roman"/>
          <w:lang w:val="sq-AL"/>
        </w:rPr>
        <w:t>Drafti i Udhëzimit gjatë ditëve në vijim do të procedohet për miratim nga Ministri i MPMS-së.</w:t>
      </w:r>
    </w:p>
    <w:p w:rsidR="000C3952" w:rsidRPr="000C3952" w:rsidRDefault="000C3952" w:rsidP="000C3952">
      <w:pPr>
        <w:rPr>
          <w:rFonts w:ascii="Times New Roman" w:hAnsi="Times New Roman" w:cs="Times New Roman"/>
          <w:lang w:val="sq-AL"/>
        </w:rPr>
      </w:pPr>
      <w:r w:rsidRPr="000C3952">
        <w:rPr>
          <w:rFonts w:ascii="Times New Roman" w:hAnsi="Times New Roman"/>
          <w:lang w:val="sq-AL"/>
        </w:rPr>
        <w:br w:type="page"/>
      </w:r>
      <w:r w:rsidRPr="000C3952">
        <w:rPr>
          <w:rFonts w:ascii="Times New Roman" w:hAnsi="Times New Roman" w:cs="Times New Roman"/>
          <w:lang w:val="sq-AL"/>
        </w:rPr>
        <w:lastRenderedPageBreak/>
        <w:t xml:space="preserve">Shtojca – tabela e detajuar me informatat për </w:t>
      </w:r>
      <w:r w:rsidR="00BB508A" w:rsidRPr="000C3952">
        <w:rPr>
          <w:rFonts w:ascii="Times New Roman" w:hAnsi="Times New Roman" w:cs="Times New Roman"/>
          <w:lang w:val="sq-AL"/>
        </w:rPr>
        <w:t>kontribuuesit</w:t>
      </w:r>
      <w:r w:rsidRPr="000C3952">
        <w:rPr>
          <w:rFonts w:ascii="Times New Roman" w:hAnsi="Times New Roman" w:cs="Times New Roman"/>
          <w:lang w:val="sq-AL"/>
        </w:rPr>
        <w:t xml:space="preserve">, arsyetimet për përgjigjet e pranuara dhe të refuzuara.  </w:t>
      </w:r>
    </w:p>
    <w:p w:rsidR="000C3952" w:rsidRPr="000C3952" w:rsidRDefault="000C3952" w:rsidP="000C3952">
      <w:pPr>
        <w:rPr>
          <w:rFonts w:ascii="Times New Roman" w:hAnsi="Times New Roman" w:cs="Times New Roman"/>
          <w:lang w:val="sq-AL"/>
        </w:rPr>
      </w:pPr>
    </w:p>
    <w:tbl>
      <w:tblPr>
        <w:tblStyle w:val="GridTable1Light-Accent51"/>
        <w:tblW w:w="9648" w:type="dxa"/>
        <w:tblLook w:val="0420" w:firstRow="1" w:lastRow="0" w:firstColumn="0" w:lastColumn="0" w:noHBand="0" w:noVBand="1"/>
      </w:tblPr>
      <w:tblGrid>
        <w:gridCol w:w="1433"/>
        <w:gridCol w:w="2732"/>
        <w:gridCol w:w="2208"/>
        <w:gridCol w:w="3275"/>
      </w:tblGrid>
      <w:tr w:rsidR="000C3952" w:rsidRPr="000C3952" w:rsidTr="006D0061">
        <w:trPr>
          <w:cnfStyle w:val="100000000000" w:firstRow="1" w:lastRow="0" w:firstColumn="0" w:lastColumn="0" w:oddVBand="0" w:evenVBand="0" w:oddHBand="0" w:evenHBand="0" w:firstRowFirstColumn="0" w:firstRowLastColumn="0" w:lastRowFirstColumn="0" w:lastRowLastColumn="0"/>
          <w:trHeight w:val="1582"/>
        </w:trPr>
        <w:tc>
          <w:tcPr>
            <w:tcW w:w="1433" w:type="dxa"/>
            <w:shd w:val="clear" w:color="auto" w:fill="FBE4D5" w:themeFill="accent2" w:themeFillTint="33"/>
            <w:hideMark/>
          </w:tcPr>
          <w:p w:rsidR="000C3952" w:rsidRPr="000C3952" w:rsidRDefault="000C3952" w:rsidP="00BB508A">
            <w:pPr>
              <w:rPr>
                <w:rFonts w:ascii="Times New Roman" w:hAnsi="Times New Roman" w:cs="Times New Roman"/>
                <w:lang w:val="sq-AL"/>
              </w:rPr>
            </w:pPr>
            <w:r w:rsidRPr="000C3952">
              <w:rPr>
                <w:rFonts w:ascii="Times New Roman" w:hAnsi="Times New Roman" w:cs="Times New Roman"/>
                <w:lang w:val="sq-AL"/>
              </w:rPr>
              <w:t>Emri i  organizatës /</w:t>
            </w:r>
            <w:r w:rsidR="00BB508A">
              <w:rPr>
                <w:rFonts w:ascii="Times New Roman" w:hAnsi="Times New Roman" w:cs="Times New Roman"/>
                <w:lang w:val="sq-AL"/>
              </w:rPr>
              <w:t xml:space="preserve"> </w:t>
            </w:r>
            <w:r w:rsidRPr="000C3952">
              <w:rPr>
                <w:rFonts w:ascii="Times New Roman" w:hAnsi="Times New Roman" w:cs="Times New Roman"/>
                <w:lang w:val="sq-AL"/>
              </w:rPr>
              <w:t>individit</w:t>
            </w:r>
          </w:p>
        </w:tc>
        <w:tc>
          <w:tcPr>
            <w:tcW w:w="2732" w:type="dxa"/>
            <w:shd w:val="clear" w:color="auto" w:fill="FBE4D5" w:themeFill="accent2" w:themeFillTint="33"/>
            <w:hideMark/>
          </w:tcPr>
          <w:p w:rsidR="000C3952" w:rsidRPr="000C3952" w:rsidRDefault="000C3952" w:rsidP="00BB508A">
            <w:pPr>
              <w:rPr>
                <w:rFonts w:ascii="Times New Roman" w:hAnsi="Times New Roman" w:cs="Times New Roman"/>
                <w:lang w:val="sq-AL"/>
              </w:rPr>
            </w:pPr>
            <w:r w:rsidRPr="000C3952">
              <w:rPr>
                <w:rFonts w:ascii="Times New Roman" w:hAnsi="Times New Roman" w:cs="Times New Roman"/>
                <w:lang w:val="sq-AL"/>
              </w:rPr>
              <w:t>Koment i  organizatës /</w:t>
            </w:r>
            <w:r w:rsidR="00BB508A">
              <w:rPr>
                <w:rFonts w:ascii="Times New Roman" w:hAnsi="Times New Roman" w:cs="Times New Roman"/>
                <w:lang w:val="sq-AL"/>
              </w:rPr>
              <w:t xml:space="preserve"> </w:t>
            </w:r>
            <w:r w:rsidRPr="000C3952">
              <w:rPr>
                <w:rFonts w:ascii="Times New Roman" w:hAnsi="Times New Roman" w:cs="Times New Roman"/>
                <w:lang w:val="sq-AL"/>
              </w:rPr>
              <w:t>individit</w:t>
            </w:r>
          </w:p>
        </w:tc>
        <w:tc>
          <w:tcPr>
            <w:tcW w:w="2208" w:type="dxa"/>
            <w:shd w:val="clear" w:color="auto" w:fill="FBE4D5" w:themeFill="accent2" w:themeFillTint="33"/>
            <w:hideMark/>
          </w:tcPr>
          <w:p w:rsidR="000C3952" w:rsidRPr="000C3952" w:rsidRDefault="000C3952" w:rsidP="000C3952">
            <w:pPr>
              <w:rPr>
                <w:rFonts w:ascii="Times New Roman" w:hAnsi="Times New Roman" w:cs="Times New Roman"/>
                <w:lang w:val="sq-AL"/>
              </w:rPr>
            </w:pPr>
            <w:r w:rsidRPr="000C3952">
              <w:rPr>
                <w:rFonts w:ascii="Times New Roman" w:hAnsi="Times New Roman" w:cs="Times New Roman"/>
                <w:lang w:val="sq-AL"/>
              </w:rPr>
              <w:t>Përgjigja nga Ministria</w:t>
            </w:r>
            <w:r w:rsidR="00BB508A">
              <w:rPr>
                <w:rFonts w:ascii="Times New Roman" w:hAnsi="Times New Roman" w:cs="Times New Roman"/>
                <w:lang w:val="sq-AL"/>
              </w:rPr>
              <w:t>:</w:t>
            </w:r>
          </w:p>
          <w:p w:rsidR="000C3952" w:rsidRPr="000C3952" w:rsidRDefault="000C3952" w:rsidP="000C3952">
            <w:pPr>
              <w:rPr>
                <w:rFonts w:ascii="Times New Roman" w:hAnsi="Times New Roman" w:cs="Times New Roman"/>
                <w:lang w:val="sq-AL"/>
              </w:rPr>
            </w:pPr>
            <w:r w:rsidRPr="000C3952">
              <w:rPr>
                <w:rFonts w:ascii="Times New Roman" w:hAnsi="Times New Roman" w:cs="Times New Roman"/>
                <w:lang w:val="sq-AL"/>
              </w:rPr>
              <w:t>E pranuar plotësisht</w:t>
            </w:r>
            <w:r w:rsidR="00BB508A">
              <w:rPr>
                <w:rFonts w:ascii="Times New Roman" w:hAnsi="Times New Roman" w:cs="Times New Roman"/>
                <w:lang w:val="sq-AL"/>
              </w:rPr>
              <w:t>,</w:t>
            </w:r>
          </w:p>
          <w:p w:rsidR="000C3952" w:rsidRPr="000C3952" w:rsidRDefault="000C3952" w:rsidP="000C3952">
            <w:pPr>
              <w:rPr>
                <w:rFonts w:ascii="Times New Roman" w:hAnsi="Times New Roman" w:cs="Times New Roman"/>
                <w:lang w:val="sq-AL"/>
              </w:rPr>
            </w:pPr>
            <w:r w:rsidRPr="000C3952">
              <w:rPr>
                <w:rFonts w:ascii="Times New Roman" w:hAnsi="Times New Roman" w:cs="Times New Roman"/>
                <w:lang w:val="sq-AL"/>
              </w:rPr>
              <w:t>E pranuar pjesërisht</w:t>
            </w:r>
            <w:r w:rsidR="00BB508A">
              <w:rPr>
                <w:rFonts w:ascii="Times New Roman" w:hAnsi="Times New Roman" w:cs="Times New Roman"/>
                <w:lang w:val="sq-AL"/>
              </w:rPr>
              <w:t>,</w:t>
            </w:r>
            <w:r w:rsidRPr="000C3952">
              <w:rPr>
                <w:rFonts w:ascii="Times New Roman" w:hAnsi="Times New Roman" w:cs="Times New Roman"/>
                <w:lang w:val="sq-AL"/>
              </w:rPr>
              <w:t xml:space="preserve"> </w:t>
            </w:r>
          </w:p>
          <w:p w:rsidR="000C3952" w:rsidRPr="000C3952" w:rsidRDefault="000C3952" w:rsidP="000C3952">
            <w:pPr>
              <w:rPr>
                <w:rFonts w:ascii="Times New Roman" w:hAnsi="Times New Roman" w:cs="Times New Roman"/>
                <w:lang w:val="sq-AL"/>
              </w:rPr>
            </w:pPr>
            <w:r w:rsidRPr="000C3952">
              <w:rPr>
                <w:rFonts w:ascii="Times New Roman" w:hAnsi="Times New Roman" w:cs="Times New Roman"/>
                <w:lang w:val="sq-AL"/>
              </w:rPr>
              <w:t>E refuzuar</w:t>
            </w:r>
            <w:r w:rsidR="00BB508A">
              <w:rPr>
                <w:rFonts w:ascii="Times New Roman" w:hAnsi="Times New Roman" w:cs="Times New Roman"/>
                <w:lang w:val="sq-AL"/>
              </w:rPr>
              <w:t>.</w:t>
            </w:r>
          </w:p>
        </w:tc>
        <w:tc>
          <w:tcPr>
            <w:tcW w:w="3275" w:type="dxa"/>
            <w:shd w:val="clear" w:color="auto" w:fill="FBE4D5" w:themeFill="accent2" w:themeFillTint="33"/>
            <w:hideMark/>
          </w:tcPr>
          <w:p w:rsidR="000C3952" w:rsidRPr="000C3952" w:rsidRDefault="000C3952" w:rsidP="000C3952">
            <w:pPr>
              <w:rPr>
                <w:rFonts w:ascii="Times New Roman" w:hAnsi="Times New Roman" w:cs="Times New Roman"/>
                <w:lang w:val="sq-AL"/>
              </w:rPr>
            </w:pPr>
            <w:r w:rsidRPr="000C3952">
              <w:rPr>
                <w:rFonts w:ascii="Times New Roman" w:hAnsi="Times New Roman" w:cs="Times New Roman"/>
                <w:lang w:val="sq-AL"/>
              </w:rPr>
              <w:t xml:space="preserve">Sqarim nga Ministria </w:t>
            </w:r>
          </w:p>
          <w:p w:rsidR="000C3952" w:rsidRPr="000C3952" w:rsidRDefault="000C3952" w:rsidP="000C3952">
            <w:pPr>
              <w:tabs>
                <w:tab w:val="left" w:pos="2556"/>
              </w:tabs>
              <w:ind w:right="541"/>
              <w:rPr>
                <w:rFonts w:ascii="Times New Roman" w:hAnsi="Times New Roman" w:cs="Times New Roman"/>
                <w:lang w:val="sq-AL"/>
              </w:rPr>
            </w:pPr>
            <w:r w:rsidRPr="000C3952">
              <w:rPr>
                <w:rFonts w:ascii="Times New Roman" w:hAnsi="Times New Roman" w:cs="Times New Roman"/>
                <w:lang w:val="sq-AL"/>
              </w:rPr>
              <w:t>(veçanërisht arsyet për të mos pranuar komente të caktuara)</w:t>
            </w:r>
          </w:p>
        </w:tc>
      </w:tr>
      <w:tr w:rsidR="000C3952" w:rsidRPr="000C3952" w:rsidTr="006D0061">
        <w:trPr>
          <w:trHeight w:val="954"/>
        </w:trPr>
        <w:tc>
          <w:tcPr>
            <w:tcW w:w="1433" w:type="dxa"/>
          </w:tcPr>
          <w:p w:rsidR="000C3952" w:rsidRPr="000C3952" w:rsidRDefault="000C3952" w:rsidP="000C3952">
            <w:pPr>
              <w:rPr>
                <w:rFonts w:ascii="Times New Roman" w:hAnsi="Times New Roman" w:cs="Times New Roman"/>
                <w:lang w:val="sq-AL"/>
              </w:rPr>
            </w:pPr>
            <w:r w:rsidRPr="000C3952">
              <w:rPr>
                <w:rFonts w:ascii="Times New Roman" w:hAnsi="Times New Roman" w:cs="Times New Roman"/>
                <w:lang w:val="sq-AL"/>
              </w:rPr>
              <w:t>Zyra Ligjore</w:t>
            </w:r>
            <w:r w:rsidR="00BB508A">
              <w:rPr>
                <w:rFonts w:ascii="Times New Roman" w:hAnsi="Times New Roman" w:cs="Times New Roman"/>
                <w:lang w:val="sq-AL"/>
              </w:rPr>
              <w:t xml:space="preserve"> e</w:t>
            </w:r>
            <w:r w:rsidRPr="000C3952">
              <w:rPr>
                <w:rFonts w:ascii="Times New Roman" w:hAnsi="Times New Roman" w:cs="Times New Roman"/>
                <w:lang w:val="sq-AL"/>
              </w:rPr>
              <w:t xml:space="preserve"> ZKM-së </w:t>
            </w:r>
          </w:p>
        </w:tc>
        <w:tc>
          <w:tcPr>
            <w:tcW w:w="2732" w:type="dxa"/>
          </w:tcPr>
          <w:p w:rsidR="000C3952" w:rsidRPr="000C3952" w:rsidRDefault="000C3952" w:rsidP="00BB508A">
            <w:pPr>
              <w:rPr>
                <w:rFonts w:ascii="Times New Roman" w:hAnsi="Times New Roman" w:cs="Times New Roman"/>
                <w:lang w:val="sq-AL"/>
              </w:rPr>
            </w:pPr>
            <w:r w:rsidRPr="000C3952">
              <w:rPr>
                <w:rFonts w:ascii="Times New Roman" w:hAnsi="Times New Roman" w:cs="Times New Roman"/>
                <w:lang w:val="sq-AL"/>
              </w:rPr>
              <w:t>Drafti fillestar </w:t>
            </w:r>
            <w:r w:rsidR="00BB508A">
              <w:rPr>
                <w:rFonts w:ascii="Times New Roman" w:hAnsi="Times New Roman" w:cs="Times New Roman"/>
                <w:lang w:val="sq-AL"/>
              </w:rPr>
              <w:t>i</w:t>
            </w:r>
            <w:r w:rsidRPr="000C3952">
              <w:rPr>
                <w:rFonts w:ascii="Times New Roman" w:hAnsi="Times New Roman" w:cs="Times New Roman"/>
                <w:lang w:val="sq-AL"/>
              </w:rPr>
              <w:t xml:space="preserve"> </w:t>
            </w:r>
            <w:r w:rsidR="00BB508A">
              <w:rPr>
                <w:rFonts w:ascii="Times New Roman" w:hAnsi="Times New Roman" w:cs="Times New Roman"/>
                <w:lang w:val="sq-AL"/>
              </w:rPr>
              <w:t>P</w:t>
            </w:r>
            <w:r w:rsidRPr="000C3952">
              <w:rPr>
                <w:rFonts w:ascii="Times New Roman" w:hAnsi="Times New Roman" w:cs="Times New Roman"/>
                <w:lang w:val="sq-AL"/>
              </w:rPr>
              <w:t xml:space="preserve">rojektudhëzimit </w:t>
            </w:r>
            <w:r w:rsidR="00BB508A">
              <w:rPr>
                <w:rFonts w:ascii="Times New Roman" w:hAnsi="Times New Roman" w:cs="Times New Roman"/>
                <w:lang w:val="sq-AL"/>
              </w:rPr>
              <w:t>A</w:t>
            </w:r>
            <w:r w:rsidRPr="000C3952">
              <w:rPr>
                <w:rFonts w:ascii="Times New Roman" w:hAnsi="Times New Roman" w:cs="Times New Roman"/>
                <w:lang w:val="sq-AL"/>
              </w:rPr>
              <w:t>dministrativ për mënyrën dhe procedurat e vlerësimit të aftësisë për punë të personave me aftësi të kufizuara,</w:t>
            </w:r>
          </w:p>
          <w:p w:rsidR="000C3952" w:rsidRPr="000C3952" w:rsidRDefault="000C3952" w:rsidP="00BB508A">
            <w:pPr>
              <w:rPr>
                <w:rFonts w:ascii="Times New Roman" w:hAnsi="Times New Roman" w:cs="Times New Roman"/>
                <w:lang w:val="sq-AL"/>
              </w:rPr>
            </w:pPr>
            <w:r w:rsidRPr="000C3952">
              <w:rPr>
                <w:rFonts w:ascii="Times New Roman" w:hAnsi="Times New Roman" w:cs="Times New Roman"/>
                <w:lang w:val="sq-AL"/>
              </w:rPr>
              <w:t>është në përputhje me kornizën</w:t>
            </w:r>
            <w:r w:rsidR="00BB508A">
              <w:rPr>
                <w:rFonts w:ascii="Times New Roman" w:hAnsi="Times New Roman" w:cs="Times New Roman"/>
                <w:lang w:val="sq-AL"/>
              </w:rPr>
              <w:t xml:space="preserve"> </w:t>
            </w:r>
            <w:r w:rsidRPr="000C3952">
              <w:rPr>
                <w:rFonts w:ascii="Times New Roman" w:hAnsi="Times New Roman" w:cs="Times New Roman"/>
                <w:lang w:val="sq-AL"/>
              </w:rPr>
              <w:t>ekzistuese  ligjore dhe është i përfshir</w:t>
            </w:r>
            <w:r w:rsidR="00BB508A">
              <w:rPr>
                <w:rFonts w:ascii="Times New Roman" w:hAnsi="Times New Roman" w:cs="Times New Roman"/>
                <w:lang w:val="sq-AL"/>
              </w:rPr>
              <w:t>ë</w:t>
            </w:r>
            <w:r w:rsidRPr="000C3952">
              <w:rPr>
                <w:rFonts w:ascii="Times New Roman" w:hAnsi="Times New Roman" w:cs="Times New Roman"/>
                <w:lang w:val="sq-AL"/>
              </w:rPr>
              <w:t xml:space="preserve"> në planin e akteve nënligjore 2018</w:t>
            </w:r>
            <w:r w:rsidR="00BB508A">
              <w:rPr>
                <w:rFonts w:ascii="Times New Roman" w:hAnsi="Times New Roman" w:cs="Times New Roman"/>
                <w:lang w:val="sq-AL"/>
              </w:rPr>
              <w:t>.</w:t>
            </w:r>
            <w:r w:rsidRPr="000C3952">
              <w:rPr>
                <w:rFonts w:ascii="Times New Roman" w:hAnsi="Times New Roman" w:cs="Times New Roman"/>
                <w:lang w:val="sq-AL"/>
              </w:rPr>
              <w:t xml:space="preserve"> </w:t>
            </w:r>
          </w:p>
        </w:tc>
        <w:tc>
          <w:tcPr>
            <w:tcW w:w="2208" w:type="dxa"/>
          </w:tcPr>
          <w:p w:rsidR="000C3952" w:rsidRPr="000C3952" w:rsidRDefault="00BB508A" w:rsidP="000C3952">
            <w:pPr>
              <w:rPr>
                <w:rFonts w:ascii="Times New Roman" w:hAnsi="Times New Roman" w:cs="Times New Roman"/>
                <w:lang w:val="sq-AL"/>
              </w:rPr>
            </w:pPr>
            <w:r w:rsidRPr="000C3952">
              <w:rPr>
                <w:rFonts w:ascii="Times New Roman" w:hAnsi="Times New Roman" w:cs="Times New Roman"/>
                <w:lang w:val="sq-AL"/>
              </w:rPr>
              <w:t>Është</w:t>
            </w:r>
            <w:r w:rsidR="000C3952" w:rsidRPr="000C3952">
              <w:rPr>
                <w:rFonts w:ascii="Times New Roman" w:hAnsi="Times New Roman" w:cs="Times New Roman"/>
                <w:lang w:val="sq-AL"/>
              </w:rPr>
              <w:t xml:space="preserve"> pranuar </w:t>
            </w:r>
          </w:p>
        </w:tc>
        <w:tc>
          <w:tcPr>
            <w:tcW w:w="3275" w:type="dxa"/>
          </w:tcPr>
          <w:p w:rsidR="000C3952" w:rsidRPr="000C3952" w:rsidRDefault="000C3952" w:rsidP="000C3952">
            <w:pPr>
              <w:tabs>
                <w:tab w:val="left" w:pos="180"/>
              </w:tabs>
              <w:jc w:val="both"/>
              <w:rPr>
                <w:rFonts w:ascii="Times New Roman" w:eastAsia="Book Antiqua" w:hAnsi="Times New Roman" w:cs="Times New Roman"/>
                <w:lang w:val="sq-AL"/>
              </w:rPr>
            </w:pPr>
          </w:p>
        </w:tc>
      </w:tr>
      <w:tr w:rsidR="000C3952" w:rsidRPr="000C3952" w:rsidTr="006D0061">
        <w:trPr>
          <w:trHeight w:val="954"/>
        </w:trPr>
        <w:tc>
          <w:tcPr>
            <w:tcW w:w="1433" w:type="dxa"/>
          </w:tcPr>
          <w:p w:rsidR="000C3952" w:rsidRPr="000C3952" w:rsidRDefault="000C3952" w:rsidP="000C3952">
            <w:pPr>
              <w:rPr>
                <w:rFonts w:ascii="Times New Roman" w:hAnsi="Times New Roman" w:cs="Times New Roman"/>
                <w:lang w:val="sq-AL"/>
              </w:rPr>
            </w:pPr>
            <w:r w:rsidRPr="000C3952">
              <w:rPr>
                <w:rFonts w:ascii="Times New Roman" w:hAnsi="Times New Roman" w:cs="Times New Roman"/>
                <w:lang w:val="sq-AL"/>
              </w:rPr>
              <w:t>OSCE</w:t>
            </w:r>
          </w:p>
        </w:tc>
        <w:tc>
          <w:tcPr>
            <w:tcW w:w="2732" w:type="dxa"/>
          </w:tcPr>
          <w:p w:rsidR="000C3952" w:rsidRPr="000C3952" w:rsidRDefault="000C3952" w:rsidP="00BB508A">
            <w:pPr>
              <w:suppressAutoHyphens/>
              <w:spacing w:after="200" w:line="276" w:lineRule="auto"/>
              <w:jc w:val="both"/>
              <w:rPr>
                <w:rFonts w:ascii="Times New Roman" w:eastAsia="Arial Unicode MS" w:hAnsi="Times New Roman" w:cs="Times New Roman"/>
                <w:bCs/>
                <w:kern w:val="2"/>
                <w:lang w:val="sq-AL" w:eastAsia="ar-SA"/>
              </w:rPr>
            </w:pPr>
            <w:r w:rsidRPr="000C3952">
              <w:rPr>
                <w:rFonts w:ascii="Times New Roman" w:eastAsia="Arial Unicode MS" w:hAnsi="Times New Roman" w:cs="Times New Roman"/>
                <w:bCs/>
                <w:kern w:val="2"/>
                <w:lang w:val="sq-AL" w:eastAsia="ar-SA"/>
              </w:rPr>
              <w:t xml:space="preserve">Specifikoni nëse afati prej </w:t>
            </w:r>
            <w:r w:rsidR="00BB508A">
              <w:rPr>
                <w:rFonts w:ascii="Times New Roman" w:eastAsia="Arial Unicode MS" w:hAnsi="Times New Roman" w:cs="Times New Roman"/>
                <w:bCs/>
                <w:kern w:val="2"/>
                <w:lang w:val="sq-AL" w:eastAsia="ar-SA"/>
              </w:rPr>
              <w:t>“</w:t>
            </w:r>
            <w:r w:rsidRPr="000C3952">
              <w:rPr>
                <w:rFonts w:ascii="Times New Roman" w:eastAsia="Arial Unicode MS" w:hAnsi="Times New Roman" w:cs="Times New Roman"/>
                <w:bCs/>
                <w:kern w:val="2"/>
                <w:lang w:val="sq-AL" w:eastAsia="ar-SA"/>
              </w:rPr>
              <w:t>15 ditë</w:t>
            </w:r>
            <w:r w:rsidR="00BB508A">
              <w:rPr>
                <w:rFonts w:ascii="Times New Roman" w:eastAsia="Arial Unicode MS" w:hAnsi="Times New Roman" w:cs="Times New Roman"/>
                <w:bCs/>
                <w:kern w:val="2"/>
                <w:lang w:val="sq-AL" w:eastAsia="ar-SA"/>
              </w:rPr>
              <w:t>sh</w:t>
            </w:r>
            <w:r w:rsidRPr="000C3952">
              <w:rPr>
                <w:rFonts w:ascii="Times New Roman" w:eastAsia="Arial Unicode MS" w:hAnsi="Times New Roman" w:cs="Times New Roman"/>
                <w:bCs/>
                <w:kern w:val="2"/>
                <w:lang w:val="sq-AL" w:eastAsia="ar-SA"/>
              </w:rPr>
              <w:t>”</w:t>
            </w:r>
            <w:r w:rsidR="00BB508A">
              <w:rPr>
                <w:rFonts w:ascii="Times New Roman" w:eastAsia="Arial Unicode MS" w:hAnsi="Times New Roman" w:cs="Times New Roman"/>
                <w:bCs/>
                <w:kern w:val="2"/>
                <w:lang w:val="sq-AL" w:eastAsia="ar-SA"/>
              </w:rPr>
              <w:t>,</w:t>
            </w:r>
            <w:r w:rsidRPr="000C3952">
              <w:rPr>
                <w:rFonts w:ascii="Times New Roman" w:eastAsia="Arial Unicode MS" w:hAnsi="Times New Roman" w:cs="Times New Roman"/>
                <w:bCs/>
                <w:kern w:val="2"/>
                <w:lang w:val="sq-AL" w:eastAsia="ar-SA"/>
              </w:rPr>
              <w:t xml:space="preserve"> i referuar në nenin 8 (4) (5) (6) është kalendarik ose ditë pune.</w:t>
            </w:r>
          </w:p>
          <w:p w:rsidR="000C3952" w:rsidRPr="000C3952" w:rsidRDefault="000C3952" w:rsidP="00BB508A">
            <w:pPr>
              <w:contextualSpacing/>
              <w:rPr>
                <w:rFonts w:ascii="Times New Roman" w:hAnsi="Times New Roman" w:cs="Times New Roman"/>
                <w:lang w:val="sq-AL"/>
              </w:rPr>
            </w:pPr>
            <w:r w:rsidRPr="000C3952">
              <w:rPr>
                <w:rFonts w:ascii="Times New Roman" w:hAnsi="Times New Roman" w:cs="Times New Roman"/>
                <w:bCs/>
                <w:lang w:val="sq-AL"/>
              </w:rPr>
              <w:t xml:space="preserve">Specifikoni nëse afati prej </w:t>
            </w:r>
            <w:r w:rsidR="00BB508A">
              <w:rPr>
                <w:rFonts w:ascii="Times New Roman" w:hAnsi="Times New Roman" w:cs="Times New Roman"/>
                <w:bCs/>
                <w:lang w:val="sq-AL"/>
              </w:rPr>
              <w:t>“</w:t>
            </w:r>
            <w:r w:rsidRPr="000C3952">
              <w:rPr>
                <w:rFonts w:ascii="Times New Roman" w:hAnsi="Times New Roman" w:cs="Times New Roman"/>
                <w:bCs/>
                <w:lang w:val="sq-AL"/>
              </w:rPr>
              <w:t>5 ditë</w:t>
            </w:r>
            <w:r w:rsidR="00BB508A">
              <w:rPr>
                <w:rFonts w:ascii="Times New Roman" w:hAnsi="Times New Roman" w:cs="Times New Roman"/>
                <w:bCs/>
                <w:lang w:val="sq-AL"/>
              </w:rPr>
              <w:t>sh</w:t>
            </w:r>
            <w:r w:rsidRPr="000C3952">
              <w:rPr>
                <w:rFonts w:ascii="Times New Roman" w:hAnsi="Times New Roman" w:cs="Times New Roman"/>
                <w:bCs/>
                <w:lang w:val="sq-AL"/>
              </w:rPr>
              <w:t>”</w:t>
            </w:r>
            <w:r w:rsidR="00BB508A">
              <w:rPr>
                <w:rFonts w:ascii="Times New Roman" w:hAnsi="Times New Roman" w:cs="Times New Roman"/>
                <w:bCs/>
                <w:lang w:val="sq-AL"/>
              </w:rPr>
              <w:t>,</w:t>
            </w:r>
            <w:r w:rsidRPr="000C3952">
              <w:rPr>
                <w:rFonts w:ascii="Times New Roman" w:hAnsi="Times New Roman" w:cs="Times New Roman"/>
                <w:bCs/>
                <w:lang w:val="sq-AL"/>
              </w:rPr>
              <w:t xml:space="preserve"> i</w:t>
            </w:r>
            <w:r w:rsidR="00BB508A">
              <w:rPr>
                <w:rFonts w:ascii="Times New Roman" w:hAnsi="Times New Roman" w:cs="Times New Roman"/>
                <w:bCs/>
                <w:lang w:val="sq-AL"/>
              </w:rPr>
              <w:t xml:space="preserve"> referuar në nenin </w:t>
            </w:r>
            <w:r w:rsidRPr="000C3952">
              <w:rPr>
                <w:rFonts w:ascii="Times New Roman" w:hAnsi="Times New Roman" w:cs="Times New Roman"/>
                <w:bCs/>
                <w:lang w:val="sq-AL"/>
              </w:rPr>
              <w:t>9 (1)</w:t>
            </w:r>
            <w:r w:rsidR="00BB508A">
              <w:rPr>
                <w:rFonts w:ascii="Times New Roman" w:hAnsi="Times New Roman" w:cs="Times New Roman"/>
                <w:bCs/>
                <w:lang w:val="sq-AL"/>
              </w:rPr>
              <w:t>,</w:t>
            </w:r>
            <w:r w:rsidRPr="000C3952">
              <w:rPr>
                <w:rFonts w:ascii="Times New Roman" w:hAnsi="Times New Roman" w:cs="Times New Roman"/>
                <w:bCs/>
                <w:lang w:val="sq-AL"/>
              </w:rPr>
              <w:t xml:space="preserve"> është kalendarik ose ditë pune</w:t>
            </w:r>
            <w:r w:rsidR="00BB508A">
              <w:rPr>
                <w:rFonts w:ascii="Times New Roman" w:hAnsi="Times New Roman" w:cs="Times New Roman"/>
                <w:bCs/>
                <w:lang w:val="sq-AL"/>
              </w:rPr>
              <w:t>.</w:t>
            </w:r>
          </w:p>
        </w:tc>
        <w:tc>
          <w:tcPr>
            <w:tcW w:w="2208" w:type="dxa"/>
          </w:tcPr>
          <w:p w:rsidR="000C3952" w:rsidRPr="000C3952" w:rsidRDefault="000C3952" w:rsidP="000C3952">
            <w:pPr>
              <w:rPr>
                <w:rFonts w:ascii="Times New Roman" w:hAnsi="Times New Roman" w:cs="Times New Roman"/>
                <w:lang w:val="sq-AL"/>
              </w:rPr>
            </w:pPr>
            <w:r w:rsidRPr="000C3952">
              <w:rPr>
                <w:rFonts w:ascii="Times New Roman" w:hAnsi="Times New Roman" w:cs="Times New Roman"/>
                <w:lang w:val="sq-AL"/>
              </w:rPr>
              <w:t>Është pranuar</w:t>
            </w:r>
          </w:p>
        </w:tc>
        <w:tc>
          <w:tcPr>
            <w:tcW w:w="3275" w:type="dxa"/>
          </w:tcPr>
          <w:p w:rsidR="000C3952" w:rsidRPr="000C3952" w:rsidRDefault="000C3952" w:rsidP="000C3952">
            <w:pPr>
              <w:ind w:right="667"/>
              <w:jc w:val="both"/>
              <w:rPr>
                <w:rFonts w:ascii="Times New Roman" w:hAnsi="Times New Roman" w:cs="Times New Roman"/>
                <w:lang w:val="sq-AL"/>
              </w:rPr>
            </w:pPr>
          </w:p>
        </w:tc>
      </w:tr>
      <w:tr w:rsidR="000C3952" w:rsidRPr="000C3952" w:rsidTr="006D0061">
        <w:trPr>
          <w:trHeight w:val="954"/>
        </w:trPr>
        <w:tc>
          <w:tcPr>
            <w:tcW w:w="1433" w:type="dxa"/>
          </w:tcPr>
          <w:p w:rsidR="000C3952" w:rsidRPr="000C3952" w:rsidRDefault="000C3952" w:rsidP="000C3952">
            <w:pPr>
              <w:rPr>
                <w:rFonts w:ascii="Times New Roman" w:hAnsi="Times New Roman" w:cs="Times New Roman"/>
                <w:lang w:val="sq-AL"/>
              </w:rPr>
            </w:pPr>
            <w:r w:rsidRPr="000C3952">
              <w:rPr>
                <w:rFonts w:ascii="Times New Roman" w:hAnsi="Times New Roman" w:cs="Times New Roman"/>
                <w:lang w:val="sq-AL"/>
              </w:rPr>
              <w:t>OSCE</w:t>
            </w:r>
          </w:p>
        </w:tc>
        <w:tc>
          <w:tcPr>
            <w:tcW w:w="2732" w:type="dxa"/>
          </w:tcPr>
          <w:p w:rsidR="000C3952" w:rsidRPr="00661B92" w:rsidRDefault="000C3952" w:rsidP="00BB508A">
            <w:pPr>
              <w:suppressAutoHyphens/>
              <w:spacing w:after="200" w:line="276" w:lineRule="auto"/>
              <w:jc w:val="both"/>
              <w:rPr>
                <w:rFonts w:ascii="Times New Roman" w:eastAsia="Arial Unicode MS" w:hAnsi="Times New Roman" w:cs="Times New Roman"/>
                <w:bCs/>
                <w:kern w:val="2"/>
                <w:lang w:val="sq-AL" w:eastAsia="ar-SA"/>
              </w:rPr>
            </w:pPr>
            <w:r w:rsidRPr="00661B92">
              <w:rPr>
                <w:rFonts w:ascii="Times New Roman" w:eastAsia="Arial Unicode MS" w:hAnsi="Times New Roman" w:cs="Times New Roman"/>
                <w:bCs/>
                <w:kern w:val="2"/>
                <w:lang w:val="sq-AL" w:eastAsia="ar-SA"/>
              </w:rPr>
              <w:t xml:space="preserve">Të harmonizohet përcaktimi i </w:t>
            </w:r>
            <w:r w:rsidR="00BB508A" w:rsidRPr="00661B92">
              <w:rPr>
                <w:rFonts w:ascii="Times New Roman" w:eastAsia="Arial Unicode MS" w:hAnsi="Times New Roman" w:cs="Times New Roman"/>
                <w:bCs/>
                <w:kern w:val="2"/>
                <w:lang w:val="sq-AL" w:eastAsia="ar-SA"/>
              </w:rPr>
              <w:t>“</w:t>
            </w:r>
            <w:r w:rsidRPr="00661B92">
              <w:rPr>
                <w:rFonts w:ascii="Times New Roman" w:eastAsia="Arial Unicode MS" w:hAnsi="Times New Roman" w:cs="Times New Roman"/>
                <w:bCs/>
                <w:kern w:val="2"/>
                <w:lang w:val="sq-AL" w:eastAsia="ar-SA"/>
              </w:rPr>
              <w:t>shkallës së aftësisë për punë</w:t>
            </w:r>
            <w:r w:rsidR="00BB508A" w:rsidRPr="00661B92">
              <w:rPr>
                <w:rFonts w:ascii="Times New Roman" w:eastAsia="Arial Unicode MS" w:hAnsi="Times New Roman" w:cs="Times New Roman"/>
                <w:bCs/>
                <w:kern w:val="2"/>
                <w:lang w:val="sq-AL" w:eastAsia="ar-SA"/>
              </w:rPr>
              <w:t>”</w:t>
            </w:r>
            <w:r w:rsidRPr="00661B92">
              <w:rPr>
                <w:rFonts w:ascii="Times New Roman" w:eastAsia="Arial Unicode MS" w:hAnsi="Times New Roman" w:cs="Times New Roman"/>
                <w:bCs/>
                <w:kern w:val="2"/>
                <w:lang w:val="sq-AL" w:eastAsia="ar-SA"/>
              </w:rPr>
              <w:t xml:space="preserve"> me parimet e Klasifikimit Ndërkombëtar të Funksionimit (IFC), Paaftësisë dhe Shëndetit (ICF), referuar në nenin 11 (4.2).</w:t>
            </w:r>
          </w:p>
          <w:p w:rsidR="000C3952" w:rsidRPr="00661B92" w:rsidRDefault="000C3952" w:rsidP="000C3952">
            <w:pPr>
              <w:rPr>
                <w:rFonts w:ascii="Times New Roman" w:eastAsia="Times New Roman" w:hAnsi="Times New Roman" w:cs="Times New Roman"/>
                <w:lang w:val="sq-AL"/>
              </w:rPr>
            </w:pPr>
          </w:p>
        </w:tc>
        <w:tc>
          <w:tcPr>
            <w:tcW w:w="2208" w:type="dxa"/>
          </w:tcPr>
          <w:p w:rsidR="000C3952" w:rsidRPr="00661B92" w:rsidRDefault="00D51153" w:rsidP="000C3952">
            <w:pPr>
              <w:rPr>
                <w:rFonts w:ascii="Times New Roman" w:hAnsi="Times New Roman" w:cs="Times New Roman"/>
                <w:lang w:val="sq-AL"/>
              </w:rPr>
            </w:pPr>
            <w:r w:rsidRPr="00661B92">
              <w:rPr>
                <w:rFonts w:ascii="Times New Roman" w:hAnsi="Times New Roman" w:cs="Times New Roman"/>
                <w:lang w:val="sq-AL"/>
              </w:rPr>
              <w:t>Nuk ësht</w:t>
            </w:r>
            <w:bookmarkStart w:id="0" w:name="_GoBack"/>
            <w:bookmarkEnd w:id="0"/>
            <w:r w:rsidRPr="00661B92">
              <w:rPr>
                <w:rFonts w:ascii="Times New Roman" w:hAnsi="Times New Roman" w:cs="Times New Roman"/>
                <w:lang w:val="sq-AL"/>
              </w:rPr>
              <w:t>ë pranuar</w:t>
            </w:r>
          </w:p>
        </w:tc>
        <w:tc>
          <w:tcPr>
            <w:tcW w:w="3275" w:type="dxa"/>
          </w:tcPr>
          <w:p w:rsidR="000C3952" w:rsidRPr="000C3952" w:rsidRDefault="000C3952" w:rsidP="00D51153">
            <w:pPr>
              <w:jc w:val="both"/>
              <w:rPr>
                <w:rFonts w:ascii="Times New Roman" w:hAnsi="Times New Roman" w:cs="Times New Roman"/>
                <w:lang w:val="sq-AL"/>
              </w:rPr>
            </w:pPr>
            <w:r w:rsidRPr="000C3952">
              <w:rPr>
                <w:rFonts w:ascii="Times New Roman" w:hAnsi="Times New Roman" w:cs="Times New Roman"/>
                <w:lang w:val="sq-AL"/>
              </w:rPr>
              <w:t xml:space="preserve"> </w:t>
            </w:r>
            <w:r w:rsidR="00D51153">
              <w:rPr>
                <w:rFonts w:ascii="Times New Roman" w:hAnsi="Times New Roman" w:cs="Times New Roman"/>
                <w:lang w:val="sq-AL"/>
              </w:rPr>
              <w:t>Zvogëlimi i aftëisë së kufizuar është bërë</w:t>
            </w:r>
            <w:r w:rsidR="00D51153" w:rsidRPr="001934E5">
              <w:rPr>
                <w:rFonts w:ascii="Times New Roman" w:eastAsia="MS Mincho" w:hAnsi="Times New Roman" w:cs="Times New Roman"/>
                <w:lang w:val="sq-AL"/>
              </w:rPr>
              <w:t xml:space="preserve"> n</w:t>
            </w:r>
            <w:r w:rsidR="00D51153">
              <w:rPr>
                <w:rFonts w:ascii="Times New Roman" w:eastAsia="MS Mincho" w:hAnsi="Times New Roman" w:cs="Times New Roman"/>
                <w:lang w:val="sq-AL"/>
              </w:rPr>
              <w:t>ë</w:t>
            </w:r>
            <w:r w:rsidR="00D51153" w:rsidRPr="001934E5">
              <w:rPr>
                <w:rFonts w:ascii="Times New Roman" w:eastAsia="MS Mincho" w:hAnsi="Times New Roman" w:cs="Times New Roman"/>
                <w:lang w:val="sq-AL"/>
              </w:rPr>
              <w:t xml:space="preserve"> baz</w:t>
            </w:r>
            <w:r w:rsidR="00D51153">
              <w:rPr>
                <w:rFonts w:ascii="Times New Roman" w:eastAsia="MS Mincho" w:hAnsi="Times New Roman" w:cs="Times New Roman"/>
                <w:lang w:val="sq-AL"/>
              </w:rPr>
              <w:t>ë</w:t>
            </w:r>
            <w:r w:rsidR="00D51153" w:rsidRPr="001934E5">
              <w:rPr>
                <w:rFonts w:ascii="Times New Roman" w:eastAsia="MS Mincho" w:hAnsi="Times New Roman" w:cs="Times New Roman"/>
                <w:lang w:val="sq-AL"/>
              </w:rPr>
              <w:t xml:space="preserve"> t</w:t>
            </w:r>
            <w:r w:rsidR="00D51153">
              <w:rPr>
                <w:rFonts w:ascii="Times New Roman" w:eastAsia="MS Mincho" w:hAnsi="Times New Roman" w:cs="Times New Roman"/>
                <w:lang w:val="sq-AL"/>
              </w:rPr>
              <w:t>ë</w:t>
            </w:r>
            <w:r w:rsidR="00D51153" w:rsidRPr="001934E5">
              <w:rPr>
                <w:rFonts w:ascii="Times New Roman" w:eastAsia="MS Mincho" w:hAnsi="Times New Roman" w:cs="Times New Roman"/>
                <w:lang w:val="sq-AL"/>
              </w:rPr>
              <w:t xml:space="preserve"> </w:t>
            </w:r>
            <w:r w:rsidR="00D51153">
              <w:rPr>
                <w:rFonts w:ascii="Times New Roman" w:eastAsia="MS Mincho" w:hAnsi="Times New Roman" w:cs="Times New Roman"/>
                <w:lang w:val="sq-AL"/>
              </w:rPr>
              <w:t xml:space="preserve">parime </w:t>
            </w:r>
            <w:proofErr w:type="spellStart"/>
            <w:r w:rsidR="00D51153" w:rsidRPr="001934E5">
              <w:rPr>
                <w:rFonts w:ascii="Times New Roman" w:hAnsi="Times New Roman" w:cs="Times New Roman"/>
              </w:rPr>
              <w:t>Klasifikimit</w:t>
            </w:r>
            <w:proofErr w:type="spellEnd"/>
            <w:r w:rsidR="00D51153" w:rsidRPr="001934E5">
              <w:rPr>
                <w:rFonts w:ascii="Times New Roman" w:hAnsi="Times New Roman" w:cs="Times New Roman"/>
              </w:rPr>
              <w:t xml:space="preserve"> </w:t>
            </w:r>
            <w:proofErr w:type="spellStart"/>
            <w:r w:rsidR="00D51153" w:rsidRPr="001934E5">
              <w:rPr>
                <w:rFonts w:ascii="Times New Roman" w:hAnsi="Times New Roman" w:cs="Times New Roman"/>
              </w:rPr>
              <w:t>Ndërkombëtar</w:t>
            </w:r>
            <w:proofErr w:type="spellEnd"/>
            <w:r w:rsidR="00D51153" w:rsidRPr="001934E5">
              <w:rPr>
                <w:rFonts w:ascii="Times New Roman" w:hAnsi="Times New Roman" w:cs="Times New Roman"/>
              </w:rPr>
              <w:t xml:space="preserve"> </w:t>
            </w:r>
            <w:proofErr w:type="spellStart"/>
            <w:r w:rsidR="00D51153" w:rsidRPr="001934E5">
              <w:rPr>
                <w:rFonts w:ascii="Times New Roman" w:hAnsi="Times New Roman" w:cs="Times New Roman"/>
              </w:rPr>
              <w:t>të</w:t>
            </w:r>
            <w:proofErr w:type="spellEnd"/>
            <w:r w:rsidR="00D51153" w:rsidRPr="001934E5">
              <w:rPr>
                <w:rFonts w:ascii="Times New Roman" w:hAnsi="Times New Roman" w:cs="Times New Roman"/>
              </w:rPr>
              <w:t xml:space="preserve"> </w:t>
            </w:r>
            <w:proofErr w:type="spellStart"/>
            <w:r w:rsidR="00D51153" w:rsidRPr="001934E5">
              <w:rPr>
                <w:rFonts w:ascii="Times New Roman" w:hAnsi="Times New Roman" w:cs="Times New Roman"/>
              </w:rPr>
              <w:t>Funksionimit</w:t>
            </w:r>
            <w:proofErr w:type="spellEnd"/>
            <w:r w:rsidR="00D51153" w:rsidRPr="001934E5">
              <w:rPr>
                <w:rFonts w:ascii="Times New Roman" w:hAnsi="Times New Roman" w:cs="Times New Roman"/>
              </w:rPr>
              <w:t xml:space="preserve">, </w:t>
            </w:r>
            <w:proofErr w:type="spellStart"/>
            <w:r w:rsidR="00D51153" w:rsidRPr="001934E5">
              <w:rPr>
                <w:rFonts w:ascii="Times New Roman" w:hAnsi="Times New Roman" w:cs="Times New Roman"/>
              </w:rPr>
              <w:t>Paaftësisë</w:t>
            </w:r>
            <w:proofErr w:type="spellEnd"/>
            <w:r w:rsidR="00D51153" w:rsidRPr="001934E5">
              <w:rPr>
                <w:rFonts w:ascii="Times New Roman" w:hAnsi="Times New Roman" w:cs="Times New Roman"/>
              </w:rPr>
              <w:t xml:space="preserve"> </w:t>
            </w:r>
            <w:proofErr w:type="spellStart"/>
            <w:r w:rsidR="00D51153" w:rsidRPr="001934E5">
              <w:rPr>
                <w:rFonts w:ascii="Times New Roman" w:hAnsi="Times New Roman" w:cs="Times New Roman"/>
              </w:rPr>
              <w:t>dhe</w:t>
            </w:r>
            <w:proofErr w:type="spellEnd"/>
            <w:r w:rsidR="00D51153" w:rsidRPr="001934E5">
              <w:rPr>
                <w:rFonts w:ascii="Times New Roman" w:hAnsi="Times New Roman" w:cs="Times New Roman"/>
              </w:rPr>
              <w:t xml:space="preserve"> </w:t>
            </w:r>
            <w:proofErr w:type="spellStart"/>
            <w:r w:rsidR="00D51153" w:rsidRPr="001934E5">
              <w:rPr>
                <w:rFonts w:ascii="Times New Roman" w:hAnsi="Times New Roman" w:cs="Times New Roman"/>
              </w:rPr>
              <w:t>Shëndetit</w:t>
            </w:r>
            <w:proofErr w:type="spellEnd"/>
            <w:r w:rsidR="00D51153" w:rsidRPr="001934E5">
              <w:rPr>
                <w:rFonts w:ascii="Times New Roman" w:eastAsia="MS Mincho" w:hAnsi="Times New Roman" w:cs="Times New Roman"/>
                <w:lang w:val="sq-AL"/>
              </w:rPr>
              <w:t xml:space="preserve"> ICF</w:t>
            </w:r>
            <w:r w:rsidR="00D51153">
              <w:rPr>
                <w:rFonts w:ascii="Times New Roman" w:eastAsia="MS Mincho" w:hAnsi="Times New Roman" w:cs="Times New Roman"/>
                <w:lang w:val="sq-AL"/>
              </w:rPr>
              <w:t>.</w:t>
            </w:r>
            <w:r w:rsidR="00D51153">
              <w:rPr>
                <w:rFonts w:ascii="Times New Roman" w:eastAsia="MS Mincho" w:hAnsi="Times New Roman" w:cs="Times New Roman"/>
                <w:lang w:val="sq-AL"/>
              </w:rPr>
              <w:t xml:space="preserve"> Sipas ICF, janë disa lloje të klafikimit për disa paaftësi duke përfshirë dhe dëmtimet shëndetësore. Duke marrë se këtë, është thjeshtëzuar procedura dhe është vendosur kjo formë, duke iu përshtatur edhe praktikave të mira.  </w:t>
            </w:r>
          </w:p>
        </w:tc>
      </w:tr>
    </w:tbl>
    <w:p w:rsidR="000C3952" w:rsidRPr="000C3952" w:rsidRDefault="000C3952" w:rsidP="000C3952">
      <w:pPr>
        <w:tabs>
          <w:tab w:val="center" w:pos="6480"/>
        </w:tabs>
        <w:jc w:val="center"/>
        <w:rPr>
          <w:rFonts w:ascii="Sylfaen" w:hAnsi="Sylfaen"/>
          <w:b/>
          <w:lang w:val="sq-AL"/>
        </w:rPr>
      </w:pPr>
    </w:p>
    <w:p w:rsidR="000C3952" w:rsidRPr="000C3952" w:rsidRDefault="000C3952" w:rsidP="000C3952"/>
    <w:sectPr w:rsidR="000C3952" w:rsidRPr="000C39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1A7F4F"/>
    <w:multiLevelType w:val="hybridMultilevel"/>
    <w:tmpl w:val="A10CF4D0"/>
    <w:lvl w:ilvl="0" w:tplc="98EE68B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0BC6913"/>
    <w:multiLevelType w:val="hybridMultilevel"/>
    <w:tmpl w:val="EE68C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52E"/>
    <w:rsid w:val="000475B9"/>
    <w:rsid w:val="000C3952"/>
    <w:rsid w:val="001706EE"/>
    <w:rsid w:val="0038252E"/>
    <w:rsid w:val="00550565"/>
    <w:rsid w:val="006413DC"/>
    <w:rsid w:val="00661B92"/>
    <w:rsid w:val="00795F68"/>
    <w:rsid w:val="007F34B0"/>
    <w:rsid w:val="00B3141A"/>
    <w:rsid w:val="00BB508A"/>
    <w:rsid w:val="00D511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781173-02BB-4B65-A022-17527F943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952"/>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1Light-Accent51">
    <w:name w:val="Grid Table 1 Light - Accent 51"/>
    <w:basedOn w:val="TableNormal"/>
    <w:uiPriority w:val="46"/>
    <w:rsid w:val="000C3952"/>
    <w:pPr>
      <w:spacing w:after="0" w:line="240" w:lineRule="auto"/>
    </w:pPr>
    <w:rPr>
      <w:sz w:val="24"/>
      <w:szCs w:val="24"/>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Lamçja</dc:creator>
  <cp:keywords/>
  <dc:description/>
  <cp:lastModifiedBy>Leunora Ahmeti</cp:lastModifiedBy>
  <cp:revision>13</cp:revision>
  <dcterms:created xsi:type="dcterms:W3CDTF">2018-07-24T07:04:00Z</dcterms:created>
  <dcterms:modified xsi:type="dcterms:W3CDTF">2018-07-25T11:47:00Z</dcterms:modified>
</cp:coreProperties>
</file>