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25" w:rsidRPr="001946C7" w:rsidRDefault="00A81C25" w:rsidP="00A81C25">
      <w:pPr>
        <w:ind w:left="-90"/>
        <w:jc w:val="center"/>
        <w:rPr>
          <w:rFonts w:ascii="TimesNewRoman" w:hAnsi="TimesNewRoman" w:cs="Book Antiqua"/>
          <w:lang w:val="sq-AL"/>
        </w:rPr>
      </w:pPr>
      <w:r>
        <w:rPr>
          <w:rFonts w:ascii="TimesNewRoman" w:hAnsi="TimesNewRoman" w:cs="Book Antiqua"/>
          <w:lang w:val="sq-AL"/>
        </w:rPr>
        <w:t xml:space="preserve">       </w:t>
      </w:r>
      <w:r w:rsidRPr="001946C7">
        <w:rPr>
          <w:rFonts w:ascii="TimesNewRoman" w:hAnsi="TimesNewRoman" w:cs="Book Antiqua"/>
          <w:noProof/>
          <w:lang w:val="sq-AL" w:eastAsia="sq-AL"/>
        </w:rPr>
        <w:drawing>
          <wp:inline distT="0" distB="0" distL="0" distR="0" wp14:anchorId="5CE1F178" wp14:editId="62F97F0E">
            <wp:extent cx="923925" cy="928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8370"/>
                    </a:xfrm>
                    <a:prstGeom prst="rect">
                      <a:avLst/>
                    </a:prstGeom>
                    <a:noFill/>
                    <a:ln>
                      <a:noFill/>
                    </a:ln>
                  </pic:spPr>
                </pic:pic>
              </a:graphicData>
            </a:graphic>
          </wp:inline>
        </w:drawing>
      </w:r>
    </w:p>
    <w:p w:rsidR="00A81C25" w:rsidRPr="001946C7" w:rsidRDefault="00A81C25" w:rsidP="00A81C25">
      <w:pPr>
        <w:pStyle w:val="Title"/>
        <w:rPr>
          <w:rFonts w:ascii="TimesNewRoman" w:hAnsi="TimesNewRoman"/>
          <w:iCs/>
          <w:sz w:val="32"/>
          <w:szCs w:val="32"/>
        </w:rPr>
      </w:pPr>
      <w:r w:rsidRPr="001946C7">
        <w:rPr>
          <w:rFonts w:ascii="TimesNewRoman" w:hAnsi="TimesNewRoman"/>
          <w:iCs/>
          <w:sz w:val="32"/>
          <w:szCs w:val="32"/>
        </w:rPr>
        <w:t>Republika e Kosovës</w:t>
      </w:r>
    </w:p>
    <w:p w:rsidR="00A81C25" w:rsidRPr="001946C7" w:rsidRDefault="00A81C25" w:rsidP="00A81C25">
      <w:pPr>
        <w:pStyle w:val="Title"/>
        <w:rPr>
          <w:rFonts w:ascii="TimesNewRoman" w:hAnsi="TimesNewRoman"/>
          <w:iCs/>
          <w:sz w:val="26"/>
          <w:szCs w:val="26"/>
        </w:rPr>
      </w:pPr>
      <w:r w:rsidRPr="001946C7">
        <w:rPr>
          <w:rFonts w:ascii="TimesNewRoman" w:hAnsi="TimesNewRoman"/>
          <w:iCs/>
          <w:sz w:val="26"/>
          <w:szCs w:val="26"/>
        </w:rPr>
        <w:t xml:space="preserve">Republika Kosova - </w:t>
      </w:r>
      <w:proofErr w:type="spellStart"/>
      <w:r w:rsidRPr="001946C7">
        <w:rPr>
          <w:rFonts w:ascii="TimesNewRoman" w:hAnsi="TimesNewRoman"/>
          <w:iCs/>
          <w:sz w:val="26"/>
          <w:szCs w:val="26"/>
        </w:rPr>
        <w:t>Republic</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of</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Kosovo</w:t>
      </w:r>
      <w:proofErr w:type="spellEnd"/>
    </w:p>
    <w:p w:rsidR="00A81C25" w:rsidRPr="001946C7" w:rsidRDefault="00A81C25" w:rsidP="00A81C25">
      <w:pPr>
        <w:pStyle w:val="Title"/>
        <w:rPr>
          <w:rFonts w:ascii="TimesNewRoman" w:hAnsi="TimesNewRoman"/>
          <w:i/>
          <w:iCs/>
        </w:rPr>
      </w:pPr>
      <w:r w:rsidRPr="001946C7">
        <w:rPr>
          <w:rFonts w:ascii="TimesNewRoman" w:hAnsi="TimesNewRoman"/>
          <w:i/>
          <w:iCs/>
        </w:rPr>
        <w:t xml:space="preserve">Qeveria - </w:t>
      </w:r>
      <w:proofErr w:type="spellStart"/>
      <w:r w:rsidRPr="001946C7">
        <w:rPr>
          <w:rFonts w:ascii="TimesNewRoman" w:hAnsi="TimesNewRoman"/>
          <w:i/>
          <w:iCs/>
        </w:rPr>
        <w:t>Vlada</w:t>
      </w:r>
      <w:proofErr w:type="spellEnd"/>
      <w:r w:rsidRPr="001946C7">
        <w:rPr>
          <w:rFonts w:ascii="TimesNewRoman" w:hAnsi="TimesNewRoman"/>
          <w:i/>
          <w:iCs/>
        </w:rPr>
        <w:t xml:space="preserve"> - </w:t>
      </w:r>
      <w:proofErr w:type="spellStart"/>
      <w:r w:rsidRPr="001946C7">
        <w:rPr>
          <w:rFonts w:ascii="TimesNewRoman" w:hAnsi="TimesNewRoman"/>
          <w:i/>
          <w:iCs/>
        </w:rPr>
        <w:t>Government</w:t>
      </w:r>
      <w:proofErr w:type="spellEnd"/>
    </w:p>
    <w:p w:rsidR="00A81C25" w:rsidRPr="009D3366" w:rsidRDefault="00A81C25" w:rsidP="00A81C25">
      <w:pPr>
        <w:jc w:val="center"/>
        <w:rPr>
          <w:rFonts w:ascii="TimesNewRoman" w:hAnsi="TimesNewRoman" w:cs="Calibri"/>
          <w:b/>
          <w:sz w:val="28"/>
          <w:szCs w:val="28"/>
          <w:lang w:val="sq-AL"/>
        </w:rPr>
      </w:pPr>
    </w:p>
    <w:p w:rsidR="00A81C25" w:rsidRPr="009D3366" w:rsidRDefault="00A81C25" w:rsidP="00A81C25">
      <w:pPr>
        <w:jc w:val="center"/>
        <w:rPr>
          <w:b/>
          <w:bCs/>
          <w:smallCaps/>
          <w:sz w:val="28"/>
          <w:szCs w:val="28"/>
          <w:lang w:val="sq-AL"/>
        </w:rPr>
      </w:pPr>
    </w:p>
    <w:p w:rsidR="00E83AB3" w:rsidRDefault="00E83AB3" w:rsidP="00E83AB3">
      <w:pPr>
        <w:jc w:val="center"/>
        <w:rPr>
          <w:b/>
        </w:rPr>
      </w:pPr>
    </w:p>
    <w:p w:rsidR="00E83AB3" w:rsidRPr="005D5866" w:rsidRDefault="00E83AB3" w:rsidP="00E83AB3">
      <w:pPr>
        <w:jc w:val="center"/>
        <w:rPr>
          <w:b/>
        </w:rPr>
      </w:pPr>
      <w:r w:rsidRPr="005D5866">
        <w:rPr>
          <w:b/>
        </w:rPr>
        <w:t>MINISTRIA E DREJTËSISË</w:t>
      </w:r>
    </w:p>
    <w:p w:rsidR="00E83AB3" w:rsidRPr="005D5866" w:rsidRDefault="00E83AB3" w:rsidP="00E83AB3">
      <w:pPr>
        <w:jc w:val="center"/>
        <w:rPr>
          <w:b/>
          <w:bCs/>
        </w:rPr>
      </w:pPr>
      <w:r w:rsidRPr="005D5866">
        <w:rPr>
          <w:b/>
          <w:bCs/>
        </w:rPr>
        <w:t xml:space="preserve">MINISTARSTVO PRAVDE /MINISTRY OF JUSTICE </w:t>
      </w:r>
    </w:p>
    <w:p w:rsidR="00E83AB3" w:rsidRPr="005D5866" w:rsidRDefault="00E83AB3" w:rsidP="00E83AB3">
      <w:pPr>
        <w:jc w:val="center"/>
      </w:pPr>
    </w:p>
    <w:p w:rsidR="00A81C25" w:rsidRPr="001946C7" w:rsidRDefault="00A81C25" w:rsidP="00A81C25">
      <w:pPr>
        <w:jc w:val="center"/>
        <w:rPr>
          <w:b/>
          <w:bCs/>
          <w:smallCaps/>
          <w:sz w:val="32"/>
          <w:lang w:val="sq-AL"/>
        </w:rPr>
      </w:pPr>
    </w:p>
    <w:p w:rsidR="00A81C25" w:rsidRPr="001946C7" w:rsidRDefault="00A81C25" w:rsidP="00A81C25">
      <w:pPr>
        <w:jc w:val="center"/>
        <w:rPr>
          <w:b/>
          <w:bCs/>
          <w:smallCaps/>
          <w:sz w:val="32"/>
          <w:lang w:val="sq-AL"/>
        </w:rPr>
      </w:pPr>
    </w:p>
    <w:p w:rsidR="00A81C25" w:rsidRPr="001946C7" w:rsidRDefault="00A81C25" w:rsidP="00A81C25">
      <w:pPr>
        <w:jc w:val="center"/>
        <w:rPr>
          <w:b/>
          <w:bCs/>
          <w:smallCaps/>
          <w:sz w:val="32"/>
          <w:lang w:val="sq-AL"/>
        </w:rPr>
      </w:pPr>
    </w:p>
    <w:p w:rsidR="00A81C25" w:rsidRPr="001946C7" w:rsidRDefault="00A81C25" w:rsidP="00A81C25">
      <w:pPr>
        <w:jc w:val="center"/>
        <w:rPr>
          <w:b/>
          <w:bCs/>
          <w:smallCaps/>
          <w:sz w:val="32"/>
          <w:lang w:val="sq-AL"/>
        </w:rPr>
      </w:pPr>
    </w:p>
    <w:p w:rsidR="00A81C25" w:rsidRPr="001946C7" w:rsidRDefault="00A81C25" w:rsidP="00A81C25">
      <w:pPr>
        <w:jc w:val="center"/>
        <w:rPr>
          <w:b/>
          <w:bCs/>
          <w:smallCaps/>
          <w:sz w:val="32"/>
          <w:lang w:val="sq-AL"/>
        </w:rPr>
      </w:pPr>
    </w:p>
    <w:p w:rsidR="00A81C25" w:rsidRPr="001946C7" w:rsidRDefault="00A81C25" w:rsidP="00A81C25">
      <w:pPr>
        <w:jc w:val="center"/>
        <w:rPr>
          <w:b/>
          <w:bCs/>
          <w:smallCaps/>
          <w:sz w:val="32"/>
          <w:lang w:val="sq-AL"/>
        </w:rPr>
      </w:pPr>
    </w:p>
    <w:p w:rsidR="00A81C25" w:rsidRPr="001946C7" w:rsidRDefault="00A81C25" w:rsidP="00A81C25">
      <w:pPr>
        <w:jc w:val="center"/>
        <w:rPr>
          <w:b/>
          <w:bCs/>
          <w:smallCaps/>
          <w:sz w:val="32"/>
          <w:lang w:val="sq-AL"/>
        </w:rPr>
      </w:pPr>
    </w:p>
    <w:p w:rsidR="00A81C25" w:rsidRPr="009A7176" w:rsidRDefault="00A81C25" w:rsidP="00A81C25">
      <w:pPr>
        <w:jc w:val="center"/>
        <w:rPr>
          <w:sz w:val="28"/>
          <w:szCs w:val="28"/>
          <w:lang w:val="sq-AL"/>
        </w:rPr>
      </w:pPr>
      <w:r w:rsidRPr="009A7176">
        <w:rPr>
          <w:b/>
          <w:bCs/>
          <w:smallCaps/>
          <w:sz w:val="28"/>
          <w:szCs w:val="28"/>
          <w:lang w:val="sq-AL"/>
        </w:rPr>
        <w:t xml:space="preserve">Raporti nga procesi i konsultimit për  Koncept Dokumentin për </w:t>
      </w:r>
      <w:r>
        <w:rPr>
          <w:b/>
          <w:bCs/>
          <w:smallCaps/>
          <w:sz w:val="28"/>
          <w:szCs w:val="28"/>
          <w:lang w:val="sq-AL"/>
        </w:rPr>
        <w:t xml:space="preserve">rregullimin e </w:t>
      </w:r>
      <w:proofErr w:type="spellStart"/>
      <w:r>
        <w:rPr>
          <w:b/>
          <w:bCs/>
          <w:smallCaps/>
          <w:sz w:val="28"/>
          <w:szCs w:val="28"/>
          <w:lang w:val="sq-AL"/>
        </w:rPr>
        <w:t>fushë</w:t>
      </w:r>
      <w:r w:rsidRPr="009A7176">
        <w:rPr>
          <w:b/>
          <w:bCs/>
          <w:smallCaps/>
          <w:sz w:val="28"/>
          <w:szCs w:val="28"/>
          <w:lang w:val="sq-AL"/>
        </w:rPr>
        <w:t>veprimtaris</w:t>
      </w:r>
      <w:r>
        <w:rPr>
          <w:b/>
          <w:bCs/>
          <w:smallCaps/>
          <w:sz w:val="28"/>
          <w:szCs w:val="28"/>
          <w:lang w:val="sq-AL"/>
        </w:rPr>
        <w:t>ë</w:t>
      </w:r>
      <w:proofErr w:type="spellEnd"/>
      <w:r w:rsidRPr="009A7176">
        <w:rPr>
          <w:b/>
          <w:bCs/>
          <w:smallCaps/>
          <w:sz w:val="28"/>
          <w:szCs w:val="28"/>
          <w:lang w:val="sq-AL"/>
        </w:rPr>
        <w:t xml:space="preserve"> s</w:t>
      </w:r>
      <w:r>
        <w:rPr>
          <w:b/>
          <w:bCs/>
          <w:smallCaps/>
          <w:sz w:val="28"/>
          <w:szCs w:val="28"/>
          <w:lang w:val="sq-AL"/>
        </w:rPr>
        <w:t>ë dhomës së posaçme të</w:t>
      </w:r>
      <w:r w:rsidRPr="009A7176">
        <w:rPr>
          <w:b/>
          <w:bCs/>
          <w:smallCaps/>
          <w:sz w:val="28"/>
          <w:szCs w:val="28"/>
          <w:lang w:val="sq-AL"/>
        </w:rPr>
        <w:t xml:space="preserve"> gjykatës supreme</w:t>
      </w:r>
    </w:p>
    <w:p w:rsidR="00A81C25" w:rsidRPr="009A7176" w:rsidRDefault="00A81C25" w:rsidP="00A81C25">
      <w:pPr>
        <w:rPr>
          <w:sz w:val="28"/>
          <w:szCs w:val="28"/>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E83AB3" w:rsidRDefault="00E83AB3" w:rsidP="00A81C25">
      <w:pPr>
        <w:jc w:val="center"/>
        <w:rPr>
          <w:lang w:val="sq-AL"/>
        </w:rPr>
      </w:pPr>
    </w:p>
    <w:p w:rsidR="00A81C25" w:rsidRPr="001946C7" w:rsidRDefault="00A81C25" w:rsidP="00A81C25">
      <w:pPr>
        <w:jc w:val="center"/>
        <w:rPr>
          <w:lang w:val="sq-AL"/>
        </w:rPr>
      </w:pPr>
      <w:bookmarkStart w:id="0" w:name="_GoBack"/>
      <w:bookmarkEnd w:id="0"/>
      <w:r>
        <w:rPr>
          <w:lang w:val="sq-AL"/>
        </w:rPr>
        <w:t>Maj</w:t>
      </w:r>
      <w:r w:rsidRPr="001946C7">
        <w:rPr>
          <w:lang w:val="sq-AL"/>
        </w:rPr>
        <w:t xml:space="preserve"> 201</w:t>
      </w:r>
      <w:r>
        <w:rPr>
          <w:lang w:val="sq-AL"/>
        </w:rPr>
        <w:t>8</w:t>
      </w: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Pr="001946C7" w:rsidRDefault="00A81C25" w:rsidP="00A81C25">
      <w:pPr>
        <w:rPr>
          <w:lang w:val="sq-AL"/>
        </w:rPr>
      </w:pPr>
    </w:p>
    <w:p w:rsidR="00A81C25" w:rsidRDefault="00A81C25" w:rsidP="00A81C25">
      <w:pPr>
        <w:jc w:val="center"/>
        <w:rPr>
          <w:b/>
          <w:lang w:val="sq-AL"/>
        </w:rPr>
      </w:pPr>
    </w:p>
    <w:p w:rsidR="00A81C25" w:rsidRDefault="00A81C25" w:rsidP="00A81C25">
      <w:pPr>
        <w:jc w:val="center"/>
        <w:rPr>
          <w:b/>
          <w:lang w:val="sq-AL"/>
        </w:rPr>
      </w:pPr>
    </w:p>
    <w:p w:rsidR="00E83AB3" w:rsidRDefault="00E83AB3" w:rsidP="00A81C25">
      <w:pPr>
        <w:jc w:val="center"/>
        <w:rPr>
          <w:b/>
          <w:lang w:val="sq-AL"/>
        </w:rPr>
      </w:pPr>
    </w:p>
    <w:p w:rsidR="00E83AB3" w:rsidRDefault="00E83AB3" w:rsidP="00A81C25">
      <w:pPr>
        <w:jc w:val="center"/>
        <w:rPr>
          <w:b/>
          <w:lang w:val="sq-AL"/>
        </w:rPr>
      </w:pPr>
    </w:p>
    <w:p w:rsidR="00E83AB3" w:rsidRDefault="00E83AB3" w:rsidP="00A81C25">
      <w:pPr>
        <w:jc w:val="center"/>
        <w:rPr>
          <w:b/>
          <w:lang w:val="sq-AL"/>
        </w:rPr>
      </w:pPr>
    </w:p>
    <w:p w:rsidR="00E83AB3" w:rsidRDefault="00E83AB3" w:rsidP="00A81C25">
      <w:pPr>
        <w:jc w:val="center"/>
        <w:rPr>
          <w:b/>
          <w:lang w:val="sq-AL"/>
        </w:rPr>
      </w:pPr>
    </w:p>
    <w:p w:rsidR="00A81C25" w:rsidRPr="001946C7" w:rsidRDefault="00A81C25" w:rsidP="00A81C25">
      <w:pPr>
        <w:jc w:val="center"/>
        <w:rPr>
          <w:b/>
          <w:lang w:val="sq-AL"/>
        </w:rPr>
      </w:pPr>
      <w:r>
        <w:rPr>
          <w:b/>
          <w:lang w:val="sq-AL"/>
        </w:rPr>
        <w:t>Hyrje</w:t>
      </w:r>
    </w:p>
    <w:p w:rsidR="00A81C25" w:rsidRDefault="00A81C25" w:rsidP="00A81C25">
      <w:pPr>
        <w:spacing w:line="276" w:lineRule="auto"/>
        <w:jc w:val="both"/>
        <w:rPr>
          <w:rFonts w:ascii="Book Antiqua" w:eastAsia="Helvetica" w:hAnsi="Book Antiqua"/>
        </w:rPr>
      </w:pPr>
    </w:p>
    <w:p w:rsidR="00A81C25" w:rsidRDefault="00A81C25" w:rsidP="00A81C25">
      <w:pPr>
        <w:spacing w:line="276" w:lineRule="auto"/>
        <w:jc w:val="both"/>
        <w:rPr>
          <w:rFonts w:eastAsia="Helvetica"/>
          <w:lang w:val="sq-AL"/>
        </w:rPr>
      </w:pPr>
    </w:p>
    <w:p w:rsidR="00A81C25" w:rsidRPr="00ED1642" w:rsidRDefault="00A81C25" w:rsidP="00A81C25">
      <w:pPr>
        <w:spacing w:line="276" w:lineRule="auto"/>
        <w:jc w:val="both"/>
        <w:rPr>
          <w:rFonts w:eastAsia="Helvetica"/>
          <w:lang w:val="sq-AL"/>
        </w:rPr>
      </w:pPr>
      <w:r w:rsidRPr="00ED1642">
        <w:rPr>
          <w:rFonts w:eastAsia="Helvetica"/>
          <w:lang w:val="sq-AL"/>
        </w:rPr>
        <w:t xml:space="preserve">Fushëveprimi i Dhomës se Posaçme të Gjykatës Supreme që nga data 1 janar 2012, është rregulluar me Ligjin nr. 04/L-033 për Dhomën e Posaçme të Gjykatës Supreme dhe Shtojcës se tij (më tej referuar si “Ligji për </w:t>
      </w:r>
      <w:proofErr w:type="spellStart"/>
      <w:r w:rsidRPr="00ED1642">
        <w:rPr>
          <w:rFonts w:eastAsia="Helvetica"/>
          <w:lang w:val="sq-AL"/>
        </w:rPr>
        <w:t>DhPGjS</w:t>
      </w:r>
      <w:proofErr w:type="spellEnd"/>
      <w:r w:rsidRPr="00ED1642">
        <w:rPr>
          <w:rFonts w:eastAsia="Helvetica"/>
          <w:lang w:val="sq-AL"/>
        </w:rPr>
        <w:t xml:space="preserve">”), i cili përveç se ka shfuqizuar Rregulloren nr. 2002/13, riemëroi gjykatën si </w:t>
      </w:r>
      <w:proofErr w:type="spellStart"/>
      <w:r w:rsidRPr="00ED1642">
        <w:rPr>
          <w:rFonts w:eastAsia="Helvetica"/>
          <w:lang w:val="sq-AL"/>
        </w:rPr>
        <w:t>DhPGjS</w:t>
      </w:r>
      <w:proofErr w:type="spellEnd"/>
      <w:r w:rsidRPr="00ED1642">
        <w:rPr>
          <w:rFonts w:eastAsia="Helvetica"/>
          <w:lang w:val="sq-AL"/>
        </w:rPr>
        <w:t xml:space="preserve"> për çështjet që ndërlidhen me Agjencinë Kosovare të Privatizimit ( e cila është trashëgimtare ligjore e </w:t>
      </w:r>
      <w:proofErr w:type="spellStart"/>
      <w:r w:rsidRPr="00ED1642">
        <w:rPr>
          <w:rFonts w:eastAsia="Helvetica"/>
          <w:lang w:val="sq-AL"/>
        </w:rPr>
        <w:t>DhPGjS</w:t>
      </w:r>
      <w:proofErr w:type="spellEnd"/>
      <w:r w:rsidRPr="00ED1642">
        <w:rPr>
          <w:rFonts w:eastAsia="Helvetica"/>
          <w:lang w:val="sq-AL"/>
        </w:rPr>
        <w:t>-së për çështjet që ndërlidhen me Agjencinë Kosovare të Mirëbesimit, e themeluar fillimisht përmes Rregullores së UNMIK-ut nr. 2002/13).  Meqenëse ne zbatimin e këtij ligji janë evidentuar probleme dhe vështirësi te shumta, Ministria e Drejtësisë ka parapar</w:t>
      </w:r>
      <w:r>
        <w:rPr>
          <w:rFonts w:eastAsia="Helvetica"/>
          <w:lang w:val="sq-AL"/>
        </w:rPr>
        <w:t>ë</w:t>
      </w:r>
      <w:r w:rsidRPr="00ED1642">
        <w:rPr>
          <w:rFonts w:eastAsia="Helvetica"/>
          <w:lang w:val="sq-AL"/>
        </w:rPr>
        <w:t xml:space="preserve"> hartimin e një koncept dokumenti per DHPGJS, ku per hartimin e tij </w:t>
      </w:r>
      <w:r>
        <w:rPr>
          <w:rFonts w:eastAsia="Helvetica"/>
          <w:lang w:val="sq-AL"/>
        </w:rPr>
        <w:t xml:space="preserve">themeluar </w:t>
      </w:r>
      <w:r w:rsidRPr="00ED1642">
        <w:rPr>
          <w:rFonts w:eastAsia="Helvetica"/>
          <w:lang w:val="sq-AL"/>
        </w:rPr>
        <w:t xml:space="preserve"> edhe grupi punues, i cili tashme </w:t>
      </w:r>
      <w:r>
        <w:rPr>
          <w:rFonts w:eastAsia="Helvetica"/>
          <w:lang w:val="sq-AL"/>
        </w:rPr>
        <w:t>ka</w:t>
      </w:r>
      <w:r w:rsidRPr="00ED1642">
        <w:rPr>
          <w:rFonts w:eastAsia="Helvetica"/>
          <w:lang w:val="sq-AL"/>
        </w:rPr>
        <w:t xml:space="preserve"> finalizuar </w:t>
      </w:r>
      <w:r>
        <w:rPr>
          <w:rFonts w:eastAsia="Helvetica"/>
          <w:lang w:val="sq-AL"/>
        </w:rPr>
        <w:t xml:space="preserve">këtë dokument si </w:t>
      </w:r>
      <w:r w:rsidRPr="00ED1642">
        <w:rPr>
          <w:rFonts w:eastAsia="Helvetica"/>
          <w:lang w:val="sq-AL"/>
        </w:rPr>
        <w:t xml:space="preserve">dhe </w:t>
      </w:r>
      <w:r>
        <w:rPr>
          <w:rFonts w:eastAsia="Helvetica"/>
          <w:lang w:val="sq-AL"/>
        </w:rPr>
        <w:t xml:space="preserve">është </w:t>
      </w:r>
      <w:r w:rsidRPr="00ED1642">
        <w:rPr>
          <w:rFonts w:eastAsia="Helvetica"/>
          <w:lang w:val="sq-AL"/>
        </w:rPr>
        <w:t xml:space="preserve">miratuar nga ana e Qeverisë. </w:t>
      </w:r>
    </w:p>
    <w:p w:rsidR="00A81C25" w:rsidRPr="00ED1642" w:rsidRDefault="00A81C25" w:rsidP="00A81C25">
      <w:pPr>
        <w:spacing w:line="276" w:lineRule="auto"/>
        <w:jc w:val="both"/>
        <w:rPr>
          <w:rFonts w:eastAsia="Helvetica"/>
          <w:lang w:val="sq-AL"/>
        </w:rPr>
      </w:pPr>
    </w:p>
    <w:p w:rsidR="00A81C25" w:rsidRPr="003F6780" w:rsidRDefault="00A81C25" w:rsidP="00A81C25">
      <w:pPr>
        <w:spacing w:line="276" w:lineRule="auto"/>
        <w:jc w:val="both"/>
        <w:rPr>
          <w:rFonts w:eastAsia="Helvetica"/>
          <w:lang w:val="sq-AL"/>
        </w:rPr>
      </w:pPr>
      <w:r w:rsidRPr="00ED1642">
        <w:rPr>
          <w:rFonts w:eastAsia="Helvetica"/>
          <w:lang w:val="sq-AL"/>
        </w:rPr>
        <w:t>Pra, hartimi i Koncept dokumentit është b</w:t>
      </w:r>
      <w:r w:rsidRPr="00ED1642">
        <w:rPr>
          <w:rFonts w:eastAsia="Helvetica" w:cs="Times New Roman"/>
          <w:lang w:val="sq-AL"/>
        </w:rPr>
        <w:t>ër</w:t>
      </w:r>
      <w:r w:rsidRPr="00ED1642">
        <w:rPr>
          <w:rFonts w:eastAsia="Helvetica"/>
          <w:lang w:val="sq-AL"/>
        </w:rPr>
        <w:t>ë nga grupi punues i udhëhequr nga Departamentin per Integrime Evropiane dhe Koordinim të Politikave, n</w:t>
      </w:r>
      <w:r>
        <w:rPr>
          <w:rFonts w:eastAsia="Helvetica"/>
          <w:lang w:val="sq-AL"/>
        </w:rPr>
        <w:t>ë</w:t>
      </w:r>
      <w:r w:rsidRPr="00ED1642">
        <w:rPr>
          <w:rFonts w:eastAsia="Helvetica"/>
          <w:lang w:val="sq-AL"/>
        </w:rPr>
        <w:t xml:space="preserve"> kuadër te Ministrisë se Drejtësisë (MD). Pjesëmarrës te tjerë n</w:t>
      </w:r>
      <w:r>
        <w:rPr>
          <w:rFonts w:eastAsia="Helvetica"/>
          <w:lang w:val="sq-AL"/>
        </w:rPr>
        <w:t>ë</w:t>
      </w:r>
      <w:r w:rsidRPr="00ED1642">
        <w:rPr>
          <w:rFonts w:eastAsia="Helvetica"/>
          <w:lang w:val="sq-AL"/>
        </w:rPr>
        <w:t xml:space="preserve"> këtë grup ishin, përfaqësues nga Dhoma e Posaçme e Gjykatës Supreme, Këshilli Gjyqësor i Kosovës,  Agjencia Kosovare e Privatizimit</w:t>
      </w:r>
      <w:r>
        <w:rPr>
          <w:rFonts w:eastAsia="Helvetica"/>
          <w:lang w:val="sq-AL"/>
        </w:rPr>
        <w:t xml:space="preserve"> (AKP)</w:t>
      </w:r>
      <w:r w:rsidRPr="00ED1642">
        <w:rPr>
          <w:rFonts w:eastAsia="Helvetica"/>
          <w:lang w:val="sq-AL"/>
        </w:rPr>
        <w:t xml:space="preserve">, Sekretariati Koordinues i Qeverisë, </w:t>
      </w:r>
      <w:r>
        <w:rPr>
          <w:rFonts w:eastAsia="Helvetica"/>
          <w:lang w:val="sq-AL"/>
        </w:rPr>
        <w:t xml:space="preserve">Ministria e Zhvillimit Ekonomik, </w:t>
      </w:r>
      <w:r w:rsidRPr="00ED1642">
        <w:rPr>
          <w:rFonts w:eastAsia="Helvetica"/>
          <w:lang w:val="sq-AL"/>
        </w:rPr>
        <w:t xml:space="preserve">si dhe përfaqësues nga departamente/njësi ne kuadër te MD-se. </w:t>
      </w:r>
      <w:r>
        <w:rPr>
          <w:rFonts w:eastAsia="Helvetica"/>
          <w:lang w:val="sq-AL"/>
        </w:rPr>
        <w:t xml:space="preserve">Vlen te theksohet se </w:t>
      </w:r>
      <w:r w:rsidRPr="00ED1642">
        <w:rPr>
          <w:rFonts w:eastAsia="Helvetica"/>
          <w:lang w:val="sq-AL"/>
        </w:rPr>
        <w:t xml:space="preserve"> </w:t>
      </w:r>
      <w:r>
        <w:rPr>
          <w:lang w:val="sq-AL"/>
        </w:rPr>
        <w:t>h</w:t>
      </w:r>
      <w:r w:rsidRPr="00ED1642">
        <w:rPr>
          <w:lang w:val="sq-AL"/>
        </w:rPr>
        <w:t>artimi i draft Koncept Dokumentit gjithashtu është mbështetur nga ana e gjyqtarëve te EULEX-it</w:t>
      </w:r>
      <w:r>
        <w:rPr>
          <w:lang w:val="sq-AL"/>
        </w:rPr>
        <w:t xml:space="preserve">. </w:t>
      </w:r>
      <w:r w:rsidRPr="00ED1642">
        <w:rPr>
          <w:lang w:val="sq-AL"/>
        </w:rPr>
        <w:t xml:space="preserve"> </w:t>
      </w:r>
    </w:p>
    <w:p w:rsidR="00A81C25" w:rsidRDefault="00A81C25" w:rsidP="00A81C25">
      <w:pPr>
        <w:pStyle w:val="Default"/>
        <w:jc w:val="both"/>
        <w:rPr>
          <w:rFonts w:asciiTheme="minorHAnsi" w:hAnsiTheme="minorHAnsi"/>
          <w:lang w:val="sq-AL"/>
        </w:rPr>
      </w:pPr>
    </w:p>
    <w:p w:rsidR="00A81C25" w:rsidRPr="001946C7" w:rsidRDefault="00A81C25" w:rsidP="00A81C25">
      <w:pPr>
        <w:pStyle w:val="Default"/>
        <w:jc w:val="both"/>
        <w:rPr>
          <w:rFonts w:asciiTheme="minorHAnsi" w:eastAsiaTheme="minorEastAsia" w:hAnsiTheme="minorHAnsi"/>
          <w:lang w:val="sq-AL"/>
        </w:rPr>
      </w:pPr>
      <w:r w:rsidRPr="00995424">
        <w:rPr>
          <w:rFonts w:asciiTheme="minorHAnsi" w:hAnsiTheme="minorHAnsi"/>
          <w:lang w:val="sq-AL"/>
        </w:rPr>
        <w:t>Finalizimi i draft Koncept Dokumentit</w:t>
      </w:r>
      <w:r>
        <w:rPr>
          <w:rFonts w:asciiTheme="minorHAnsi" w:hAnsiTheme="minorHAnsi"/>
          <w:lang w:val="sq-AL"/>
        </w:rPr>
        <w:t xml:space="preserve"> për </w:t>
      </w:r>
      <w:r>
        <w:rPr>
          <w:rFonts w:asciiTheme="minorHAnsi" w:eastAsia="Helvetica" w:hAnsiTheme="minorHAnsi"/>
          <w:lang w:val="sq-AL"/>
        </w:rPr>
        <w:t>f</w:t>
      </w:r>
      <w:r w:rsidRPr="00ED1642">
        <w:rPr>
          <w:rFonts w:asciiTheme="minorHAnsi" w:eastAsia="Helvetica" w:hAnsiTheme="minorHAnsi"/>
          <w:lang w:val="sq-AL"/>
        </w:rPr>
        <w:t>ushëveprimi</w:t>
      </w:r>
      <w:r>
        <w:rPr>
          <w:rFonts w:asciiTheme="minorHAnsi" w:eastAsia="Helvetica" w:hAnsiTheme="minorHAnsi"/>
          <w:lang w:val="sq-AL"/>
        </w:rPr>
        <w:t>n</w:t>
      </w:r>
      <w:r w:rsidRPr="00ED1642">
        <w:rPr>
          <w:rFonts w:asciiTheme="minorHAnsi" w:eastAsia="Helvetica" w:hAnsiTheme="minorHAnsi"/>
          <w:lang w:val="sq-AL"/>
        </w:rPr>
        <w:t xml:space="preserve"> i Dhomës se Posaçme të Gjykatës Supreme</w:t>
      </w:r>
      <w:r>
        <w:rPr>
          <w:rFonts w:asciiTheme="minorHAnsi" w:hAnsiTheme="minorHAnsi"/>
          <w:lang w:val="sq-AL"/>
        </w:rPr>
        <w:t>,</w:t>
      </w:r>
      <w:r w:rsidRPr="00995424">
        <w:rPr>
          <w:rFonts w:asciiTheme="minorHAnsi" w:hAnsiTheme="minorHAnsi"/>
          <w:lang w:val="sq-AL"/>
        </w:rPr>
        <w:t xml:space="preserve"> është pasuar nga procesi i konsultimit i cili është bërë në formë elektronike dhe përmes takimeve me përfa</w:t>
      </w:r>
      <w:r>
        <w:rPr>
          <w:rFonts w:asciiTheme="minorHAnsi" w:hAnsiTheme="minorHAnsi"/>
          <w:lang w:val="sq-AL"/>
        </w:rPr>
        <w:t>qësuesit e grupeve të interesit, komunave.</w:t>
      </w:r>
      <w:r w:rsidRPr="00995424">
        <w:rPr>
          <w:rFonts w:asciiTheme="minorHAnsi" w:hAnsiTheme="minorHAnsi"/>
          <w:lang w:val="sq-AL"/>
        </w:rPr>
        <w:t xml:space="preserve"> Por mundësinë</w:t>
      </w:r>
      <w:r w:rsidRPr="001946C7">
        <w:rPr>
          <w:rFonts w:asciiTheme="minorHAnsi" w:hAnsiTheme="minorHAnsi"/>
          <w:lang w:val="sq-AL"/>
        </w:rPr>
        <w:t xml:space="preserve"> për të dhënë komente e kanë pasur të gjithë qytetarët e Republikës së Kosovës dhe ekspertë të ndryshëm</w:t>
      </w:r>
      <w:r>
        <w:rPr>
          <w:rFonts w:asciiTheme="minorHAnsi" w:hAnsiTheme="minorHAnsi"/>
          <w:lang w:val="sq-AL"/>
        </w:rPr>
        <w:t xml:space="preserve"> përmes platformës elektronike per konsultime me publikun</w:t>
      </w:r>
      <w:r w:rsidRPr="001946C7">
        <w:rPr>
          <w:rFonts w:asciiTheme="minorHAnsi" w:hAnsiTheme="minorHAnsi"/>
          <w:lang w:val="sq-AL"/>
        </w:rPr>
        <w:t>. Konsultimi i</w:t>
      </w:r>
      <w:r>
        <w:rPr>
          <w:rFonts w:asciiTheme="minorHAnsi" w:hAnsiTheme="minorHAnsi"/>
          <w:lang w:val="sq-AL"/>
        </w:rPr>
        <w:t xml:space="preserve"> këtij</w:t>
      </w:r>
      <w:r w:rsidRPr="001946C7">
        <w:rPr>
          <w:rFonts w:asciiTheme="minorHAnsi" w:hAnsiTheme="minorHAnsi"/>
          <w:lang w:val="sq-AL"/>
        </w:rPr>
        <w:t xml:space="preserve"> draft Koncept Dokumentit është bërë ne pajtim të plotë me </w:t>
      </w:r>
      <w:r w:rsidRPr="001946C7">
        <w:rPr>
          <w:rFonts w:asciiTheme="minorHAnsi" w:eastAsiaTheme="minorEastAsia" w:hAnsiTheme="minorHAnsi"/>
          <w:lang w:val="sq-AL"/>
        </w:rPr>
        <w:t xml:space="preserve">Rregulloren Nr.05/2016 për standardet minimale për procesin e konsultimit publik. </w:t>
      </w:r>
    </w:p>
    <w:p w:rsidR="00A81C25" w:rsidRPr="001946C7" w:rsidRDefault="00A81C25" w:rsidP="00A81C25">
      <w:pPr>
        <w:jc w:val="both"/>
        <w:rPr>
          <w:i/>
          <w:lang w:val="sq-AL"/>
        </w:rPr>
      </w:pPr>
    </w:p>
    <w:p w:rsidR="00A81C25" w:rsidRPr="001946C7" w:rsidRDefault="00A81C25" w:rsidP="00A81C25">
      <w:pPr>
        <w:jc w:val="both"/>
        <w:rPr>
          <w:i/>
          <w:lang w:val="sq-AL"/>
        </w:rPr>
      </w:pPr>
    </w:p>
    <w:p w:rsidR="00A81C25" w:rsidRPr="001946C7" w:rsidRDefault="00A81C25" w:rsidP="00A81C25">
      <w:pPr>
        <w:jc w:val="both"/>
        <w:rPr>
          <w:i/>
          <w:lang w:val="sq-AL"/>
        </w:rPr>
      </w:pPr>
    </w:p>
    <w:p w:rsidR="00A81C25" w:rsidRPr="001946C7" w:rsidRDefault="00A81C25" w:rsidP="00A81C25">
      <w:pPr>
        <w:jc w:val="center"/>
        <w:rPr>
          <w:b/>
          <w:lang w:val="sq-AL"/>
        </w:rPr>
      </w:pPr>
      <w:r w:rsidRPr="001946C7">
        <w:rPr>
          <w:b/>
          <w:lang w:val="sq-AL"/>
        </w:rPr>
        <w:t>Ecuria procesit të konsultimit</w:t>
      </w:r>
    </w:p>
    <w:p w:rsidR="00A81C25" w:rsidRPr="001946C7" w:rsidRDefault="00A81C25" w:rsidP="00A81C25">
      <w:pPr>
        <w:jc w:val="center"/>
        <w:rPr>
          <w:b/>
          <w:lang w:val="sq-AL"/>
        </w:rPr>
      </w:pPr>
    </w:p>
    <w:p w:rsidR="00A81C25" w:rsidRPr="001946C7" w:rsidRDefault="00A81C25" w:rsidP="00A81C25">
      <w:pPr>
        <w:jc w:val="both"/>
        <w:rPr>
          <w:lang w:val="sq-AL"/>
        </w:rPr>
      </w:pPr>
      <w:r w:rsidRPr="00995424">
        <w:rPr>
          <w:lang w:val="sq-AL"/>
        </w:rPr>
        <w:t>Koncept Dokumentit</w:t>
      </w:r>
      <w:r>
        <w:rPr>
          <w:lang w:val="sq-AL"/>
        </w:rPr>
        <w:t xml:space="preserve"> për </w:t>
      </w:r>
      <w:r>
        <w:rPr>
          <w:rFonts w:eastAsia="Helvetica"/>
          <w:lang w:val="sq-AL"/>
        </w:rPr>
        <w:t>f</w:t>
      </w:r>
      <w:r w:rsidRPr="00ED1642">
        <w:rPr>
          <w:rFonts w:eastAsia="Helvetica"/>
          <w:lang w:val="sq-AL"/>
        </w:rPr>
        <w:t>ushëveprimi</w:t>
      </w:r>
      <w:r>
        <w:rPr>
          <w:rFonts w:eastAsia="Helvetica"/>
          <w:lang w:val="sq-AL"/>
        </w:rPr>
        <w:t>n</w:t>
      </w:r>
      <w:r w:rsidRPr="00ED1642">
        <w:rPr>
          <w:rFonts w:eastAsia="Helvetica"/>
          <w:lang w:val="sq-AL"/>
        </w:rPr>
        <w:t xml:space="preserve"> </w:t>
      </w:r>
      <w:r>
        <w:rPr>
          <w:rFonts w:eastAsia="Helvetica"/>
          <w:lang w:val="sq-AL"/>
        </w:rPr>
        <w:t xml:space="preserve">e </w:t>
      </w:r>
      <w:r w:rsidRPr="00ED1642">
        <w:rPr>
          <w:rFonts w:eastAsia="Helvetica"/>
          <w:lang w:val="sq-AL"/>
        </w:rPr>
        <w:t>Dhomës se Posaçme të Gjykatës Supreme</w:t>
      </w:r>
      <w:r w:rsidRPr="001946C7">
        <w:rPr>
          <w:lang w:val="sq-AL"/>
        </w:rPr>
        <w:t xml:space="preserve"> është publikuar për konsultim me publikun në platformën elektronike për konsultimet me datë</w:t>
      </w:r>
      <w:r>
        <w:rPr>
          <w:lang w:val="sq-AL"/>
        </w:rPr>
        <w:t xml:space="preserve"> 10 prill  2018</w:t>
      </w:r>
      <w:r w:rsidRPr="001946C7">
        <w:rPr>
          <w:lang w:val="sq-AL"/>
        </w:rPr>
        <w:t xml:space="preserve"> dhe ka qenë e hapur për komente deri me datë</w:t>
      </w:r>
      <w:r>
        <w:rPr>
          <w:lang w:val="sq-AL"/>
        </w:rPr>
        <w:t xml:space="preserve"> 18 prill 2018, e cili ka qene afat i shkurtuar dhe njëkohësisht te aprovuar nga Sekretari i Përgjithshëm ne ZKM ne baz</w:t>
      </w:r>
      <w:r w:rsidR="00DA09D2">
        <w:rPr>
          <w:lang w:val="sq-AL"/>
        </w:rPr>
        <w:t>ë</w:t>
      </w:r>
      <w:r>
        <w:rPr>
          <w:lang w:val="sq-AL"/>
        </w:rPr>
        <w:t xml:space="preserve"> te kërkesës se MD (per shkak te nevojës urgjente qe ekziston ne miratimin e këtij dokumenti per ndryshim/plotësim te Projektligjit per DHPGJS)</w:t>
      </w:r>
      <w:r w:rsidRPr="001946C7">
        <w:rPr>
          <w:lang w:val="sq-AL"/>
        </w:rPr>
        <w:t>. Sipas Rregullores për standardet minimale të konsultimit publik</w:t>
      </w:r>
      <w:r>
        <w:rPr>
          <w:lang w:val="sq-AL"/>
        </w:rPr>
        <w:t>,</w:t>
      </w:r>
      <w:r w:rsidRPr="001946C7">
        <w:rPr>
          <w:lang w:val="sq-AL"/>
        </w:rPr>
        <w:t xml:space="preserve"> Draft Koncept dokumenti</w:t>
      </w:r>
      <w:r>
        <w:rPr>
          <w:lang w:val="sq-AL"/>
        </w:rPr>
        <w:t xml:space="preserve"> në fjalë</w:t>
      </w:r>
      <w:r w:rsidRPr="001946C7">
        <w:rPr>
          <w:lang w:val="sq-AL"/>
        </w:rPr>
        <w:t xml:space="preserve"> ësh</w:t>
      </w:r>
      <w:r>
        <w:rPr>
          <w:lang w:val="sq-AL"/>
        </w:rPr>
        <w:t>t</w:t>
      </w:r>
      <w:r w:rsidRPr="001946C7">
        <w:rPr>
          <w:lang w:val="sq-AL"/>
        </w:rPr>
        <w:t xml:space="preserve">ë publikuar së bashku me Dokumentin e Konsultimit për Koncept dokumentin i cili në formë të shkurtër ka paraqitur informatat e përmbledhura për Koncept dokumentin, qëllimet, objektivat, opsionet dhe hapësirën për konsultim, informatat për hapat pas përfundimit të procesit të konsultimit etj. </w:t>
      </w:r>
    </w:p>
    <w:p w:rsidR="00A81C25" w:rsidRPr="001946C7" w:rsidRDefault="00A81C25" w:rsidP="00A81C25">
      <w:pPr>
        <w:jc w:val="both"/>
        <w:rPr>
          <w:lang w:val="sq-AL"/>
        </w:rPr>
      </w:pPr>
    </w:p>
    <w:p w:rsidR="00A81C25" w:rsidRDefault="00A81C25" w:rsidP="00A81C25">
      <w:pPr>
        <w:jc w:val="both"/>
        <w:rPr>
          <w:lang w:val="sq-AL"/>
        </w:rPr>
      </w:pPr>
      <w:r w:rsidRPr="001946C7">
        <w:rPr>
          <w:lang w:val="sq-AL"/>
        </w:rPr>
        <w:t xml:space="preserve">Përveç publikimit të dokumenteve për konsultim Ministria e </w:t>
      </w:r>
      <w:r>
        <w:rPr>
          <w:lang w:val="sq-AL"/>
        </w:rPr>
        <w:t xml:space="preserve">Drejtësisë ka mbajtur takime </w:t>
      </w:r>
      <w:proofErr w:type="spellStart"/>
      <w:r>
        <w:rPr>
          <w:lang w:val="sq-AL"/>
        </w:rPr>
        <w:t>direkte</w:t>
      </w:r>
      <w:proofErr w:type="spellEnd"/>
      <w:r>
        <w:rPr>
          <w:lang w:val="sq-AL"/>
        </w:rPr>
        <w:t xml:space="preserve"> me gjyqtar vendorë dhe te EULEX-it, takime me përfaqësues të Këshillit Gjyqësor dhe AKP </w:t>
      </w:r>
      <w:r w:rsidRPr="001946C7">
        <w:rPr>
          <w:lang w:val="sq-AL"/>
        </w:rPr>
        <w:t xml:space="preserve">. </w:t>
      </w:r>
    </w:p>
    <w:p w:rsidR="00A81C25" w:rsidRDefault="00A81C25" w:rsidP="00A81C25">
      <w:pPr>
        <w:jc w:val="both"/>
        <w:rPr>
          <w:lang w:val="sq-AL"/>
        </w:rPr>
      </w:pPr>
    </w:p>
    <w:p w:rsidR="00A81C25" w:rsidRPr="001946C7" w:rsidRDefault="00A81C25" w:rsidP="00A81C25">
      <w:pPr>
        <w:jc w:val="both"/>
        <w:rPr>
          <w:lang w:val="sq-AL"/>
        </w:rPr>
      </w:pPr>
    </w:p>
    <w:tbl>
      <w:tblPr>
        <w:tblStyle w:val="GridTable1Light-Accent51"/>
        <w:tblW w:w="0" w:type="auto"/>
        <w:tblInd w:w="18" w:type="dxa"/>
        <w:tblLook w:val="04A0" w:firstRow="1" w:lastRow="0" w:firstColumn="1" w:lastColumn="0" w:noHBand="0" w:noVBand="1"/>
      </w:tblPr>
      <w:tblGrid>
        <w:gridCol w:w="3503"/>
        <w:gridCol w:w="2346"/>
        <w:gridCol w:w="2911"/>
      </w:tblGrid>
      <w:tr w:rsidR="00A81C25" w:rsidRPr="001946C7" w:rsidTr="00C4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1946C7" w:rsidRDefault="00A81C25" w:rsidP="00C44144">
            <w:pPr>
              <w:pStyle w:val="Default"/>
              <w:rPr>
                <w:rFonts w:asciiTheme="minorHAnsi" w:hAnsiTheme="minorHAnsi"/>
                <w:color w:val="auto"/>
                <w:sz w:val="20"/>
                <w:lang w:val="sq-AL"/>
              </w:rPr>
            </w:pPr>
            <w:r w:rsidRPr="001946C7">
              <w:rPr>
                <w:rFonts w:asciiTheme="minorHAnsi" w:hAnsiTheme="minorHAnsi"/>
                <w:color w:val="auto"/>
                <w:sz w:val="20"/>
                <w:lang w:val="sq-AL"/>
              </w:rPr>
              <w:t>Metodat e Konsultimit</w:t>
            </w:r>
          </w:p>
        </w:tc>
        <w:tc>
          <w:tcPr>
            <w:tcW w:w="2346" w:type="dxa"/>
            <w:shd w:val="clear" w:color="auto" w:fill="FBE4D5" w:themeFill="accent2" w:themeFillTint="33"/>
          </w:tcPr>
          <w:p w:rsidR="00A81C25" w:rsidRPr="001946C7" w:rsidRDefault="00A81C25" w:rsidP="00C4414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946C7">
              <w:rPr>
                <w:rFonts w:asciiTheme="minorHAnsi" w:hAnsiTheme="minorHAnsi"/>
                <w:color w:val="auto"/>
                <w:sz w:val="20"/>
                <w:lang w:val="sq-AL"/>
              </w:rPr>
              <w:t>Datat/kohëzgjatja</w:t>
            </w:r>
          </w:p>
        </w:tc>
        <w:tc>
          <w:tcPr>
            <w:tcW w:w="2911" w:type="dxa"/>
            <w:shd w:val="clear" w:color="auto" w:fill="FBE4D5" w:themeFill="accent2" w:themeFillTint="33"/>
          </w:tcPr>
          <w:p w:rsidR="00A81C25" w:rsidRPr="001946C7" w:rsidRDefault="00A81C25" w:rsidP="00C4414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946C7">
              <w:rPr>
                <w:rFonts w:asciiTheme="minorHAnsi" w:hAnsiTheme="minorHAnsi"/>
                <w:color w:val="auto"/>
                <w:sz w:val="20"/>
                <w:lang w:val="sq-AL"/>
              </w:rPr>
              <w:t>Numri i pjes</w:t>
            </w:r>
            <w:r>
              <w:rPr>
                <w:rFonts w:asciiTheme="minorHAnsi" w:hAnsiTheme="minorHAnsi"/>
                <w:color w:val="auto"/>
                <w:sz w:val="20"/>
                <w:lang w:val="sq-AL"/>
              </w:rPr>
              <w:t>ë</w:t>
            </w:r>
            <w:r w:rsidRPr="001946C7">
              <w:rPr>
                <w:rFonts w:asciiTheme="minorHAnsi" w:hAnsiTheme="minorHAnsi"/>
                <w:color w:val="auto"/>
                <w:sz w:val="20"/>
                <w:lang w:val="sq-AL"/>
              </w:rPr>
              <w:t>marrësve/</w:t>
            </w:r>
            <w:proofErr w:type="spellStart"/>
            <w:r w:rsidRPr="001946C7">
              <w:rPr>
                <w:rFonts w:asciiTheme="minorHAnsi" w:hAnsiTheme="minorHAnsi"/>
                <w:color w:val="auto"/>
                <w:sz w:val="20"/>
                <w:lang w:val="sq-AL"/>
              </w:rPr>
              <w:t>kontribuesve</w:t>
            </w:r>
            <w:proofErr w:type="spellEnd"/>
          </w:p>
        </w:tc>
      </w:tr>
      <w:tr w:rsidR="00A81C25" w:rsidRPr="001946C7" w:rsidTr="00C4414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1946C7" w:rsidRDefault="00A81C25" w:rsidP="00C44144">
            <w:pPr>
              <w:pStyle w:val="Default"/>
              <w:numPr>
                <w:ilvl w:val="0"/>
                <w:numId w:val="1"/>
              </w:numPr>
              <w:ind w:left="454"/>
              <w:rPr>
                <w:rFonts w:asciiTheme="minorHAnsi" w:hAnsiTheme="minorHAnsi"/>
                <w:b w:val="0"/>
                <w:sz w:val="21"/>
                <w:szCs w:val="23"/>
                <w:lang w:val="sq-AL"/>
              </w:rPr>
            </w:pPr>
            <w:r w:rsidRPr="001946C7">
              <w:rPr>
                <w:rFonts w:asciiTheme="minorHAnsi" w:hAnsiTheme="minorHAnsi"/>
                <w:b w:val="0"/>
                <w:sz w:val="21"/>
                <w:szCs w:val="23"/>
                <w:lang w:val="sq-AL"/>
              </w:rPr>
              <w:t>Konsultimet me shkrim / në mënyrë elektronike;</w:t>
            </w:r>
          </w:p>
        </w:tc>
        <w:tc>
          <w:tcPr>
            <w:tcW w:w="2346" w:type="dxa"/>
          </w:tcPr>
          <w:p w:rsidR="00A81C25" w:rsidRPr="001946C7"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8</w:t>
            </w:r>
            <w:r w:rsidRPr="001946C7">
              <w:rPr>
                <w:rFonts w:asciiTheme="minorHAnsi" w:hAnsiTheme="minorHAnsi"/>
                <w:color w:val="auto"/>
                <w:sz w:val="21"/>
                <w:lang w:val="sq-AL"/>
              </w:rPr>
              <w:t xml:space="preserve"> ditë pune </w:t>
            </w:r>
          </w:p>
        </w:tc>
        <w:tc>
          <w:tcPr>
            <w:tcW w:w="2911" w:type="dxa"/>
          </w:tcPr>
          <w:p w:rsidR="00A81C25" w:rsidRPr="001946C7"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946C7">
              <w:rPr>
                <w:rFonts w:asciiTheme="minorHAnsi" w:hAnsiTheme="minorHAnsi"/>
                <w:color w:val="auto"/>
                <w:sz w:val="21"/>
                <w:lang w:val="sq-AL"/>
              </w:rPr>
              <w:t xml:space="preserve"> </w:t>
            </w:r>
            <w:proofErr w:type="spellStart"/>
            <w:r w:rsidRPr="00DA09D2">
              <w:rPr>
                <w:rFonts w:asciiTheme="minorHAnsi" w:hAnsiTheme="minorHAnsi"/>
                <w:color w:val="auto"/>
                <w:sz w:val="21"/>
                <w:lang w:val="sq-AL"/>
              </w:rPr>
              <w:t>Kontribues</w:t>
            </w:r>
            <w:proofErr w:type="spellEnd"/>
            <w:r w:rsidRPr="00DA09D2">
              <w:rPr>
                <w:rFonts w:asciiTheme="minorHAnsi" w:hAnsiTheme="minorHAnsi"/>
                <w:color w:val="auto"/>
                <w:sz w:val="21"/>
                <w:lang w:val="sq-AL"/>
              </w:rPr>
              <w:t xml:space="preserve"> -</w:t>
            </w:r>
            <w:r w:rsidRPr="007336AB">
              <w:rPr>
                <w:rFonts w:asciiTheme="minorHAnsi" w:hAnsiTheme="minorHAnsi"/>
                <w:color w:val="auto"/>
                <w:sz w:val="21"/>
                <w:lang w:val="sq-AL"/>
              </w:rPr>
              <w:t xml:space="preserve"> 4</w:t>
            </w:r>
          </w:p>
        </w:tc>
      </w:tr>
      <w:tr w:rsidR="00A81C25" w:rsidRPr="001946C7" w:rsidTr="00C4414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1946C7" w:rsidRDefault="00A81C25" w:rsidP="00C44144">
            <w:pPr>
              <w:pStyle w:val="Default"/>
              <w:numPr>
                <w:ilvl w:val="0"/>
                <w:numId w:val="1"/>
              </w:numPr>
              <w:ind w:left="454"/>
              <w:rPr>
                <w:rFonts w:asciiTheme="minorHAnsi" w:hAnsiTheme="minorHAnsi"/>
                <w:b w:val="0"/>
                <w:color w:val="auto"/>
                <w:sz w:val="21"/>
                <w:lang w:val="sq-AL"/>
              </w:rPr>
            </w:pPr>
            <w:r w:rsidRPr="001946C7">
              <w:rPr>
                <w:rFonts w:asciiTheme="minorHAnsi" w:hAnsiTheme="minorHAnsi"/>
                <w:b w:val="0"/>
                <w:sz w:val="21"/>
                <w:szCs w:val="23"/>
                <w:lang w:val="sq-AL"/>
              </w:rPr>
              <w:t>Publikimi në ueb faqe/Platforma elektronike</w:t>
            </w:r>
          </w:p>
        </w:tc>
        <w:tc>
          <w:tcPr>
            <w:tcW w:w="2346" w:type="dxa"/>
          </w:tcPr>
          <w:p w:rsidR="00A81C25" w:rsidRPr="001946C7"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8</w:t>
            </w:r>
            <w:r w:rsidRPr="001946C7">
              <w:rPr>
                <w:rFonts w:asciiTheme="minorHAnsi" w:hAnsiTheme="minorHAnsi"/>
                <w:color w:val="auto"/>
                <w:sz w:val="21"/>
                <w:lang w:val="sq-AL"/>
              </w:rPr>
              <w:t xml:space="preserve"> ditë pune </w:t>
            </w:r>
          </w:p>
        </w:tc>
        <w:tc>
          <w:tcPr>
            <w:tcW w:w="2911" w:type="dxa"/>
          </w:tcPr>
          <w:p w:rsidR="00A81C25" w:rsidRPr="001946C7"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roofErr w:type="spellStart"/>
            <w:r>
              <w:rPr>
                <w:rFonts w:asciiTheme="minorHAnsi" w:hAnsiTheme="minorHAnsi"/>
                <w:color w:val="auto"/>
                <w:sz w:val="21"/>
                <w:lang w:val="sq-AL"/>
              </w:rPr>
              <w:t>Kontrib</w:t>
            </w:r>
            <w:r w:rsidRPr="001946C7">
              <w:rPr>
                <w:rFonts w:asciiTheme="minorHAnsi" w:hAnsiTheme="minorHAnsi"/>
                <w:color w:val="auto"/>
                <w:sz w:val="21"/>
                <w:lang w:val="sq-AL"/>
              </w:rPr>
              <w:t>ues</w:t>
            </w:r>
            <w:proofErr w:type="spellEnd"/>
            <w:r w:rsidRPr="001946C7">
              <w:rPr>
                <w:rFonts w:asciiTheme="minorHAnsi" w:hAnsiTheme="minorHAnsi"/>
                <w:color w:val="auto"/>
                <w:sz w:val="21"/>
                <w:lang w:val="sq-AL"/>
              </w:rPr>
              <w:t xml:space="preserve"> </w:t>
            </w:r>
            <w:r>
              <w:rPr>
                <w:rFonts w:asciiTheme="minorHAnsi" w:hAnsiTheme="minorHAnsi"/>
                <w:color w:val="auto"/>
                <w:sz w:val="21"/>
                <w:lang w:val="sq-AL"/>
              </w:rPr>
              <w:t xml:space="preserve"> -1 </w:t>
            </w:r>
          </w:p>
        </w:tc>
      </w:tr>
      <w:tr w:rsidR="00A81C25" w:rsidRPr="001946C7" w:rsidTr="00C4414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1946C7" w:rsidRDefault="00A81C25" w:rsidP="00C44144">
            <w:pPr>
              <w:pStyle w:val="Default"/>
              <w:numPr>
                <w:ilvl w:val="0"/>
                <w:numId w:val="1"/>
              </w:numPr>
              <w:ind w:left="454"/>
              <w:rPr>
                <w:rFonts w:asciiTheme="minorHAnsi" w:hAnsiTheme="minorHAnsi"/>
                <w:b w:val="0"/>
                <w:color w:val="auto"/>
                <w:sz w:val="21"/>
                <w:lang w:val="sq-AL"/>
              </w:rPr>
            </w:pPr>
            <w:r w:rsidRPr="001946C7">
              <w:rPr>
                <w:rFonts w:asciiTheme="minorHAnsi" w:hAnsiTheme="minorHAnsi"/>
                <w:b w:val="0"/>
                <w:sz w:val="21"/>
                <w:szCs w:val="23"/>
                <w:lang w:val="sq-AL"/>
              </w:rPr>
              <w:t>Takimet publike</w:t>
            </w:r>
          </w:p>
        </w:tc>
        <w:tc>
          <w:tcPr>
            <w:tcW w:w="2346" w:type="dxa"/>
          </w:tcPr>
          <w:p w:rsidR="00A81C25" w:rsidRPr="001946C7"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2911" w:type="dxa"/>
          </w:tcPr>
          <w:p w:rsidR="00A81C25" w:rsidRPr="001946C7"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rsidR="00A81C25" w:rsidRPr="001946C7" w:rsidRDefault="00A81C25" w:rsidP="00A81C25">
      <w:pPr>
        <w:jc w:val="both"/>
        <w:rPr>
          <w:lang w:val="sq-AL"/>
        </w:rPr>
      </w:pPr>
    </w:p>
    <w:p w:rsidR="00A81C25" w:rsidRPr="001946C7" w:rsidRDefault="00A81C25" w:rsidP="00A81C25">
      <w:pPr>
        <w:jc w:val="both"/>
        <w:rPr>
          <w:lang w:val="sq-AL"/>
        </w:rPr>
      </w:pPr>
    </w:p>
    <w:p w:rsidR="00A81C25" w:rsidRPr="001946C7" w:rsidRDefault="00A81C25" w:rsidP="00A81C25">
      <w:pPr>
        <w:jc w:val="center"/>
        <w:rPr>
          <w:b/>
          <w:lang w:val="sq-AL"/>
        </w:rPr>
      </w:pPr>
      <w:r w:rsidRPr="001946C7">
        <w:rPr>
          <w:b/>
          <w:lang w:val="sq-AL"/>
        </w:rPr>
        <w:t>Përmbledhje e  kontributeve të pranuara gjatë procesit të konsultimit</w:t>
      </w:r>
    </w:p>
    <w:p w:rsidR="00A81C25" w:rsidRPr="001946C7" w:rsidRDefault="00A81C25" w:rsidP="00A81C25">
      <w:pPr>
        <w:jc w:val="both"/>
        <w:rPr>
          <w:lang w:val="sq-AL"/>
        </w:rPr>
      </w:pPr>
    </w:p>
    <w:p w:rsidR="00A81C25" w:rsidRPr="001946C7" w:rsidRDefault="00A81C25" w:rsidP="00A81C25">
      <w:pPr>
        <w:jc w:val="both"/>
        <w:rPr>
          <w:lang w:val="sq-AL"/>
        </w:rPr>
      </w:pPr>
      <w:r w:rsidRPr="001946C7">
        <w:rPr>
          <w:lang w:val="sq-AL"/>
        </w:rPr>
        <w:t>Kontr</w:t>
      </w:r>
      <w:r>
        <w:rPr>
          <w:lang w:val="sq-AL"/>
        </w:rPr>
        <w:t>i</w:t>
      </w:r>
      <w:r w:rsidRPr="001946C7">
        <w:rPr>
          <w:lang w:val="sq-AL"/>
        </w:rPr>
        <w:t xml:space="preserve">butet për draft </w:t>
      </w:r>
      <w:r w:rsidRPr="00995424">
        <w:rPr>
          <w:lang w:val="sq-AL"/>
        </w:rPr>
        <w:t>Koncept Dokumentit</w:t>
      </w:r>
      <w:r>
        <w:rPr>
          <w:lang w:val="sq-AL"/>
        </w:rPr>
        <w:t xml:space="preserve"> për </w:t>
      </w:r>
      <w:r>
        <w:rPr>
          <w:rFonts w:eastAsia="Helvetica"/>
          <w:lang w:val="sq-AL"/>
        </w:rPr>
        <w:t>f</w:t>
      </w:r>
      <w:r w:rsidRPr="00ED1642">
        <w:rPr>
          <w:rFonts w:eastAsia="Helvetica"/>
          <w:lang w:val="sq-AL"/>
        </w:rPr>
        <w:t>ushëveprimi</w:t>
      </w:r>
      <w:r>
        <w:rPr>
          <w:rFonts w:eastAsia="Helvetica"/>
          <w:lang w:val="sq-AL"/>
        </w:rPr>
        <w:t>n</w:t>
      </w:r>
      <w:r w:rsidRPr="00ED1642">
        <w:rPr>
          <w:rFonts w:eastAsia="Helvetica"/>
          <w:lang w:val="sq-AL"/>
        </w:rPr>
        <w:t xml:space="preserve"> </w:t>
      </w:r>
      <w:r>
        <w:rPr>
          <w:rFonts w:eastAsia="Helvetica"/>
          <w:lang w:val="sq-AL"/>
        </w:rPr>
        <w:t xml:space="preserve">e </w:t>
      </w:r>
      <w:r w:rsidRPr="00ED1642">
        <w:rPr>
          <w:rFonts w:eastAsia="Helvetica"/>
          <w:lang w:val="sq-AL"/>
        </w:rPr>
        <w:t>Dhomës se Posaçme të Gjykatës Supreme</w:t>
      </w:r>
      <w:r w:rsidRPr="001946C7">
        <w:rPr>
          <w:lang w:val="sq-AL"/>
        </w:rPr>
        <w:t xml:space="preserve"> nga palët e interesit janë dhënë kryesisht gjatë takimeve </w:t>
      </w:r>
      <w:r>
        <w:rPr>
          <w:lang w:val="sq-AL"/>
        </w:rPr>
        <w:t>me palët e interesit, qofte nga Këshilli Gjyqësor, pastaj Dhoma e Posaçme dhe përfaqësuesit e EULEX-it</w:t>
      </w:r>
      <w:r w:rsidRPr="001946C7">
        <w:rPr>
          <w:lang w:val="sq-AL"/>
        </w:rPr>
        <w:t xml:space="preserve">. </w:t>
      </w:r>
      <w:r w:rsidRPr="00DA09D2">
        <w:rPr>
          <w:lang w:val="sq-AL"/>
        </w:rPr>
        <w:t>Gjatë këtyre takimeve janë dhënë gjithsejtë 4 propozimet të cilat konsiderohen</w:t>
      </w:r>
      <w:r w:rsidRPr="001946C7">
        <w:rPr>
          <w:lang w:val="sq-AL"/>
        </w:rPr>
        <w:t xml:space="preserve"> se janë relevante për temat e shqyrtuara në Koncept Dokument. Përv</w:t>
      </w:r>
      <w:r>
        <w:rPr>
          <w:lang w:val="sq-AL"/>
        </w:rPr>
        <w:t>eç</w:t>
      </w:r>
      <w:r w:rsidRPr="001946C7">
        <w:rPr>
          <w:lang w:val="sq-AL"/>
        </w:rPr>
        <w:t xml:space="preserve"> kontributeve në takime</w:t>
      </w:r>
      <w:r>
        <w:rPr>
          <w:lang w:val="sq-AL"/>
        </w:rPr>
        <w:t>,</w:t>
      </w:r>
      <w:r w:rsidRPr="001946C7">
        <w:rPr>
          <w:lang w:val="sq-AL"/>
        </w:rPr>
        <w:t xml:space="preserve"> kontribute me shkrim janë dhënë gjithashtu përmes komunikimit të drejtpërdrejt</w:t>
      </w:r>
      <w:r w:rsidR="00DA09D2">
        <w:rPr>
          <w:lang w:val="sq-AL"/>
        </w:rPr>
        <w:t xml:space="preserve">ë nga ana e palëve të interesit. </w:t>
      </w:r>
      <w:r w:rsidRPr="001946C7">
        <w:rPr>
          <w:lang w:val="sq-AL"/>
        </w:rPr>
        <w:t xml:space="preserve"> </w:t>
      </w:r>
    </w:p>
    <w:p w:rsidR="00A81C25" w:rsidRPr="001946C7" w:rsidRDefault="00A81C25" w:rsidP="00A81C25">
      <w:pPr>
        <w:jc w:val="both"/>
        <w:rPr>
          <w:lang w:val="sq-AL"/>
        </w:rPr>
      </w:pPr>
    </w:p>
    <w:p w:rsidR="00A81C25" w:rsidRPr="001946C7" w:rsidRDefault="00A81C25" w:rsidP="00A81C25">
      <w:pPr>
        <w:jc w:val="center"/>
        <w:rPr>
          <w:b/>
          <w:lang w:val="sq-AL"/>
        </w:rPr>
      </w:pPr>
      <w:r w:rsidRPr="001946C7">
        <w:rPr>
          <w:b/>
          <w:lang w:val="sq-AL"/>
        </w:rPr>
        <w:t>Çështje tjera</w:t>
      </w:r>
    </w:p>
    <w:p w:rsidR="00A81C25" w:rsidRPr="001946C7" w:rsidRDefault="00A81C25" w:rsidP="00A81C25">
      <w:pPr>
        <w:jc w:val="both"/>
        <w:rPr>
          <w:i/>
          <w:lang w:val="sq-AL"/>
        </w:rPr>
      </w:pPr>
    </w:p>
    <w:p w:rsidR="00A81C25" w:rsidRPr="001946C7" w:rsidRDefault="00A81C25" w:rsidP="00A81C25">
      <w:pPr>
        <w:jc w:val="both"/>
        <w:rPr>
          <w:lang w:val="sq-AL"/>
        </w:rPr>
      </w:pPr>
      <w:r w:rsidRPr="001946C7">
        <w:rPr>
          <w:lang w:val="sq-AL"/>
        </w:rPr>
        <w:t xml:space="preserve">Me qëllim të finalizimit të </w:t>
      </w:r>
      <w:r>
        <w:rPr>
          <w:lang w:val="sq-AL"/>
        </w:rPr>
        <w:t>Draft Koncept d</w:t>
      </w:r>
      <w:r w:rsidRPr="001946C7">
        <w:rPr>
          <w:lang w:val="sq-AL"/>
        </w:rPr>
        <w:t xml:space="preserve">okumentit </w:t>
      </w:r>
      <w:r>
        <w:rPr>
          <w:rFonts w:eastAsia="Helvetica"/>
          <w:lang w:val="sq-AL"/>
        </w:rPr>
        <w:t>për Dhomën</w:t>
      </w:r>
      <w:r w:rsidRPr="00ED1642">
        <w:rPr>
          <w:rFonts w:eastAsia="Helvetica"/>
          <w:lang w:val="sq-AL"/>
        </w:rPr>
        <w:t xml:space="preserve"> e Posaçme </w:t>
      </w:r>
      <w:r>
        <w:rPr>
          <w:rFonts w:eastAsia="Helvetica"/>
          <w:lang w:val="sq-AL"/>
        </w:rPr>
        <w:t>të</w:t>
      </w:r>
      <w:r w:rsidRPr="00ED1642">
        <w:rPr>
          <w:rFonts w:eastAsia="Helvetica"/>
          <w:lang w:val="sq-AL"/>
        </w:rPr>
        <w:t xml:space="preserve"> Gjykatës Supreme</w:t>
      </w:r>
      <w:r w:rsidRPr="001946C7">
        <w:rPr>
          <w:lang w:val="sq-AL"/>
        </w:rPr>
        <w:t xml:space="preserve"> dhe shqyrtimit të komenteve të pranuara</w:t>
      </w:r>
      <w:r>
        <w:rPr>
          <w:lang w:val="sq-AL"/>
        </w:rPr>
        <w:t>, është mbajtur takimi  përmbyllës i</w:t>
      </w:r>
      <w:r w:rsidRPr="001946C7">
        <w:rPr>
          <w:lang w:val="sq-AL"/>
        </w:rPr>
        <w:t xml:space="preserve"> Grupit Punues me datën </w:t>
      </w:r>
      <w:r>
        <w:rPr>
          <w:lang w:val="sq-AL"/>
        </w:rPr>
        <w:t>20 mars 2018</w:t>
      </w:r>
      <w:r w:rsidRPr="001946C7">
        <w:rPr>
          <w:lang w:val="sq-AL"/>
        </w:rPr>
        <w:t>. Të gjitha kontributet e pranuara janë shqyrtuar ve</w:t>
      </w:r>
      <w:r>
        <w:rPr>
          <w:lang w:val="sq-AL"/>
        </w:rPr>
        <w:t>ç</w:t>
      </w:r>
      <w:r w:rsidRPr="001946C7">
        <w:rPr>
          <w:lang w:val="sq-AL"/>
        </w:rPr>
        <w:t xml:space="preserve"> e ve</w:t>
      </w:r>
      <w:r>
        <w:rPr>
          <w:lang w:val="sq-AL"/>
        </w:rPr>
        <w:t>ç,</w:t>
      </w:r>
      <w:r w:rsidRPr="001946C7">
        <w:rPr>
          <w:lang w:val="sq-AL"/>
        </w:rPr>
        <w:t xml:space="preserve"> ndërsa raporti i detajuar për komentet e pranuara, kontribuuesit dhe statusin e kontributeve janë paraqitur në formë të plotë ne shtojcën nr. 1 të këtij raporti.   </w:t>
      </w:r>
    </w:p>
    <w:p w:rsidR="00A81C25" w:rsidRPr="001946C7" w:rsidRDefault="00A81C25" w:rsidP="00A81C25">
      <w:pPr>
        <w:jc w:val="both"/>
        <w:rPr>
          <w:lang w:val="sq-AL"/>
        </w:rPr>
      </w:pPr>
    </w:p>
    <w:p w:rsidR="00A81C25" w:rsidRDefault="00A81C25" w:rsidP="00A81C25">
      <w:pPr>
        <w:jc w:val="both"/>
        <w:rPr>
          <w:lang w:val="sq-AL"/>
        </w:rPr>
      </w:pPr>
    </w:p>
    <w:p w:rsidR="00A81C25" w:rsidRPr="001946C7" w:rsidRDefault="00A81C25" w:rsidP="00A81C25">
      <w:pPr>
        <w:jc w:val="both"/>
        <w:rPr>
          <w:lang w:val="sq-AL"/>
        </w:rPr>
      </w:pPr>
    </w:p>
    <w:p w:rsidR="00A81C25" w:rsidRDefault="00A81C25" w:rsidP="00A81C25">
      <w:pPr>
        <w:jc w:val="both"/>
        <w:rPr>
          <w:lang w:val="sq-AL"/>
        </w:rPr>
      </w:pPr>
    </w:p>
    <w:p w:rsidR="00A81C25" w:rsidRPr="001946C7" w:rsidRDefault="00A81C25" w:rsidP="00A81C25">
      <w:pPr>
        <w:jc w:val="both"/>
        <w:rPr>
          <w:lang w:val="sq-AL"/>
        </w:rPr>
      </w:pPr>
    </w:p>
    <w:p w:rsidR="00A81C25" w:rsidRDefault="00A81C25" w:rsidP="00A81C25">
      <w:pPr>
        <w:jc w:val="center"/>
        <w:rPr>
          <w:b/>
          <w:lang w:val="sq-AL"/>
        </w:rPr>
      </w:pPr>
    </w:p>
    <w:p w:rsidR="00A81C25" w:rsidRDefault="00A81C25" w:rsidP="00A81C25">
      <w:pPr>
        <w:jc w:val="center"/>
        <w:rPr>
          <w:b/>
          <w:lang w:val="sq-AL"/>
        </w:rPr>
      </w:pPr>
    </w:p>
    <w:p w:rsidR="00A81C25" w:rsidRDefault="00A81C25" w:rsidP="00A81C25">
      <w:pPr>
        <w:jc w:val="center"/>
        <w:rPr>
          <w:b/>
          <w:lang w:val="sq-AL"/>
        </w:rPr>
      </w:pPr>
    </w:p>
    <w:p w:rsidR="00A81C25" w:rsidRDefault="00A81C25" w:rsidP="00A81C25">
      <w:pPr>
        <w:jc w:val="center"/>
        <w:rPr>
          <w:b/>
          <w:lang w:val="sq-AL"/>
        </w:rPr>
      </w:pPr>
    </w:p>
    <w:p w:rsidR="00A81C25" w:rsidRPr="001946C7" w:rsidRDefault="00A81C25" w:rsidP="00A81C25">
      <w:pPr>
        <w:jc w:val="center"/>
        <w:rPr>
          <w:b/>
          <w:lang w:val="sq-AL"/>
        </w:rPr>
      </w:pPr>
      <w:r w:rsidRPr="001946C7">
        <w:rPr>
          <w:b/>
          <w:lang w:val="sq-AL"/>
        </w:rPr>
        <w:t>Hapat e ardhshëm</w:t>
      </w:r>
    </w:p>
    <w:p w:rsidR="00A81C25" w:rsidRPr="001946C7" w:rsidRDefault="00A81C25" w:rsidP="00A81C25">
      <w:pPr>
        <w:jc w:val="both"/>
        <w:rPr>
          <w:lang w:val="sq-AL"/>
        </w:rPr>
      </w:pPr>
    </w:p>
    <w:p w:rsidR="00A81C25" w:rsidRPr="001946C7" w:rsidRDefault="00A81C25" w:rsidP="00A81C25">
      <w:pPr>
        <w:jc w:val="both"/>
        <w:rPr>
          <w:lang w:val="sq-AL"/>
        </w:rPr>
      </w:pPr>
      <w:r w:rsidRPr="001946C7">
        <w:rPr>
          <w:lang w:val="sq-AL"/>
        </w:rPr>
        <w:t>Draft Koncept Dokumenti pë</w:t>
      </w:r>
      <w:r>
        <w:rPr>
          <w:lang w:val="sq-AL"/>
        </w:rPr>
        <w:t xml:space="preserve">r </w:t>
      </w:r>
      <w:r>
        <w:rPr>
          <w:rFonts w:eastAsia="Helvetica"/>
          <w:lang w:val="sq-AL"/>
        </w:rPr>
        <w:t>Dhomën</w:t>
      </w:r>
      <w:r w:rsidRPr="00ED1642">
        <w:rPr>
          <w:rFonts w:eastAsia="Helvetica"/>
          <w:lang w:val="sq-AL"/>
        </w:rPr>
        <w:t xml:space="preserve"> e Posaçme </w:t>
      </w:r>
      <w:r>
        <w:rPr>
          <w:rFonts w:eastAsia="Helvetica"/>
          <w:lang w:val="sq-AL"/>
        </w:rPr>
        <w:t>të</w:t>
      </w:r>
      <w:r w:rsidRPr="00ED1642">
        <w:rPr>
          <w:rFonts w:eastAsia="Helvetica"/>
          <w:lang w:val="sq-AL"/>
        </w:rPr>
        <w:t xml:space="preserve"> Gjykatës Supreme</w:t>
      </w:r>
      <w:r w:rsidRPr="001946C7">
        <w:rPr>
          <w:lang w:val="sq-AL"/>
        </w:rPr>
        <w:t xml:space="preserve"> </w:t>
      </w:r>
      <w:r>
        <w:rPr>
          <w:lang w:val="sq-AL"/>
        </w:rPr>
        <w:t>është</w:t>
      </w:r>
      <w:r w:rsidRPr="001946C7">
        <w:rPr>
          <w:lang w:val="sq-AL"/>
        </w:rPr>
        <w:t xml:space="preserve"> finalizuar</w:t>
      </w:r>
      <w:r>
        <w:rPr>
          <w:lang w:val="sq-AL"/>
        </w:rPr>
        <w:t>,</w:t>
      </w:r>
      <w:r w:rsidRPr="001946C7">
        <w:rPr>
          <w:lang w:val="sq-AL"/>
        </w:rPr>
        <w:t xml:space="preserve"> </w:t>
      </w:r>
      <w:r>
        <w:rPr>
          <w:lang w:val="sq-AL"/>
        </w:rPr>
        <w:t xml:space="preserve"> dhe</w:t>
      </w:r>
      <w:r w:rsidRPr="001946C7">
        <w:rPr>
          <w:lang w:val="sq-AL"/>
        </w:rPr>
        <w:t xml:space="preserve"> </w:t>
      </w:r>
      <w:r w:rsidR="00DA09D2">
        <w:rPr>
          <w:lang w:val="sq-AL"/>
        </w:rPr>
        <w:t>është  miratuar</w:t>
      </w:r>
      <w:r w:rsidRPr="001946C7">
        <w:rPr>
          <w:lang w:val="sq-AL"/>
        </w:rPr>
        <w:t xml:space="preserve"> në Qeveri</w:t>
      </w:r>
      <w:r w:rsidRPr="000149C9">
        <w:rPr>
          <w:lang w:val="sq-AL"/>
        </w:rPr>
        <w:t>.</w:t>
      </w:r>
    </w:p>
    <w:p w:rsidR="00A81C25" w:rsidRPr="001946C7" w:rsidRDefault="00A81C25" w:rsidP="00A81C25">
      <w:pPr>
        <w:rPr>
          <w:lang w:val="sq-AL"/>
        </w:rPr>
      </w:pPr>
    </w:p>
    <w:p w:rsidR="00A81C25" w:rsidRPr="001946C7" w:rsidRDefault="00A81C25" w:rsidP="00A81C25">
      <w:pPr>
        <w:rPr>
          <w:lang w:val="sq-AL"/>
        </w:rPr>
        <w:sectPr w:rsidR="00A81C25" w:rsidRPr="001946C7" w:rsidSect="00A3310D">
          <w:footerReference w:type="even" r:id="rId9"/>
          <w:footerReference w:type="default" r:id="rId10"/>
          <w:pgSz w:w="12240" w:h="15840"/>
          <w:pgMar w:top="1440" w:right="1800" w:bottom="1440" w:left="1800" w:header="720" w:footer="720" w:gutter="0"/>
          <w:cols w:space="720"/>
          <w:docGrid w:linePitch="360"/>
        </w:sectPr>
      </w:pPr>
    </w:p>
    <w:p w:rsidR="00A81C25" w:rsidRPr="001946C7" w:rsidRDefault="00A81C25" w:rsidP="00A81C25">
      <w:pPr>
        <w:rPr>
          <w:lang w:val="sq-AL"/>
        </w:rPr>
      </w:pPr>
      <w:r w:rsidRPr="001946C7">
        <w:rPr>
          <w:lang w:val="sq-AL"/>
        </w:rPr>
        <w:lastRenderedPageBreak/>
        <w:t xml:space="preserve">Shtojca – tabela e detajuar me informatat për </w:t>
      </w:r>
      <w:proofErr w:type="spellStart"/>
      <w:r>
        <w:rPr>
          <w:lang w:val="sq-AL"/>
        </w:rPr>
        <w:t>kontribu</w:t>
      </w:r>
      <w:r w:rsidRPr="001946C7">
        <w:rPr>
          <w:lang w:val="sq-AL"/>
        </w:rPr>
        <w:t>esit</w:t>
      </w:r>
      <w:proofErr w:type="spellEnd"/>
      <w:r w:rsidRPr="001946C7">
        <w:rPr>
          <w:lang w:val="sq-AL"/>
        </w:rPr>
        <w:t xml:space="preserve">, arsyetimet për përgjigjet e pranuara dhe të refuzuara.  </w:t>
      </w:r>
    </w:p>
    <w:p w:rsidR="00A81C25" w:rsidRPr="001946C7" w:rsidRDefault="00A81C25" w:rsidP="00A81C25">
      <w:pPr>
        <w:ind w:left="-450"/>
        <w:rPr>
          <w:lang w:val="sq-AL"/>
        </w:rPr>
      </w:pPr>
    </w:p>
    <w:p w:rsidR="00A81C25" w:rsidRPr="001946C7" w:rsidRDefault="00A81C25" w:rsidP="00A81C25">
      <w:pPr>
        <w:rPr>
          <w:lang w:val="sq-AL"/>
        </w:rPr>
      </w:pPr>
    </w:p>
    <w:p w:rsidR="00A81C25" w:rsidRPr="001946C7" w:rsidRDefault="00A81C25" w:rsidP="00A81C25">
      <w:pPr>
        <w:ind w:right="-540"/>
        <w:rPr>
          <w:lang w:val="sq-AL"/>
        </w:rPr>
      </w:pPr>
    </w:p>
    <w:tbl>
      <w:tblPr>
        <w:tblW w:w="14996"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EEAF6" w:themeFill="accent1" w:themeFillTint="33"/>
        <w:tblLayout w:type="fixed"/>
        <w:tblLook w:val="04A0" w:firstRow="1" w:lastRow="0" w:firstColumn="1" w:lastColumn="0" w:noHBand="0" w:noVBand="1"/>
      </w:tblPr>
      <w:tblGrid>
        <w:gridCol w:w="1576"/>
        <w:gridCol w:w="3937"/>
        <w:gridCol w:w="1463"/>
        <w:gridCol w:w="1350"/>
        <w:gridCol w:w="6670"/>
      </w:tblGrid>
      <w:tr w:rsidR="00A81C25" w:rsidRPr="001946C7" w:rsidTr="00C44144">
        <w:trPr>
          <w:trHeight w:val="341"/>
        </w:trPr>
        <w:tc>
          <w:tcPr>
            <w:tcW w:w="8326" w:type="dxa"/>
            <w:gridSpan w:val="4"/>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Koncept Dokumenti për Dhomën e Posaçme të Gjykatës Supreme</w:t>
            </w:r>
          </w:p>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Temat e konsultimit dhe shqyrtimi i mundësive</w:t>
            </w:r>
          </w:p>
        </w:tc>
        <w:tc>
          <w:tcPr>
            <w:tcW w:w="6670" w:type="dxa"/>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p>
        </w:tc>
      </w:tr>
      <w:tr w:rsidR="00A81C25" w:rsidRPr="000149C9" w:rsidTr="00C44144">
        <w:trPr>
          <w:trHeight w:val="620"/>
        </w:trPr>
        <w:tc>
          <w:tcPr>
            <w:tcW w:w="1576" w:type="dxa"/>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Temat e konsultimit</w:t>
            </w:r>
          </w:p>
        </w:tc>
        <w:tc>
          <w:tcPr>
            <w:tcW w:w="3937" w:type="dxa"/>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Komentet</w:t>
            </w:r>
          </w:p>
        </w:tc>
        <w:tc>
          <w:tcPr>
            <w:tcW w:w="1463" w:type="dxa"/>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Kush ka komentuar</w:t>
            </w:r>
          </w:p>
        </w:tc>
        <w:tc>
          <w:tcPr>
            <w:tcW w:w="1350" w:type="dxa"/>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Status i komenteve – Pranuar, Pjesërisht pranuar, Refuzuar</w:t>
            </w:r>
          </w:p>
        </w:tc>
        <w:tc>
          <w:tcPr>
            <w:tcW w:w="6670" w:type="dxa"/>
            <w:shd w:val="clear" w:color="auto" w:fill="DEEAF6" w:themeFill="accent1" w:themeFillTint="33"/>
          </w:tcPr>
          <w:p w:rsidR="00A81C25" w:rsidRPr="001946C7"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 xml:space="preserve">Komentet (Sqarimet janë </w:t>
            </w:r>
            <w:proofErr w:type="spellStart"/>
            <w:r>
              <w:rPr>
                <w:rFonts w:ascii="Times New Roman" w:hAnsi="Times New Roman" w:cs="Times New Roman"/>
                <w:b/>
                <w:sz w:val="20"/>
                <w:szCs w:val="20"/>
                <w:lang w:val="sq-AL"/>
              </w:rPr>
              <w:t>obligative</w:t>
            </w:r>
            <w:proofErr w:type="spellEnd"/>
            <w:r>
              <w:rPr>
                <w:rFonts w:ascii="Times New Roman" w:hAnsi="Times New Roman" w:cs="Times New Roman"/>
                <w:b/>
                <w:sz w:val="20"/>
                <w:szCs w:val="20"/>
                <w:lang w:val="sq-AL"/>
              </w:rPr>
              <w:t xml:space="preserve"> për komentet e refuzuara dhe ato pjesërisht te pranuara)</w:t>
            </w:r>
          </w:p>
        </w:tc>
      </w:tr>
      <w:tr w:rsidR="00A81C25" w:rsidRPr="000149C9" w:rsidTr="00C44144">
        <w:trPr>
          <w:trHeight w:val="1025"/>
        </w:trPr>
        <w:tc>
          <w:tcPr>
            <w:tcW w:w="1576" w:type="dxa"/>
            <w:tcBorders>
              <w:bottom w:val="single" w:sz="4" w:space="0" w:color="auto"/>
            </w:tcBorders>
            <w:shd w:val="clear" w:color="auto" w:fill="DEEAF6" w:themeFill="accent1" w:themeFillTint="33"/>
          </w:tcPr>
          <w:p w:rsidR="00A81C25" w:rsidRPr="00DA09D2" w:rsidRDefault="00A81C25" w:rsidP="00C44144">
            <w:pPr>
              <w:rPr>
                <w:rFonts w:ascii="Times New Roman" w:hAnsi="Times New Roman" w:cs="Times New Roman"/>
                <w:b/>
                <w:bCs/>
                <w:sz w:val="20"/>
                <w:szCs w:val="20"/>
                <w:lang w:val="sq-AL"/>
              </w:rPr>
            </w:pPr>
            <w:r>
              <w:rPr>
                <w:rFonts w:ascii="Times New Roman" w:hAnsi="Times New Roman" w:cs="Times New Roman"/>
                <w:b/>
                <w:bCs/>
                <w:sz w:val="20"/>
                <w:szCs w:val="20"/>
                <w:lang w:val="sq-AL"/>
              </w:rPr>
              <w:t>TEMA 1</w:t>
            </w:r>
            <w:r>
              <w:rPr>
                <w:rFonts w:ascii="Times New Roman" w:hAnsi="Times New Roman" w:cs="Times New Roman"/>
                <w:b/>
                <w:bCs/>
                <w:sz w:val="20"/>
                <w:szCs w:val="20"/>
                <w:lang w:val="en-US"/>
              </w:rPr>
              <w:t xml:space="preserve">: </w:t>
            </w:r>
            <w:r w:rsidRPr="00DA09D2">
              <w:rPr>
                <w:rFonts w:ascii="Times New Roman" w:hAnsi="Times New Roman" w:cs="Times New Roman"/>
                <w:b/>
                <w:bCs/>
                <w:sz w:val="20"/>
                <w:szCs w:val="20"/>
                <w:lang w:val="sq-AL"/>
              </w:rPr>
              <w:t xml:space="preserve">Përbërja e </w:t>
            </w:r>
            <w:proofErr w:type="spellStart"/>
            <w:r w:rsidRPr="00DA09D2">
              <w:rPr>
                <w:rFonts w:ascii="Times New Roman" w:hAnsi="Times New Roman" w:cs="Times New Roman"/>
                <w:b/>
                <w:bCs/>
                <w:sz w:val="20"/>
                <w:szCs w:val="20"/>
                <w:lang w:val="sq-AL"/>
              </w:rPr>
              <w:t>DhPGjS</w:t>
            </w:r>
            <w:proofErr w:type="spellEnd"/>
          </w:p>
          <w:p w:rsidR="00A81C25" w:rsidRDefault="00A81C25" w:rsidP="00C44144">
            <w:pPr>
              <w:pStyle w:val="NoSpacing"/>
              <w:spacing w:line="276" w:lineRule="auto"/>
              <w:rPr>
                <w:rFonts w:ascii="Book Antiqua" w:hAnsi="Book Antiqua" w:cs="Calibri"/>
                <w:b/>
                <w:sz w:val="24"/>
                <w:szCs w:val="24"/>
              </w:rPr>
            </w:pPr>
          </w:p>
          <w:p w:rsidR="00A81C25" w:rsidRDefault="00A81C25" w:rsidP="00C44144">
            <w:pPr>
              <w:pStyle w:val="NoSpacing"/>
              <w:spacing w:line="276" w:lineRule="auto"/>
              <w:rPr>
                <w:rFonts w:ascii="Book Antiqua" w:hAnsi="Book Antiqua" w:cs="Calibri"/>
                <w:b/>
                <w:sz w:val="24"/>
                <w:szCs w:val="24"/>
              </w:rPr>
            </w:pPr>
            <w:r>
              <w:rPr>
                <w:rFonts w:ascii="Book Antiqua" w:hAnsi="Book Antiqua" w:cs="Calibri"/>
                <w:b/>
                <w:sz w:val="24"/>
                <w:szCs w:val="24"/>
              </w:rPr>
              <w:t xml:space="preserve"> </w:t>
            </w:r>
          </w:p>
          <w:p w:rsidR="00A81C25" w:rsidRDefault="00A81C25" w:rsidP="00C44144">
            <w:pPr>
              <w:rPr>
                <w:rFonts w:ascii="Times New Roman" w:hAnsi="Times New Roman" w:cs="Times New Roman"/>
                <w:sz w:val="20"/>
                <w:szCs w:val="20"/>
                <w:lang w:val="sq-AL"/>
              </w:rPr>
            </w:pPr>
          </w:p>
          <w:p w:rsidR="00A81C25" w:rsidRDefault="00A81C25" w:rsidP="00C44144">
            <w:pPr>
              <w:rPr>
                <w:rFonts w:ascii="Times New Roman" w:hAnsi="Times New Roman" w:cs="Times New Roman"/>
                <w:sz w:val="20"/>
                <w:szCs w:val="20"/>
                <w:lang w:val="sq-AL"/>
              </w:rPr>
            </w:pPr>
          </w:p>
          <w:p w:rsidR="00A81C25" w:rsidRDefault="00A81C25" w:rsidP="00C44144">
            <w:pPr>
              <w:rPr>
                <w:rFonts w:ascii="Times New Roman" w:hAnsi="Times New Roman" w:cs="Times New Roman"/>
                <w:sz w:val="20"/>
                <w:szCs w:val="20"/>
                <w:lang w:val="sq-AL"/>
              </w:rPr>
            </w:pPr>
          </w:p>
          <w:p w:rsidR="00A81C25" w:rsidRPr="001946C7" w:rsidRDefault="00A81C25" w:rsidP="00C44144">
            <w:pPr>
              <w:rPr>
                <w:rFonts w:ascii="Times New Roman" w:hAnsi="Times New Roman" w:cs="Times New Roman"/>
                <w:sz w:val="20"/>
                <w:szCs w:val="20"/>
                <w:lang w:val="sq-AL"/>
              </w:rPr>
            </w:pPr>
          </w:p>
        </w:tc>
        <w:tc>
          <w:tcPr>
            <w:tcW w:w="3937" w:type="dxa"/>
            <w:shd w:val="clear" w:color="auto" w:fill="DEEAF6" w:themeFill="accent1" w:themeFillTint="33"/>
          </w:tcPr>
          <w:p w:rsidR="00A81C25" w:rsidRPr="00CE43BD"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Heqja e numrit të përcaktuar të gjyqtarëve (20) në </w:t>
            </w:r>
            <w:proofErr w:type="spellStart"/>
            <w:r>
              <w:rPr>
                <w:rFonts w:ascii="Times New Roman" w:hAnsi="Times New Roman" w:cs="Times New Roman"/>
                <w:bCs/>
                <w:sz w:val="20"/>
                <w:szCs w:val="20"/>
                <w:lang w:val="sq-AL"/>
              </w:rPr>
              <w:t>DhPGjS</w:t>
            </w:r>
            <w:proofErr w:type="spellEnd"/>
            <w:r>
              <w:rPr>
                <w:rFonts w:ascii="Times New Roman" w:hAnsi="Times New Roman" w:cs="Times New Roman"/>
                <w:bCs/>
                <w:sz w:val="20"/>
                <w:szCs w:val="20"/>
                <w:lang w:val="sq-AL"/>
              </w:rPr>
              <w:t xml:space="preserve"> si dhe largimi i prezencës së gjyqtarëve ndërkombëtarë</w:t>
            </w:r>
            <w:r w:rsidR="002706D0">
              <w:rPr>
                <w:rFonts w:ascii="Times New Roman" w:hAnsi="Times New Roman" w:cs="Times New Roman"/>
                <w:bCs/>
                <w:sz w:val="20"/>
                <w:szCs w:val="20"/>
                <w:lang w:val="en-US"/>
              </w:rPr>
              <w:t xml:space="preserve">/EULEX </w:t>
            </w:r>
            <w:r w:rsidR="002706D0" w:rsidRPr="002706D0">
              <w:rPr>
                <w:rFonts w:ascii="Times New Roman" w:hAnsi="Times New Roman" w:cs="Times New Roman"/>
                <w:bCs/>
                <w:sz w:val="20"/>
                <w:szCs w:val="20"/>
                <w:lang w:val="sq-AL"/>
              </w:rPr>
              <w:t xml:space="preserve">nga </w:t>
            </w:r>
            <w:r w:rsidR="00DA09D2">
              <w:rPr>
                <w:rFonts w:ascii="Times New Roman" w:hAnsi="Times New Roman" w:cs="Times New Roman"/>
                <w:bCs/>
                <w:sz w:val="20"/>
                <w:szCs w:val="20"/>
                <w:lang w:val="sq-AL"/>
              </w:rPr>
              <w:t>përbërja</w:t>
            </w:r>
            <w:r>
              <w:rPr>
                <w:rFonts w:ascii="Times New Roman" w:hAnsi="Times New Roman" w:cs="Times New Roman"/>
                <w:bCs/>
                <w:sz w:val="20"/>
                <w:szCs w:val="20"/>
                <w:lang w:val="sq-AL"/>
              </w:rPr>
              <w:t xml:space="preserve"> e gjykatës. </w:t>
            </w:r>
            <w:r w:rsidRPr="00CE43BD">
              <w:rPr>
                <w:rFonts w:ascii="Times New Roman" w:hAnsi="Times New Roman" w:cs="Times New Roman"/>
                <w:bCs/>
                <w:sz w:val="20"/>
                <w:szCs w:val="20"/>
                <w:lang w:val="sq-AL"/>
              </w:rPr>
              <w:t xml:space="preserve"> </w:t>
            </w:r>
          </w:p>
        </w:tc>
        <w:tc>
          <w:tcPr>
            <w:tcW w:w="1463" w:type="dxa"/>
            <w:shd w:val="clear" w:color="auto" w:fill="DEEAF6" w:themeFill="accent1" w:themeFillTint="33"/>
          </w:tcPr>
          <w:p w:rsidR="00A81C25" w:rsidRPr="001946C7"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KGJK; EULEX; AKP; DHPGJS; </w:t>
            </w:r>
          </w:p>
        </w:tc>
        <w:tc>
          <w:tcPr>
            <w:tcW w:w="1350" w:type="dxa"/>
            <w:shd w:val="clear" w:color="auto" w:fill="DEEAF6" w:themeFill="accent1" w:themeFillTint="33"/>
          </w:tcPr>
          <w:p w:rsidR="00A81C25" w:rsidRPr="001946C7"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Pranuar</w:t>
            </w:r>
          </w:p>
        </w:tc>
        <w:tc>
          <w:tcPr>
            <w:tcW w:w="6670"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Eliminimi i numrit të përcaktuar të gjyqtarëve në ligjin e dhomës është një ndër hapat e parë të pranuar që ndikojnë drejtpërdrejtë në lehtësimin e funksionimit të përditshëm të gjykatës. Njëkohësisht krijon mundësinë për emërimin e një numri më të madh të gjyqtarëve  nëse paraqitet nevoja (apo e kundërta), si dhe është në përputhje me legjislacionin tjetër në fuqi, më konkretisht Ligji për Gjykatat dhe KGJK si dhe aktet e tyre nën-ligjore, të cilat asnjëherë nuk përcaktojnë numrin e gjyqtarëve që punojnë në një gjykatë. Ky numër </w:t>
            </w:r>
            <w:proofErr w:type="spellStart"/>
            <w:r>
              <w:rPr>
                <w:rFonts w:ascii="Times New Roman" w:hAnsi="Times New Roman" w:cs="Times New Roman"/>
                <w:bCs/>
                <w:sz w:val="20"/>
                <w:szCs w:val="20"/>
                <w:lang w:val="sq-AL"/>
              </w:rPr>
              <w:t>varion</w:t>
            </w:r>
            <w:proofErr w:type="spellEnd"/>
            <w:r>
              <w:rPr>
                <w:rFonts w:ascii="Times New Roman" w:hAnsi="Times New Roman" w:cs="Times New Roman"/>
                <w:bCs/>
                <w:sz w:val="20"/>
                <w:szCs w:val="20"/>
                <w:lang w:val="sq-AL"/>
              </w:rPr>
              <w:t xml:space="preserve"> sipas nevojave të gjyqësorit dhe nevojave të gjykatës në fjalë sipas planeve afat-mesme dhe ky vendim i përket KGJK-së, i cili duhet të ketë mundësinë të vendos vetë për këtë çështje pa u ndikuar nga një numër i përcaktuar me një dispozitë në legjislacion. Më tej, largimi i prezencës ndërkombëtare/EULEX nga përbërja e gjykatës është </w:t>
            </w:r>
            <w:proofErr w:type="spellStart"/>
            <w:r>
              <w:rPr>
                <w:rFonts w:ascii="Times New Roman" w:hAnsi="Times New Roman" w:cs="Times New Roman"/>
                <w:bCs/>
                <w:sz w:val="20"/>
                <w:szCs w:val="20"/>
                <w:lang w:val="sq-AL"/>
              </w:rPr>
              <w:t>obligative</w:t>
            </w:r>
            <w:proofErr w:type="spellEnd"/>
            <w:r>
              <w:rPr>
                <w:rFonts w:ascii="Times New Roman" w:hAnsi="Times New Roman" w:cs="Times New Roman"/>
                <w:bCs/>
                <w:sz w:val="20"/>
                <w:szCs w:val="20"/>
                <w:lang w:val="sq-AL"/>
              </w:rPr>
              <w:t xml:space="preserve"> si pasojë e ndryshimeve që pritet të ndodhin në mandatin e EULEX-it në Kosovë pas 14 qershor 2018.  </w:t>
            </w:r>
          </w:p>
        </w:tc>
      </w:tr>
      <w:tr w:rsidR="00A81C25" w:rsidRPr="000149C9" w:rsidTr="00C44144">
        <w:trPr>
          <w:trHeight w:val="1062"/>
        </w:trPr>
        <w:tc>
          <w:tcPr>
            <w:tcW w:w="1576" w:type="dxa"/>
            <w:tcBorders>
              <w:top w:val="single" w:sz="4" w:space="0" w:color="auto"/>
            </w:tcBorders>
            <w:shd w:val="clear" w:color="auto" w:fill="DEEAF6" w:themeFill="accent1" w:themeFillTint="33"/>
          </w:tcPr>
          <w:p w:rsidR="00A81C25" w:rsidRPr="00CE0E58" w:rsidRDefault="00A81C25" w:rsidP="00C44144">
            <w:pPr>
              <w:rPr>
                <w:rFonts w:ascii="Times New Roman" w:hAnsi="Times New Roman" w:cs="Times New Roman"/>
                <w:b/>
                <w:sz w:val="20"/>
                <w:szCs w:val="20"/>
                <w:lang w:val="sq-AL"/>
              </w:rPr>
            </w:pPr>
            <w:r>
              <w:rPr>
                <w:rFonts w:ascii="Times New Roman" w:hAnsi="Times New Roman" w:cs="Times New Roman"/>
                <w:b/>
                <w:sz w:val="20"/>
                <w:szCs w:val="20"/>
                <w:lang w:val="sq-AL"/>
              </w:rPr>
              <w:t>TEMA 2</w:t>
            </w:r>
            <w:r w:rsidRPr="00CE0E58">
              <w:rPr>
                <w:rFonts w:ascii="Times New Roman" w:hAnsi="Times New Roman" w:cs="Times New Roman"/>
                <w:b/>
                <w:sz w:val="20"/>
                <w:szCs w:val="20"/>
                <w:lang w:val="sq-AL"/>
              </w:rPr>
              <w:t>:</w:t>
            </w:r>
            <w:r>
              <w:rPr>
                <w:rFonts w:ascii="Times New Roman" w:hAnsi="Times New Roman" w:cs="Times New Roman"/>
                <w:b/>
                <w:sz w:val="20"/>
                <w:szCs w:val="20"/>
                <w:lang w:val="sq-AL"/>
              </w:rPr>
              <w:t xml:space="preserve"> Funksionimi i gjykatës në kolegje</w:t>
            </w:r>
          </w:p>
          <w:p w:rsidR="00A81C25" w:rsidRPr="001946C7" w:rsidRDefault="00A81C25" w:rsidP="00C44144">
            <w:pPr>
              <w:rPr>
                <w:rFonts w:ascii="Times New Roman" w:hAnsi="Times New Roman" w:cs="Times New Roman"/>
                <w:b/>
                <w:bCs/>
                <w:sz w:val="20"/>
                <w:szCs w:val="20"/>
                <w:lang w:val="sq-AL"/>
              </w:rPr>
            </w:pPr>
          </w:p>
        </w:tc>
        <w:tc>
          <w:tcPr>
            <w:tcW w:w="3937"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Shuarja e kolegjeve të specializuara në shkallë të parë dhe mundësia për një numër të pacaktuar të kolegjeve në apel.</w:t>
            </w:r>
          </w:p>
        </w:tc>
        <w:tc>
          <w:tcPr>
            <w:tcW w:w="1463" w:type="dxa"/>
            <w:shd w:val="clear" w:color="auto" w:fill="DEEAF6" w:themeFill="accent1" w:themeFillTint="33"/>
          </w:tcPr>
          <w:p w:rsidR="00A81C25" w:rsidRPr="003B2EF8" w:rsidRDefault="00A81C25" w:rsidP="00C44144">
            <w:pPr>
              <w:rPr>
                <w:rFonts w:ascii="Times New Roman" w:hAnsi="Times New Roman" w:cs="Times New Roman"/>
                <w:bCs/>
                <w:sz w:val="20"/>
                <w:szCs w:val="20"/>
                <w:lang w:val="en-US"/>
              </w:rPr>
            </w:pPr>
            <w:r>
              <w:rPr>
                <w:rFonts w:ascii="Times New Roman" w:hAnsi="Times New Roman" w:cs="Times New Roman"/>
                <w:bCs/>
                <w:sz w:val="20"/>
                <w:szCs w:val="20"/>
                <w:lang w:val="sq-AL"/>
              </w:rPr>
              <w:t>EULEX</w:t>
            </w:r>
            <w:r>
              <w:rPr>
                <w:rFonts w:ascii="Times New Roman" w:hAnsi="Times New Roman" w:cs="Times New Roman"/>
                <w:bCs/>
                <w:sz w:val="20"/>
                <w:szCs w:val="20"/>
                <w:lang w:val="en-US"/>
              </w:rPr>
              <w:t>; KGJK; AKP; DHPGJS</w:t>
            </w:r>
          </w:p>
        </w:tc>
        <w:tc>
          <w:tcPr>
            <w:tcW w:w="1350" w:type="dxa"/>
            <w:shd w:val="clear" w:color="auto" w:fill="DEEAF6" w:themeFill="accent1" w:themeFillTint="33"/>
          </w:tcPr>
          <w:p w:rsidR="00A81C25" w:rsidRPr="001946C7"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Pranuar pjesërisht</w:t>
            </w:r>
          </w:p>
        </w:tc>
        <w:tc>
          <w:tcPr>
            <w:tcW w:w="6670"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Ndonëse shuarja e kolegjeve është një ndër ndryshimet bazë që pritet të ndodhë me strukturën aktuale të kësaj gjykate, megjithatë paraqitet nevoja për të paraparë mundësinë e lejimit të funksionimit me kolegje në shkallë të parë në raste specifike, kur gjyqtari i vetëm e vlerëson si të nevojshme (në raste të komplikuara). Për më tepër, kolegji i apelit parashihet të funksionojë me dy kolegje, në vend se të mos përcaktohet sa kolegje, në mënyrë që të ofrohet një strukturë dhe hierarki e qartë e brendshme e gjykatës për të </w:t>
            </w:r>
            <w:proofErr w:type="spellStart"/>
            <w:r>
              <w:rPr>
                <w:rFonts w:ascii="Times New Roman" w:hAnsi="Times New Roman" w:cs="Times New Roman"/>
                <w:bCs/>
                <w:sz w:val="20"/>
                <w:szCs w:val="20"/>
                <w:lang w:val="sq-AL"/>
              </w:rPr>
              <w:t>alokuar</w:t>
            </w:r>
            <w:proofErr w:type="spellEnd"/>
            <w:r>
              <w:rPr>
                <w:rFonts w:ascii="Times New Roman" w:hAnsi="Times New Roman" w:cs="Times New Roman"/>
                <w:bCs/>
                <w:sz w:val="20"/>
                <w:szCs w:val="20"/>
                <w:lang w:val="sq-AL"/>
              </w:rPr>
              <w:t xml:space="preserve"> sa më mirë resurset humane në gjykatë.</w:t>
            </w:r>
          </w:p>
        </w:tc>
      </w:tr>
      <w:tr w:rsidR="00A81C25" w:rsidRPr="000149C9" w:rsidTr="00C44144">
        <w:trPr>
          <w:trHeight w:val="2070"/>
        </w:trPr>
        <w:tc>
          <w:tcPr>
            <w:tcW w:w="1576" w:type="dxa"/>
            <w:tcBorders>
              <w:top w:val="single" w:sz="4" w:space="0" w:color="auto"/>
              <w:bottom w:val="single" w:sz="4" w:space="0" w:color="auto"/>
            </w:tcBorders>
            <w:shd w:val="clear" w:color="auto" w:fill="DEEAF6" w:themeFill="accent1" w:themeFillTint="33"/>
          </w:tcPr>
          <w:p w:rsidR="00A81C25" w:rsidRDefault="00A81C25" w:rsidP="00C44144">
            <w:pPr>
              <w:rPr>
                <w:rFonts w:ascii="Times New Roman" w:hAnsi="Times New Roman" w:cs="Times New Roman"/>
                <w:b/>
                <w:bCs/>
                <w:sz w:val="20"/>
                <w:szCs w:val="20"/>
                <w:lang w:val="sq-AL"/>
              </w:rPr>
            </w:pPr>
            <w:r>
              <w:rPr>
                <w:rFonts w:ascii="Times New Roman" w:hAnsi="Times New Roman" w:cs="Times New Roman"/>
                <w:b/>
                <w:bCs/>
                <w:sz w:val="20"/>
                <w:szCs w:val="20"/>
                <w:lang w:val="sq-AL"/>
              </w:rPr>
              <w:lastRenderedPageBreak/>
              <w:t>TEMA 3</w:t>
            </w:r>
            <w:r w:rsidRPr="001946C7">
              <w:rPr>
                <w:rFonts w:ascii="Times New Roman" w:hAnsi="Times New Roman" w:cs="Times New Roman"/>
                <w:b/>
                <w:bCs/>
                <w:sz w:val="20"/>
                <w:szCs w:val="20"/>
                <w:lang w:val="sq-AL"/>
              </w:rPr>
              <w:t xml:space="preserve">: </w:t>
            </w:r>
            <w:r>
              <w:rPr>
                <w:rFonts w:ascii="Times New Roman" w:hAnsi="Times New Roman" w:cs="Times New Roman"/>
                <w:b/>
                <w:bCs/>
                <w:sz w:val="20"/>
                <w:szCs w:val="20"/>
                <w:lang w:val="sq-AL"/>
              </w:rPr>
              <w:t xml:space="preserve">Presidiumi i DHPGJS </w:t>
            </w:r>
          </w:p>
          <w:p w:rsidR="00A81C25" w:rsidRPr="001946C7" w:rsidRDefault="00A81C25" w:rsidP="00C44144">
            <w:pPr>
              <w:rPr>
                <w:rFonts w:ascii="Times New Roman" w:hAnsi="Times New Roman" w:cs="Times New Roman"/>
                <w:b/>
                <w:bCs/>
                <w:sz w:val="20"/>
                <w:szCs w:val="20"/>
                <w:lang w:val="sq-AL"/>
              </w:rPr>
            </w:pPr>
          </w:p>
          <w:p w:rsidR="00A81C25" w:rsidRDefault="00A81C25" w:rsidP="00C44144">
            <w:pPr>
              <w:rPr>
                <w:rFonts w:ascii="Times New Roman" w:hAnsi="Times New Roman" w:cs="Times New Roman"/>
                <w:b/>
                <w:bCs/>
                <w:sz w:val="20"/>
                <w:szCs w:val="20"/>
                <w:lang w:val="sq-AL"/>
              </w:rPr>
            </w:pPr>
          </w:p>
          <w:p w:rsidR="00A81C25" w:rsidRDefault="00A81C25" w:rsidP="00C44144">
            <w:pPr>
              <w:rPr>
                <w:rFonts w:ascii="Times New Roman" w:hAnsi="Times New Roman" w:cs="Times New Roman"/>
                <w:b/>
                <w:bCs/>
                <w:sz w:val="20"/>
                <w:szCs w:val="20"/>
                <w:lang w:val="sq-AL"/>
              </w:rPr>
            </w:pPr>
          </w:p>
          <w:p w:rsidR="00A81C25" w:rsidRDefault="00A81C25" w:rsidP="00C44144">
            <w:pPr>
              <w:rPr>
                <w:rFonts w:ascii="Times New Roman" w:hAnsi="Times New Roman" w:cs="Times New Roman"/>
                <w:b/>
                <w:bCs/>
                <w:sz w:val="20"/>
                <w:szCs w:val="20"/>
                <w:lang w:val="sq-AL"/>
              </w:rPr>
            </w:pPr>
          </w:p>
          <w:p w:rsidR="00A81C25" w:rsidRPr="001946C7" w:rsidRDefault="00A81C25" w:rsidP="00C44144">
            <w:pPr>
              <w:rPr>
                <w:rFonts w:ascii="Times New Roman" w:hAnsi="Times New Roman" w:cs="Times New Roman"/>
                <w:b/>
                <w:bCs/>
                <w:sz w:val="20"/>
                <w:szCs w:val="20"/>
                <w:lang w:val="sq-AL"/>
              </w:rPr>
            </w:pPr>
          </w:p>
        </w:tc>
        <w:tc>
          <w:tcPr>
            <w:tcW w:w="3937" w:type="dxa"/>
            <w:shd w:val="clear" w:color="auto" w:fill="DEEAF6" w:themeFill="accent1" w:themeFillTint="33"/>
          </w:tcPr>
          <w:p w:rsidR="00A81C25" w:rsidRPr="00DA09D2" w:rsidRDefault="00A81C25" w:rsidP="00DA09D2">
            <w:pPr>
              <w:jc w:val="both"/>
              <w:rPr>
                <w:rFonts w:ascii="Times New Roman" w:hAnsi="Times New Roman" w:cs="Times New Roman"/>
                <w:bCs/>
                <w:sz w:val="20"/>
                <w:szCs w:val="20"/>
                <w:lang w:val="sq-AL"/>
              </w:rPr>
            </w:pPr>
            <w:r w:rsidRPr="00DA09D2">
              <w:rPr>
                <w:rFonts w:ascii="Times New Roman" w:hAnsi="Times New Roman" w:cs="Times New Roman"/>
                <w:bCs/>
                <w:sz w:val="20"/>
                <w:szCs w:val="20"/>
                <w:lang w:val="sq-AL"/>
              </w:rPr>
              <w:t xml:space="preserve">Shuarja e Presidiumit dhe transferimi i atyre kompetencave tek një panel prej 3 </w:t>
            </w:r>
            <w:r w:rsidR="00DA09D2" w:rsidRPr="00DA09D2">
              <w:rPr>
                <w:rFonts w:ascii="Times New Roman" w:hAnsi="Times New Roman" w:cs="Times New Roman"/>
                <w:bCs/>
                <w:sz w:val="20"/>
                <w:szCs w:val="20"/>
                <w:lang w:val="sq-AL"/>
              </w:rPr>
              <w:t>gjyqtares</w:t>
            </w:r>
            <w:r w:rsidRPr="00DA09D2">
              <w:rPr>
                <w:rFonts w:ascii="Times New Roman" w:hAnsi="Times New Roman" w:cs="Times New Roman"/>
                <w:bCs/>
                <w:sz w:val="20"/>
                <w:szCs w:val="20"/>
                <w:lang w:val="sq-AL"/>
              </w:rPr>
              <w:t xml:space="preserve"> apo Kryetari i Gjykatës Supreme </w:t>
            </w:r>
          </w:p>
        </w:tc>
        <w:tc>
          <w:tcPr>
            <w:tcW w:w="1463" w:type="dxa"/>
            <w:shd w:val="clear" w:color="auto" w:fill="DEEAF6" w:themeFill="accent1" w:themeFillTint="33"/>
          </w:tcPr>
          <w:p w:rsidR="00A81C25" w:rsidRPr="00DA09D2" w:rsidRDefault="00A81C25" w:rsidP="00C44144">
            <w:pPr>
              <w:rPr>
                <w:rFonts w:ascii="Times New Roman" w:hAnsi="Times New Roman" w:cs="Times New Roman"/>
                <w:bCs/>
                <w:sz w:val="20"/>
                <w:szCs w:val="20"/>
                <w:lang w:val="sq-AL"/>
              </w:rPr>
            </w:pPr>
            <w:r w:rsidRPr="00DA09D2">
              <w:rPr>
                <w:rFonts w:ascii="Times New Roman" w:hAnsi="Times New Roman" w:cs="Times New Roman"/>
                <w:bCs/>
                <w:sz w:val="20"/>
                <w:szCs w:val="20"/>
                <w:lang w:val="sq-AL"/>
              </w:rPr>
              <w:t>Gjyqtarët e EULEX; DHPGJS; Avokat nga konsultime publike</w:t>
            </w:r>
          </w:p>
        </w:tc>
        <w:tc>
          <w:tcPr>
            <w:tcW w:w="1350" w:type="dxa"/>
            <w:shd w:val="clear" w:color="auto" w:fill="DEEAF6" w:themeFill="accent1" w:themeFillTint="33"/>
          </w:tcPr>
          <w:p w:rsidR="00A81C25" w:rsidRPr="00CF05EF"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Pranuar pjesërisht</w:t>
            </w:r>
          </w:p>
        </w:tc>
        <w:tc>
          <w:tcPr>
            <w:tcW w:w="6670" w:type="dxa"/>
            <w:shd w:val="clear" w:color="auto" w:fill="DEEAF6" w:themeFill="accent1" w:themeFillTint="33"/>
          </w:tcPr>
          <w:p w:rsidR="00A81C25" w:rsidRPr="00CF05EF"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Presidiumi i DHPGJS është i ngarkuar me kompetenca të cilat sipas Ligjit për Gjykatat i takojnë në fakt Kryetarëve të gjykatave apo administratorëve. Rrjedhimisht, shuarja e këtij organi sidomos duke u bazuar edhe nga praktika e punës së Presidiumit është një hap që duhet ndërmarrë. Megjithatë, transferimi i këtyre kompetencave tek një kolegj prej 3 gjyqtarësh nuk përputhet me qëllimet për ndryshime të strukturës aktuale, pra shkrirjes së kolegjeve në shkallë të parë apo edhe me kompetencat e parashikuara për kryetarët sipas ligjit për gjykatat dhe KGJK-në. Pjesë e këtyre kompetencave, më </w:t>
            </w:r>
            <w:proofErr w:type="spellStart"/>
            <w:r>
              <w:rPr>
                <w:rFonts w:ascii="Times New Roman" w:hAnsi="Times New Roman" w:cs="Times New Roman"/>
                <w:bCs/>
                <w:sz w:val="20"/>
                <w:szCs w:val="20"/>
                <w:lang w:val="sq-AL"/>
              </w:rPr>
              <w:t>specifikisht</w:t>
            </w:r>
            <w:proofErr w:type="spellEnd"/>
            <w:r>
              <w:rPr>
                <w:rFonts w:ascii="Times New Roman" w:hAnsi="Times New Roman" w:cs="Times New Roman"/>
                <w:bCs/>
                <w:sz w:val="20"/>
                <w:szCs w:val="20"/>
                <w:lang w:val="sq-AL"/>
              </w:rPr>
              <w:t xml:space="preserve"> udhëzimet e përgjithshme dhe rregullat procedurale të cilat nuk janë të rregulluara me ligj apo rregullore të KGJK-së, mund të përcak</w:t>
            </w:r>
            <w:r w:rsidR="00E2188D">
              <w:rPr>
                <w:rFonts w:ascii="Times New Roman" w:hAnsi="Times New Roman" w:cs="Times New Roman"/>
                <w:bCs/>
                <w:sz w:val="20"/>
                <w:szCs w:val="20"/>
                <w:lang w:val="sq-AL"/>
              </w:rPr>
              <w:t>t</w:t>
            </w:r>
            <w:r>
              <w:rPr>
                <w:rFonts w:ascii="Times New Roman" w:hAnsi="Times New Roman" w:cs="Times New Roman"/>
                <w:bCs/>
                <w:sz w:val="20"/>
                <w:szCs w:val="20"/>
                <w:lang w:val="sq-AL"/>
              </w:rPr>
              <w:t xml:space="preserve">ohen përmes Kolegjiumit të gjyqtarëve të Gjykatës Supreme, siç parashihet në ligjin për gjykatat dhe rregulloren e </w:t>
            </w:r>
            <w:proofErr w:type="spellStart"/>
            <w:r>
              <w:rPr>
                <w:rFonts w:ascii="Times New Roman" w:hAnsi="Times New Roman" w:cs="Times New Roman"/>
                <w:bCs/>
                <w:sz w:val="20"/>
                <w:szCs w:val="20"/>
                <w:lang w:val="sq-AL"/>
              </w:rPr>
              <w:t>KGjK</w:t>
            </w:r>
            <w:proofErr w:type="spellEnd"/>
            <w:r>
              <w:rPr>
                <w:rFonts w:ascii="Times New Roman" w:hAnsi="Times New Roman" w:cs="Times New Roman"/>
                <w:bCs/>
                <w:sz w:val="20"/>
                <w:szCs w:val="20"/>
                <w:lang w:val="sq-AL"/>
              </w:rPr>
              <w:t>-së për organizimin e brendshëm të gjykatave.</w:t>
            </w:r>
          </w:p>
        </w:tc>
      </w:tr>
      <w:tr w:rsidR="00A81C25" w:rsidRPr="000149C9" w:rsidTr="00C44144">
        <w:trPr>
          <w:trHeight w:val="914"/>
        </w:trPr>
        <w:tc>
          <w:tcPr>
            <w:tcW w:w="1576" w:type="dxa"/>
            <w:tcBorders>
              <w:top w:val="single" w:sz="4" w:space="0" w:color="auto"/>
            </w:tcBorders>
            <w:shd w:val="clear" w:color="auto" w:fill="DEEAF6" w:themeFill="accent1" w:themeFillTint="33"/>
          </w:tcPr>
          <w:p w:rsidR="00A81C25" w:rsidRPr="00C7535F" w:rsidRDefault="00A81C25" w:rsidP="00C44144">
            <w:pPr>
              <w:rPr>
                <w:rFonts w:ascii="Times New Roman" w:hAnsi="Times New Roman" w:cs="Times New Roman"/>
                <w:b/>
                <w:bCs/>
                <w:sz w:val="20"/>
                <w:szCs w:val="20"/>
                <w:lang w:val="sq-AL"/>
              </w:rPr>
            </w:pPr>
            <w:r>
              <w:rPr>
                <w:rFonts w:ascii="Times New Roman" w:hAnsi="Times New Roman" w:cs="Times New Roman"/>
                <w:b/>
                <w:bCs/>
                <w:sz w:val="20"/>
                <w:szCs w:val="20"/>
                <w:lang w:val="sq-AL"/>
              </w:rPr>
              <w:t>TEMA</w:t>
            </w:r>
            <w:r w:rsidRPr="00C7535F">
              <w:rPr>
                <w:rFonts w:ascii="Times New Roman" w:hAnsi="Times New Roman" w:cs="Times New Roman"/>
                <w:b/>
                <w:bCs/>
                <w:sz w:val="20"/>
                <w:szCs w:val="20"/>
                <w:lang w:val="sq-AL"/>
              </w:rPr>
              <w:t xml:space="preserve"> 4:</w:t>
            </w:r>
          </w:p>
          <w:p w:rsidR="00A81C25" w:rsidRPr="001946C7" w:rsidRDefault="00A81C25" w:rsidP="00C44144">
            <w:pPr>
              <w:rPr>
                <w:rFonts w:ascii="Times New Roman" w:hAnsi="Times New Roman" w:cs="Times New Roman"/>
                <w:b/>
                <w:bCs/>
                <w:sz w:val="20"/>
                <w:szCs w:val="20"/>
                <w:lang w:val="sq-AL"/>
              </w:rPr>
            </w:pPr>
            <w:r>
              <w:rPr>
                <w:rFonts w:ascii="Times New Roman" w:hAnsi="Times New Roman" w:cs="Times New Roman"/>
                <w:b/>
                <w:bCs/>
                <w:sz w:val="20"/>
                <w:szCs w:val="20"/>
                <w:lang w:val="sq-AL"/>
              </w:rPr>
              <w:t xml:space="preserve">Harmonizimi i afateve dhe terminologjisë me LPK </w:t>
            </w:r>
          </w:p>
        </w:tc>
        <w:tc>
          <w:tcPr>
            <w:tcW w:w="3937"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Rregullat procedurale të përcaktuara në Shtojcës e Ligjit, siç janë afatet për </w:t>
            </w:r>
            <w:r w:rsidR="00DA09D2">
              <w:rPr>
                <w:rFonts w:ascii="Times New Roman" w:hAnsi="Times New Roman" w:cs="Times New Roman"/>
                <w:bCs/>
                <w:sz w:val="20"/>
                <w:szCs w:val="20"/>
                <w:lang w:val="sq-AL"/>
              </w:rPr>
              <w:t>dorëzimin</w:t>
            </w:r>
            <w:r>
              <w:rPr>
                <w:rFonts w:ascii="Times New Roman" w:hAnsi="Times New Roman" w:cs="Times New Roman"/>
                <w:bCs/>
                <w:sz w:val="20"/>
                <w:szCs w:val="20"/>
                <w:lang w:val="sq-AL"/>
              </w:rPr>
              <w:t xml:space="preserve"> një kërkese në gjykatë dhe përgjigjen si dhe termet e përcaktuara tek përkufizimet duhet të harmonizohen me ato që parashihen në Ligjin për Procedurën </w:t>
            </w:r>
            <w:proofErr w:type="spellStart"/>
            <w:r>
              <w:rPr>
                <w:rFonts w:ascii="Times New Roman" w:hAnsi="Times New Roman" w:cs="Times New Roman"/>
                <w:bCs/>
                <w:sz w:val="20"/>
                <w:szCs w:val="20"/>
                <w:lang w:val="sq-AL"/>
              </w:rPr>
              <w:t>Kontestimore</w:t>
            </w:r>
            <w:proofErr w:type="spellEnd"/>
            <w:r>
              <w:rPr>
                <w:rFonts w:ascii="Times New Roman" w:hAnsi="Times New Roman" w:cs="Times New Roman"/>
                <w:bCs/>
                <w:sz w:val="20"/>
                <w:szCs w:val="20"/>
                <w:lang w:val="sq-AL"/>
              </w:rPr>
              <w:t>.</w:t>
            </w:r>
          </w:p>
        </w:tc>
        <w:tc>
          <w:tcPr>
            <w:tcW w:w="1463" w:type="dxa"/>
            <w:shd w:val="clear" w:color="auto" w:fill="DEEAF6" w:themeFill="accent1" w:themeFillTint="33"/>
          </w:tcPr>
          <w:p w:rsidR="00A81C25" w:rsidRPr="00DA09D2" w:rsidRDefault="00A81C25" w:rsidP="00C44144">
            <w:pPr>
              <w:rPr>
                <w:rFonts w:ascii="Times New Roman" w:hAnsi="Times New Roman" w:cs="Times New Roman"/>
                <w:bCs/>
                <w:sz w:val="20"/>
                <w:szCs w:val="20"/>
                <w:lang w:val="sq-AL"/>
              </w:rPr>
            </w:pPr>
            <w:r w:rsidRPr="00DA09D2">
              <w:rPr>
                <w:rFonts w:ascii="Times New Roman" w:hAnsi="Times New Roman" w:cs="Times New Roman"/>
                <w:bCs/>
                <w:sz w:val="20"/>
                <w:szCs w:val="20"/>
                <w:lang w:val="sq-AL"/>
              </w:rPr>
              <w:t>DHPGJS; AKP; Avokat nga konsultime publike;</w:t>
            </w:r>
          </w:p>
        </w:tc>
        <w:tc>
          <w:tcPr>
            <w:tcW w:w="1350" w:type="dxa"/>
            <w:shd w:val="clear" w:color="auto" w:fill="DEEAF6" w:themeFill="accent1" w:themeFillTint="33"/>
          </w:tcPr>
          <w:p w:rsidR="00A81C25" w:rsidRPr="00CF05EF"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Pranuar </w:t>
            </w:r>
          </w:p>
        </w:tc>
        <w:tc>
          <w:tcPr>
            <w:tcW w:w="6670" w:type="dxa"/>
            <w:shd w:val="clear" w:color="auto" w:fill="DEEAF6" w:themeFill="accent1" w:themeFillTint="33"/>
          </w:tcPr>
          <w:p w:rsidR="00A81C25" w:rsidRPr="00CF05EF"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Afatet kohore në shkallë të parë si dhe terminologjia (kur është e aplikueshme) duhet të harmonizohen me ato të parapara në Ligjin për Procedurën </w:t>
            </w:r>
            <w:proofErr w:type="spellStart"/>
            <w:r>
              <w:rPr>
                <w:rFonts w:ascii="Times New Roman" w:hAnsi="Times New Roman" w:cs="Times New Roman"/>
                <w:bCs/>
                <w:sz w:val="20"/>
                <w:szCs w:val="20"/>
                <w:lang w:val="sq-AL"/>
              </w:rPr>
              <w:t>Kontestimore</w:t>
            </w:r>
            <w:proofErr w:type="spellEnd"/>
            <w:r>
              <w:rPr>
                <w:rFonts w:ascii="Times New Roman" w:hAnsi="Times New Roman" w:cs="Times New Roman"/>
                <w:bCs/>
                <w:sz w:val="20"/>
                <w:szCs w:val="20"/>
                <w:lang w:val="sq-AL"/>
              </w:rPr>
              <w:t xml:space="preserve">. </w:t>
            </w:r>
          </w:p>
        </w:tc>
      </w:tr>
      <w:tr w:rsidR="00A81C25" w:rsidRPr="000149C9" w:rsidTr="00C44144">
        <w:trPr>
          <w:trHeight w:val="789"/>
        </w:trPr>
        <w:tc>
          <w:tcPr>
            <w:tcW w:w="1576" w:type="dxa"/>
            <w:shd w:val="clear" w:color="auto" w:fill="DEEAF6" w:themeFill="accent1" w:themeFillTint="33"/>
          </w:tcPr>
          <w:p w:rsidR="00A81C25" w:rsidRPr="001946C7" w:rsidRDefault="00A81C25" w:rsidP="00C44144">
            <w:pPr>
              <w:rPr>
                <w:rFonts w:ascii="Times New Roman" w:hAnsi="Times New Roman" w:cs="Times New Roman"/>
                <w:b/>
                <w:bCs/>
                <w:sz w:val="20"/>
                <w:szCs w:val="20"/>
                <w:lang w:val="sq-AL"/>
              </w:rPr>
            </w:pPr>
            <w:r>
              <w:rPr>
                <w:rFonts w:ascii="Times New Roman" w:hAnsi="Times New Roman" w:cs="Times New Roman"/>
                <w:b/>
                <w:bCs/>
                <w:sz w:val="20"/>
                <w:szCs w:val="20"/>
                <w:lang w:val="sq-AL"/>
              </w:rPr>
              <w:t>TEMA 5</w:t>
            </w:r>
            <w:r w:rsidRPr="001946C7">
              <w:rPr>
                <w:rFonts w:ascii="Times New Roman" w:hAnsi="Times New Roman" w:cs="Times New Roman"/>
                <w:b/>
                <w:bCs/>
                <w:sz w:val="20"/>
                <w:szCs w:val="20"/>
                <w:lang w:val="sq-AL"/>
              </w:rPr>
              <w:t>:</w:t>
            </w:r>
            <w:r>
              <w:rPr>
                <w:rFonts w:ascii="Times New Roman" w:hAnsi="Times New Roman" w:cs="Times New Roman"/>
                <w:b/>
                <w:bCs/>
                <w:sz w:val="20"/>
                <w:szCs w:val="20"/>
                <w:lang w:val="sq-AL"/>
              </w:rPr>
              <w:t xml:space="preserve"> Largimi i disa formaliteteve gjatë fillimit të procedurave në gjykatë</w:t>
            </w:r>
          </w:p>
        </w:tc>
        <w:tc>
          <w:tcPr>
            <w:tcW w:w="3937"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Heqja e disa kritereve apo kushteve për “</w:t>
            </w:r>
            <w:proofErr w:type="spellStart"/>
            <w:r>
              <w:rPr>
                <w:rFonts w:ascii="Times New Roman" w:hAnsi="Times New Roman" w:cs="Times New Roman"/>
                <w:bCs/>
                <w:sz w:val="20"/>
                <w:szCs w:val="20"/>
                <w:lang w:val="sq-AL"/>
              </w:rPr>
              <w:t>pranueshmërinë</w:t>
            </w:r>
            <w:proofErr w:type="spellEnd"/>
            <w:r>
              <w:rPr>
                <w:rFonts w:ascii="Times New Roman" w:hAnsi="Times New Roman" w:cs="Times New Roman"/>
                <w:bCs/>
                <w:sz w:val="20"/>
                <w:szCs w:val="20"/>
                <w:lang w:val="sq-AL"/>
              </w:rPr>
              <w:t xml:space="preserve">” e një kërkese fillestare pranë </w:t>
            </w:r>
            <w:proofErr w:type="spellStart"/>
            <w:r>
              <w:rPr>
                <w:rFonts w:ascii="Times New Roman" w:hAnsi="Times New Roman" w:cs="Times New Roman"/>
                <w:bCs/>
                <w:sz w:val="20"/>
                <w:szCs w:val="20"/>
                <w:lang w:val="sq-AL"/>
              </w:rPr>
              <w:t>DhPGjS</w:t>
            </w:r>
            <w:proofErr w:type="spellEnd"/>
            <w:r>
              <w:rPr>
                <w:rFonts w:ascii="Times New Roman" w:hAnsi="Times New Roman" w:cs="Times New Roman"/>
                <w:bCs/>
                <w:sz w:val="20"/>
                <w:szCs w:val="20"/>
                <w:lang w:val="sq-AL"/>
              </w:rPr>
              <w:t xml:space="preserve"> (padi) në mënyrë që të rritet fleksibiliteti dhe efikasiteti i procedurave në gjykatë – p.sh. kërkesa për të referuar në një shkelje të ligjit të AKP-së kur dorëzohet Ankesa ndaj Vendimit të Autoritetit të Likuidimit. </w:t>
            </w:r>
          </w:p>
        </w:tc>
        <w:tc>
          <w:tcPr>
            <w:tcW w:w="1463" w:type="dxa"/>
            <w:shd w:val="clear" w:color="auto" w:fill="DEEAF6" w:themeFill="accent1" w:themeFillTint="33"/>
          </w:tcPr>
          <w:p w:rsidR="00A81C25" w:rsidRPr="001946C7"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Gjyqtar i EULEX-it</w:t>
            </w:r>
          </w:p>
        </w:tc>
        <w:tc>
          <w:tcPr>
            <w:tcW w:w="1350" w:type="dxa"/>
            <w:shd w:val="clear" w:color="auto" w:fill="DEEAF6" w:themeFill="accent1" w:themeFillTint="33"/>
          </w:tcPr>
          <w:p w:rsidR="00A81C25" w:rsidRPr="00CF05EF"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Refuzuar</w:t>
            </w:r>
          </w:p>
        </w:tc>
        <w:tc>
          <w:tcPr>
            <w:tcW w:w="6670" w:type="dxa"/>
            <w:shd w:val="clear" w:color="auto" w:fill="DEEAF6" w:themeFill="accent1" w:themeFillTint="33"/>
          </w:tcPr>
          <w:p w:rsidR="00A81C25" w:rsidRPr="00CF05EF"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Ndonëse këto kritere shtojnë formalitetin në procedurë dhe potencialisht e bëjnë atë më komplekse për palët, në anën tjetër, këto kritere sigurojnë një nivel të caktuar profesionalizmi dhe përgatitje për nivelin e Gjykatës Supreme si dhe shmangin në praktikë krijimin e padive/ankesa “boshe/shabllon”. Këto të fundit, në mungesë të kritereve formale të “</w:t>
            </w:r>
            <w:proofErr w:type="spellStart"/>
            <w:r>
              <w:rPr>
                <w:rFonts w:ascii="Times New Roman" w:hAnsi="Times New Roman" w:cs="Times New Roman"/>
                <w:bCs/>
                <w:sz w:val="20"/>
                <w:szCs w:val="20"/>
                <w:lang w:val="sq-AL"/>
              </w:rPr>
              <w:t>pranueshmërisë</w:t>
            </w:r>
            <w:proofErr w:type="spellEnd"/>
            <w:r>
              <w:rPr>
                <w:rFonts w:ascii="Times New Roman" w:hAnsi="Times New Roman" w:cs="Times New Roman"/>
                <w:bCs/>
                <w:sz w:val="20"/>
                <w:szCs w:val="20"/>
                <w:lang w:val="sq-AL"/>
              </w:rPr>
              <w:t xml:space="preserve">”, përfundojnë me padi/ankesa të cilat nuk ofrojnë asnjë referencë në ligj apo fakte apo ndonjë argument, por thjeshtë regjistrohen si lëndë pa ofruar ndonjë argumentim konkret, duke shtuar kështu në mënyrë fiktive numrin e lëndëve në këtë gjykatë dhe si rezultat duke e zgjatur procedurën para kësaj gjykatë nga pikëpamja afat-gjatë. </w:t>
            </w:r>
          </w:p>
        </w:tc>
      </w:tr>
      <w:tr w:rsidR="00A81C25" w:rsidRPr="001946C7" w:rsidTr="00C44144">
        <w:tc>
          <w:tcPr>
            <w:tcW w:w="1576" w:type="dxa"/>
            <w:shd w:val="clear" w:color="auto" w:fill="DEEAF6" w:themeFill="accent1" w:themeFillTint="33"/>
          </w:tcPr>
          <w:p w:rsidR="00A81C25" w:rsidRDefault="00A81C25" w:rsidP="00C44144">
            <w:pPr>
              <w:rPr>
                <w:rFonts w:ascii="Times New Roman" w:hAnsi="Times New Roman" w:cs="Times New Roman"/>
                <w:b/>
                <w:bCs/>
                <w:sz w:val="20"/>
                <w:szCs w:val="20"/>
                <w:lang w:val="en-US"/>
              </w:rPr>
            </w:pPr>
            <w:r>
              <w:rPr>
                <w:rFonts w:ascii="Times New Roman" w:hAnsi="Times New Roman" w:cs="Times New Roman"/>
                <w:b/>
                <w:bCs/>
                <w:sz w:val="20"/>
                <w:szCs w:val="20"/>
                <w:lang w:val="sq-AL"/>
              </w:rPr>
              <w:t>TEMA 6</w:t>
            </w:r>
            <w:r>
              <w:rPr>
                <w:rFonts w:ascii="Times New Roman" w:hAnsi="Times New Roman" w:cs="Times New Roman"/>
                <w:b/>
                <w:bCs/>
                <w:sz w:val="20"/>
                <w:szCs w:val="20"/>
                <w:lang w:val="en-US"/>
              </w:rPr>
              <w:t>:</w:t>
            </w:r>
          </w:p>
          <w:p w:rsidR="00A81C25" w:rsidRPr="00DA09D2" w:rsidRDefault="00A81C25" w:rsidP="00C44144">
            <w:pPr>
              <w:rPr>
                <w:rFonts w:ascii="Times New Roman" w:hAnsi="Times New Roman" w:cs="Times New Roman"/>
                <w:b/>
                <w:bCs/>
                <w:sz w:val="20"/>
                <w:szCs w:val="20"/>
                <w:lang w:val="sq-AL"/>
              </w:rPr>
            </w:pPr>
            <w:r w:rsidRPr="00DA09D2">
              <w:rPr>
                <w:rFonts w:ascii="Times New Roman" w:hAnsi="Times New Roman" w:cs="Times New Roman"/>
                <w:b/>
                <w:bCs/>
                <w:sz w:val="20"/>
                <w:szCs w:val="20"/>
                <w:lang w:val="sq-AL"/>
              </w:rPr>
              <w:t>Përcaktimi i palëve në procedurë DHPGJS</w:t>
            </w:r>
          </w:p>
          <w:p w:rsidR="00A81C25" w:rsidRPr="001946C7" w:rsidRDefault="00A81C25" w:rsidP="00C44144">
            <w:pPr>
              <w:rPr>
                <w:rFonts w:ascii="Times New Roman" w:hAnsi="Times New Roman" w:cs="Times New Roman"/>
                <w:b/>
                <w:bCs/>
                <w:sz w:val="20"/>
                <w:szCs w:val="20"/>
                <w:lang w:val="sq-AL"/>
              </w:rPr>
            </w:pPr>
          </w:p>
        </w:tc>
        <w:tc>
          <w:tcPr>
            <w:tcW w:w="3937"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Aktualisht, si praktika ashtu edhe ligji i DHPGJS kanë lejuar hapësirë për interpretim jo koherent se kush mund të jetë paditës dhe i paditur në këtë gjykatë, pra duke e lënë të paqartë nëse AKP-ja mund të padisë dhe nëse palët e treta mund të jenë të paditur.</w:t>
            </w:r>
          </w:p>
        </w:tc>
        <w:tc>
          <w:tcPr>
            <w:tcW w:w="1463" w:type="dxa"/>
            <w:shd w:val="clear" w:color="auto" w:fill="DEEAF6" w:themeFill="accent1" w:themeFillTint="33"/>
          </w:tcPr>
          <w:p w:rsidR="00A81C25" w:rsidRPr="007E2290" w:rsidRDefault="00A81C25" w:rsidP="00C44144">
            <w:pPr>
              <w:rPr>
                <w:rFonts w:ascii="Times New Roman" w:hAnsi="Times New Roman" w:cs="Times New Roman"/>
                <w:bCs/>
                <w:sz w:val="20"/>
                <w:szCs w:val="20"/>
                <w:lang w:val="en-US"/>
              </w:rPr>
            </w:pPr>
            <w:r>
              <w:rPr>
                <w:rFonts w:ascii="Times New Roman" w:hAnsi="Times New Roman" w:cs="Times New Roman"/>
                <w:bCs/>
                <w:sz w:val="20"/>
                <w:szCs w:val="20"/>
                <w:lang w:val="sq-AL"/>
              </w:rPr>
              <w:t>AKP dhe DHPGJS</w:t>
            </w:r>
          </w:p>
        </w:tc>
        <w:tc>
          <w:tcPr>
            <w:tcW w:w="1350" w:type="dxa"/>
            <w:shd w:val="clear" w:color="auto" w:fill="DEEAF6" w:themeFill="accent1" w:themeFillTint="33"/>
          </w:tcPr>
          <w:p w:rsidR="00A81C25" w:rsidRPr="001946C7"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Pranuar</w:t>
            </w:r>
          </w:p>
        </w:tc>
        <w:tc>
          <w:tcPr>
            <w:tcW w:w="6670" w:type="dxa"/>
            <w:shd w:val="clear" w:color="auto" w:fill="DEEAF6" w:themeFill="accent1" w:themeFillTint="33"/>
          </w:tcPr>
          <w:p w:rsidR="00A81C25" w:rsidRPr="001946C7"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Duke marrë parasysh se AKP-ja është gjithmonë palë në procedurë në DHPGJS, është e nevojshme që të sqarohet se AKP-ja mund të jetë edhe paditës edhe i paditur  sipas dispozitave të ligjit, sidomos sa i përket përkufizimeve të palëve në procedurë që ofrohen në nenin 5 të Ligjit për DHPGJS.</w:t>
            </w:r>
          </w:p>
        </w:tc>
      </w:tr>
      <w:tr w:rsidR="00A81C25" w:rsidRPr="001946C7" w:rsidTr="00C44144">
        <w:tc>
          <w:tcPr>
            <w:tcW w:w="1576" w:type="dxa"/>
            <w:shd w:val="clear" w:color="auto" w:fill="DEEAF6" w:themeFill="accent1" w:themeFillTint="33"/>
          </w:tcPr>
          <w:p w:rsidR="00A81C25" w:rsidRDefault="00A81C25" w:rsidP="00C44144">
            <w:pPr>
              <w:rPr>
                <w:rFonts w:ascii="Times New Roman" w:hAnsi="Times New Roman" w:cs="Times New Roman"/>
                <w:b/>
                <w:bCs/>
                <w:sz w:val="20"/>
                <w:szCs w:val="20"/>
                <w:lang w:val="en-US"/>
              </w:rPr>
            </w:pPr>
            <w:r>
              <w:rPr>
                <w:rFonts w:ascii="Times New Roman" w:hAnsi="Times New Roman" w:cs="Times New Roman"/>
                <w:b/>
                <w:bCs/>
                <w:sz w:val="20"/>
                <w:szCs w:val="20"/>
                <w:lang w:val="sq-AL"/>
              </w:rPr>
              <w:t>TEMA 7</w:t>
            </w:r>
            <w:r>
              <w:rPr>
                <w:rFonts w:ascii="Times New Roman" w:hAnsi="Times New Roman" w:cs="Times New Roman"/>
                <w:b/>
                <w:bCs/>
                <w:sz w:val="20"/>
                <w:szCs w:val="20"/>
                <w:lang w:val="en-US"/>
              </w:rPr>
              <w:t>:</w:t>
            </w:r>
          </w:p>
          <w:p w:rsidR="00A81C25" w:rsidRPr="00DA09D2" w:rsidRDefault="00A81C25" w:rsidP="00C44144">
            <w:pPr>
              <w:rPr>
                <w:rFonts w:ascii="Times New Roman" w:hAnsi="Times New Roman" w:cs="Times New Roman"/>
                <w:b/>
                <w:bCs/>
                <w:sz w:val="20"/>
                <w:szCs w:val="20"/>
                <w:lang w:val="sq-AL"/>
              </w:rPr>
            </w:pPr>
            <w:r w:rsidRPr="00DA09D2">
              <w:rPr>
                <w:rFonts w:ascii="Times New Roman" w:hAnsi="Times New Roman" w:cs="Times New Roman"/>
                <w:b/>
                <w:bCs/>
                <w:sz w:val="20"/>
                <w:szCs w:val="20"/>
                <w:lang w:val="sq-AL"/>
              </w:rPr>
              <w:lastRenderedPageBreak/>
              <w:t>Rishikimi i kompetencave drejtuese</w:t>
            </w:r>
          </w:p>
        </w:tc>
        <w:tc>
          <w:tcPr>
            <w:tcW w:w="3937" w:type="dxa"/>
            <w:shd w:val="clear" w:color="auto" w:fill="DEEAF6" w:themeFill="accent1" w:themeFillTint="33"/>
          </w:tcPr>
          <w:p w:rsidR="00A81C25" w:rsidRDefault="00A81C25" w:rsidP="00DA09D2">
            <w:pPr>
              <w:jc w:val="both"/>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 xml:space="preserve">Rishikimi i kompetencave aktuale të kryetarit </w:t>
            </w:r>
            <w:r>
              <w:rPr>
                <w:rFonts w:ascii="Times New Roman" w:hAnsi="Times New Roman" w:cs="Times New Roman"/>
                <w:bCs/>
                <w:sz w:val="20"/>
                <w:szCs w:val="20"/>
                <w:lang w:val="sq-AL"/>
              </w:rPr>
              <w:lastRenderedPageBreak/>
              <w:t>të DHPGJS si dhe transferimi potencial i tyre tek kryetari i Gjykatës Sup</w:t>
            </w:r>
            <w:r w:rsidR="00DA09D2">
              <w:rPr>
                <w:rFonts w:ascii="Times New Roman" w:hAnsi="Times New Roman" w:cs="Times New Roman"/>
                <w:bCs/>
                <w:sz w:val="20"/>
                <w:szCs w:val="20"/>
                <w:lang w:val="sq-AL"/>
              </w:rPr>
              <w:t xml:space="preserve">reme – shuarja e kryetarit të </w:t>
            </w:r>
            <w:proofErr w:type="spellStart"/>
            <w:r w:rsidR="00DA09D2">
              <w:rPr>
                <w:rFonts w:ascii="Times New Roman" w:hAnsi="Times New Roman" w:cs="Times New Roman"/>
                <w:bCs/>
                <w:sz w:val="20"/>
                <w:szCs w:val="20"/>
                <w:lang w:val="sq-AL"/>
              </w:rPr>
              <w:t>DhPGjS</w:t>
            </w:r>
            <w:proofErr w:type="spellEnd"/>
            <w:r>
              <w:rPr>
                <w:rFonts w:ascii="Times New Roman" w:hAnsi="Times New Roman" w:cs="Times New Roman"/>
                <w:bCs/>
                <w:sz w:val="20"/>
                <w:szCs w:val="20"/>
                <w:lang w:val="sq-AL"/>
              </w:rPr>
              <w:t xml:space="preserve"> - krijimi i një pozite të re në DHPGJS (ndihmëse) </w:t>
            </w:r>
          </w:p>
        </w:tc>
        <w:tc>
          <w:tcPr>
            <w:tcW w:w="1463" w:type="dxa"/>
            <w:shd w:val="clear" w:color="auto" w:fill="DEEAF6" w:themeFill="accent1" w:themeFillTint="33"/>
          </w:tcPr>
          <w:p w:rsidR="00A81C25" w:rsidRPr="007E2290" w:rsidRDefault="00A81C25" w:rsidP="00C44144">
            <w:pPr>
              <w:rPr>
                <w:rFonts w:ascii="Times New Roman" w:hAnsi="Times New Roman" w:cs="Times New Roman"/>
                <w:bCs/>
                <w:sz w:val="20"/>
                <w:szCs w:val="20"/>
                <w:lang w:val="en-US"/>
              </w:rPr>
            </w:pPr>
            <w:r>
              <w:rPr>
                <w:rFonts w:ascii="Times New Roman" w:hAnsi="Times New Roman" w:cs="Times New Roman"/>
                <w:bCs/>
                <w:sz w:val="20"/>
                <w:szCs w:val="20"/>
                <w:lang w:val="sq-AL"/>
              </w:rPr>
              <w:lastRenderedPageBreak/>
              <w:t>KGJK</w:t>
            </w:r>
            <w:r>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lastRenderedPageBreak/>
              <w:t>EULEX; MD</w:t>
            </w:r>
          </w:p>
        </w:tc>
        <w:tc>
          <w:tcPr>
            <w:tcW w:w="1350" w:type="dxa"/>
            <w:shd w:val="clear" w:color="auto" w:fill="DEEAF6" w:themeFill="accent1" w:themeFillTint="33"/>
          </w:tcPr>
          <w:p w:rsidR="00A81C25"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Pranuar</w:t>
            </w:r>
          </w:p>
        </w:tc>
        <w:tc>
          <w:tcPr>
            <w:tcW w:w="6670" w:type="dxa"/>
            <w:shd w:val="clear" w:color="auto" w:fill="DEEAF6" w:themeFill="accent1" w:themeFillTint="33"/>
          </w:tcPr>
          <w:p w:rsidR="00A81C25"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DHPGJS është pjesë e Gjykatës Supreme sipas Ligjit për Gjykatat mirëpo në </w:t>
            </w:r>
            <w:r>
              <w:rPr>
                <w:rFonts w:ascii="Times New Roman" w:hAnsi="Times New Roman" w:cs="Times New Roman"/>
                <w:bCs/>
                <w:sz w:val="20"/>
                <w:szCs w:val="20"/>
                <w:lang w:val="sq-AL"/>
              </w:rPr>
              <w:lastRenderedPageBreak/>
              <w:t xml:space="preserve">praktikë DHPGJS ka operuar ndaras deri më tani. Në mënyrë që të arrihet një harmonizim sa më i plotë me legjislacionin në fuqi, sidomos dispozitat e Ligjit për Gjykatat dhe rregulloret e KGJK-së për organizimin e brendshëm të gjykatave, si dhe për të rritur efikasitetin dhe llogaridhënien e DHPGJS, parashihet si e nevojshme bartja e kompetencave </w:t>
            </w:r>
            <w:proofErr w:type="spellStart"/>
            <w:r>
              <w:rPr>
                <w:rFonts w:ascii="Times New Roman" w:hAnsi="Times New Roman" w:cs="Times New Roman"/>
                <w:bCs/>
                <w:sz w:val="20"/>
                <w:szCs w:val="20"/>
                <w:lang w:val="sq-AL"/>
              </w:rPr>
              <w:t>menaxhuese</w:t>
            </w:r>
            <w:proofErr w:type="spellEnd"/>
            <w:r>
              <w:rPr>
                <w:rFonts w:ascii="Times New Roman" w:hAnsi="Times New Roman" w:cs="Times New Roman"/>
                <w:bCs/>
                <w:sz w:val="20"/>
                <w:szCs w:val="20"/>
                <w:lang w:val="sq-AL"/>
              </w:rPr>
              <w:t xml:space="preserve"> tek kryetari i Gjykatës Supreme. Ndërkohë, krijimi i një pozite të re ndihmëse, në cilësinë e një gjyqtari mbikëqyrës të DHPGJS si “degë” e Gjykatës Supreme për një mandat të caktuar rregullon edhe çështjen e menaxhimit dhe organizimit në përputhje edhe me Ligjin për Gjykatat që parasheh këtë lloj funksionimi në raste të ngjashme në gjykata të tjera në Kosovë. </w:t>
            </w:r>
          </w:p>
        </w:tc>
      </w:tr>
      <w:tr w:rsidR="00A81C25" w:rsidRPr="001946C7" w:rsidTr="00C44144">
        <w:tc>
          <w:tcPr>
            <w:tcW w:w="1576" w:type="dxa"/>
            <w:shd w:val="clear" w:color="auto" w:fill="DEEAF6" w:themeFill="accent1" w:themeFillTint="33"/>
          </w:tcPr>
          <w:p w:rsidR="00A81C25" w:rsidRDefault="00A81C25" w:rsidP="00C44144">
            <w:pPr>
              <w:rPr>
                <w:rFonts w:ascii="Times New Roman" w:hAnsi="Times New Roman" w:cs="Times New Roman"/>
                <w:b/>
                <w:bCs/>
                <w:sz w:val="20"/>
                <w:szCs w:val="20"/>
                <w:lang w:val="en-US"/>
              </w:rPr>
            </w:pPr>
            <w:r>
              <w:rPr>
                <w:rFonts w:ascii="Times New Roman" w:hAnsi="Times New Roman" w:cs="Times New Roman"/>
                <w:b/>
                <w:bCs/>
                <w:sz w:val="20"/>
                <w:szCs w:val="20"/>
                <w:lang w:val="sq-AL"/>
              </w:rPr>
              <w:lastRenderedPageBreak/>
              <w:t>TEMA 8</w:t>
            </w:r>
            <w:r>
              <w:rPr>
                <w:rFonts w:ascii="Times New Roman" w:hAnsi="Times New Roman" w:cs="Times New Roman"/>
                <w:b/>
                <w:bCs/>
                <w:sz w:val="20"/>
                <w:szCs w:val="20"/>
                <w:lang w:val="en-US"/>
              </w:rPr>
              <w:t>:</w:t>
            </w:r>
          </w:p>
          <w:p w:rsidR="00A81C25" w:rsidRPr="0059582B" w:rsidRDefault="00A81C25" w:rsidP="00C44144">
            <w:pP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Juridiksioni</w:t>
            </w:r>
            <w:proofErr w:type="spellEnd"/>
            <w:r>
              <w:rPr>
                <w:rFonts w:ascii="Times New Roman" w:hAnsi="Times New Roman" w:cs="Times New Roman"/>
                <w:b/>
                <w:bCs/>
                <w:sz w:val="20"/>
                <w:szCs w:val="20"/>
                <w:lang w:val="en-US"/>
              </w:rPr>
              <w:t xml:space="preserve"> i DHPGJS </w:t>
            </w:r>
          </w:p>
        </w:tc>
        <w:tc>
          <w:tcPr>
            <w:tcW w:w="3937" w:type="dxa"/>
            <w:shd w:val="clear" w:color="auto" w:fill="DEEAF6" w:themeFill="accent1" w:themeFillTint="33"/>
          </w:tcPr>
          <w:p w:rsidR="00A81C25"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Kufizimi i juridiksionit të DHPJGS për të shqyrtuar vetëm lëndë specifike, ndërsa lëndë të përgjithshme si p.sh. ato që kërkojnë dëme materiale dhe jo-materiale apo që rrjedhin nga marrëdhënia e punës t</w:t>
            </w:r>
            <w:r>
              <w:rPr>
                <w:rFonts w:ascii="Times New Roman" w:hAnsi="Times New Roman" w:cs="Times New Roman"/>
                <w:bCs/>
                <w:sz w:val="20"/>
                <w:szCs w:val="20"/>
                <w:lang w:val="en-US"/>
              </w:rPr>
              <w:t xml:space="preserve">’i </w:t>
            </w:r>
            <w:r>
              <w:rPr>
                <w:rFonts w:ascii="Times New Roman" w:hAnsi="Times New Roman" w:cs="Times New Roman"/>
                <w:bCs/>
                <w:sz w:val="20"/>
                <w:szCs w:val="20"/>
                <w:lang w:val="sq-AL"/>
              </w:rPr>
              <w:t>barten gjykatave themelore.</w:t>
            </w:r>
          </w:p>
        </w:tc>
        <w:tc>
          <w:tcPr>
            <w:tcW w:w="1463" w:type="dxa"/>
            <w:shd w:val="clear" w:color="auto" w:fill="DEEAF6" w:themeFill="accent1" w:themeFillTint="33"/>
          </w:tcPr>
          <w:p w:rsidR="00A81C25" w:rsidRPr="0059582B" w:rsidRDefault="00A81C25" w:rsidP="00C44144">
            <w:pPr>
              <w:rPr>
                <w:rFonts w:ascii="Times New Roman" w:hAnsi="Times New Roman" w:cs="Times New Roman"/>
                <w:bCs/>
                <w:sz w:val="20"/>
                <w:szCs w:val="20"/>
                <w:lang w:val="en-US"/>
              </w:rPr>
            </w:pPr>
            <w:r>
              <w:rPr>
                <w:rFonts w:ascii="Times New Roman" w:hAnsi="Times New Roman" w:cs="Times New Roman"/>
                <w:bCs/>
                <w:sz w:val="20"/>
                <w:szCs w:val="20"/>
                <w:lang w:val="sq-AL"/>
              </w:rPr>
              <w:t xml:space="preserve">Gjyqtar i </w:t>
            </w:r>
            <w:proofErr w:type="spellStart"/>
            <w:r>
              <w:rPr>
                <w:rFonts w:ascii="Times New Roman" w:hAnsi="Times New Roman" w:cs="Times New Roman"/>
                <w:bCs/>
                <w:sz w:val="20"/>
                <w:szCs w:val="20"/>
                <w:lang w:val="sq-AL"/>
              </w:rPr>
              <w:t>DhPGJS</w:t>
            </w:r>
            <w:proofErr w:type="spellEnd"/>
          </w:p>
        </w:tc>
        <w:tc>
          <w:tcPr>
            <w:tcW w:w="1350" w:type="dxa"/>
            <w:shd w:val="clear" w:color="auto" w:fill="DEEAF6" w:themeFill="accent1" w:themeFillTint="33"/>
          </w:tcPr>
          <w:p w:rsidR="00A81C25"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Refuzuar</w:t>
            </w:r>
          </w:p>
        </w:tc>
        <w:tc>
          <w:tcPr>
            <w:tcW w:w="6670" w:type="dxa"/>
            <w:shd w:val="clear" w:color="auto" w:fill="DEEAF6" w:themeFill="accent1" w:themeFillTint="33"/>
          </w:tcPr>
          <w:p w:rsidR="00A81C25"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Arsyetimi për këtë propozim bazohet në faktin se DHPGJS aktualisht ballafaqohet me një numër të madh të lëndëve dhe transferimi i një pjese të tyre për vendosje në gjykatat themelore mund të kontribuojnë në uljen e këtij numri. Megjithatë, kjo në radhë të parë bie ndesh me vet qëllimin dhe arsyen e ekzistimit të kësaj gjykate (Dhome të Posaçme), e cila ka juridiksion ekskluziv për të trajtuar të gjitha lëndët që lidhen/kanë të bëjnë me AKP-në, pavarësisht natyrës apo</w:t>
            </w:r>
            <w:r w:rsidR="00DA09D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 xml:space="preserve">llojit të tyre. Për më tepër, eksperienca profesionale e gjyqtarëve që shërbejnë në DHPGJS është pikërisht e orientuar në natyrën e lëndëve që paraqiten/rezultojnë nga fushëveprimi i AKP-së, çka jo gjithmonë është rasti në gjykata themelore. Së fundmi, transferimi i disa lëndëve tek gjykatat themelore mund të ul përkohësisht numrit e lëndëve tek DHPGJS mirëpo kjo padyshim që ndjeshëm shton numrin e lëndëve në gjykata themelore, të cilat siç janë aktualisht janë </w:t>
            </w:r>
            <w:proofErr w:type="spellStart"/>
            <w:r>
              <w:rPr>
                <w:rFonts w:ascii="Times New Roman" w:hAnsi="Times New Roman" w:cs="Times New Roman"/>
                <w:bCs/>
                <w:sz w:val="20"/>
                <w:szCs w:val="20"/>
                <w:lang w:val="sq-AL"/>
              </w:rPr>
              <w:t>mëse</w:t>
            </w:r>
            <w:proofErr w:type="spellEnd"/>
            <w:r>
              <w:rPr>
                <w:rFonts w:ascii="Times New Roman" w:hAnsi="Times New Roman" w:cs="Times New Roman"/>
                <w:bCs/>
                <w:sz w:val="20"/>
                <w:szCs w:val="20"/>
                <w:lang w:val="sq-AL"/>
              </w:rPr>
              <w:t xml:space="preserve"> të ngarkuara me lëndë. Kjo në afat-gjatë rezulton me bllokim të sistemit si në gjykata themelore ashtu edhe në shtimin e afateve të pritjes (që tashmë veç janë </w:t>
            </w:r>
            <w:r w:rsidR="00DA09D2">
              <w:rPr>
                <w:rFonts w:ascii="Times New Roman" w:hAnsi="Times New Roman" w:cs="Times New Roman"/>
                <w:bCs/>
                <w:sz w:val="20"/>
                <w:szCs w:val="20"/>
                <w:lang w:val="sq-AL"/>
              </w:rPr>
              <w:t>tej zgjatur</w:t>
            </w:r>
            <w:r>
              <w:rPr>
                <w:rFonts w:ascii="Times New Roman" w:hAnsi="Times New Roman" w:cs="Times New Roman"/>
                <w:bCs/>
                <w:sz w:val="20"/>
                <w:szCs w:val="20"/>
                <w:lang w:val="sq-AL"/>
              </w:rPr>
              <w:t xml:space="preserve">) të palëve në procedurë. </w:t>
            </w:r>
          </w:p>
        </w:tc>
      </w:tr>
      <w:tr w:rsidR="00A81C25" w:rsidRPr="001946C7" w:rsidTr="00C44144">
        <w:tc>
          <w:tcPr>
            <w:tcW w:w="1576" w:type="dxa"/>
            <w:shd w:val="clear" w:color="auto" w:fill="DEEAF6" w:themeFill="accent1" w:themeFillTint="33"/>
          </w:tcPr>
          <w:p w:rsidR="00A81C25" w:rsidRDefault="00A81C25" w:rsidP="00C44144">
            <w:pPr>
              <w:rPr>
                <w:rFonts w:ascii="Times New Roman" w:hAnsi="Times New Roman" w:cs="Times New Roman"/>
                <w:b/>
                <w:bCs/>
                <w:sz w:val="20"/>
                <w:szCs w:val="20"/>
                <w:lang w:val="en-US"/>
              </w:rPr>
            </w:pPr>
            <w:r>
              <w:rPr>
                <w:rFonts w:ascii="Times New Roman" w:hAnsi="Times New Roman" w:cs="Times New Roman"/>
                <w:b/>
                <w:bCs/>
                <w:sz w:val="20"/>
                <w:szCs w:val="20"/>
                <w:lang w:val="sq-AL"/>
              </w:rPr>
              <w:t>TEMA 9</w:t>
            </w:r>
            <w:r>
              <w:rPr>
                <w:rFonts w:ascii="Times New Roman" w:hAnsi="Times New Roman" w:cs="Times New Roman"/>
                <w:b/>
                <w:bCs/>
                <w:sz w:val="20"/>
                <w:szCs w:val="20"/>
                <w:lang w:val="en-US"/>
              </w:rPr>
              <w:t>:</w:t>
            </w:r>
          </w:p>
          <w:p w:rsidR="00A81C25" w:rsidRPr="00DA09D2" w:rsidRDefault="00A81C25" w:rsidP="00C44144">
            <w:pPr>
              <w:rPr>
                <w:rFonts w:ascii="Times New Roman" w:hAnsi="Times New Roman" w:cs="Times New Roman"/>
                <w:b/>
                <w:bCs/>
                <w:sz w:val="20"/>
                <w:szCs w:val="20"/>
                <w:lang w:val="sq-AL"/>
              </w:rPr>
            </w:pPr>
            <w:r w:rsidRPr="00DA09D2">
              <w:rPr>
                <w:rFonts w:ascii="Times New Roman" w:hAnsi="Times New Roman" w:cs="Times New Roman"/>
                <w:b/>
                <w:bCs/>
                <w:sz w:val="20"/>
                <w:szCs w:val="20"/>
                <w:lang w:val="sq-AL"/>
              </w:rPr>
              <w:t>Hartimi i një ligji të ri dhe rritja e buxhetit</w:t>
            </w:r>
          </w:p>
        </w:tc>
        <w:tc>
          <w:tcPr>
            <w:tcW w:w="3937" w:type="dxa"/>
            <w:shd w:val="clear" w:color="auto" w:fill="DEEAF6" w:themeFill="accent1" w:themeFillTint="33"/>
          </w:tcPr>
          <w:p w:rsidR="00A81C25" w:rsidRDefault="00A81C25" w:rsidP="00C44144">
            <w:pPr>
              <w:jc w:val="both"/>
              <w:rPr>
                <w:rFonts w:ascii="Times New Roman" w:hAnsi="Times New Roman" w:cs="Times New Roman"/>
                <w:bCs/>
                <w:sz w:val="20"/>
                <w:szCs w:val="20"/>
                <w:lang w:val="sq-AL"/>
              </w:rPr>
            </w:pPr>
            <w:r w:rsidRPr="0059582B">
              <w:rPr>
                <w:rFonts w:ascii="Times New Roman" w:hAnsi="Times New Roman" w:cs="Times New Roman"/>
                <w:bCs/>
                <w:sz w:val="20"/>
                <w:szCs w:val="20"/>
                <w:lang w:val="sq-AL"/>
              </w:rPr>
              <w:t>1.</w:t>
            </w:r>
            <w:r>
              <w:rPr>
                <w:rFonts w:ascii="Times New Roman" w:hAnsi="Times New Roman" w:cs="Times New Roman"/>
                <w:bCs/>
                <w:sz w:val="20"/>
                <w:szCs w:val="20"/>
                <w:lang w:val="sq-AL"/>
              </w:rPr>
              <w:t xml:space="preserve"> Hartimi i një ligji të ri, si pasojë e ndryshimeve të shumta që shihen si të nevojshme ashtu edhe për nga aspekti i </w:t>
            </w:r>
            <w:proofErr w:type="spellStart"/>
            <w:r>
              <w:rPr>
                <w:rFonts w:ascii="Times New Roman" w:hAnsi="Times New Roman" w:cs="Times New Roman"/>
                <w:bCs/>
                <w:sz w:val="20"/>
                <w:szCs w:val="20"/>
                <w:lang w:val="sq-AL"/>
              </w:rPr>
              <w:t>prakticitetit</w:t>
            </w:r>
            <w:proofErr w:type="spellEnd"/>
            <w:r>
              <w:rPr>
                <w:rFonts w:ascii="Times New Roman" w:hAnsi="Times New Roman" w:cs="Times New Roman"/>
                <w:bCs/>
                <w:sz w:val="20"/>
                <w:szCs w:val="20"/>
                <w:lang w:val="sq-AL"/>
              </w:rPr>
              <w:t xml:space="preserve"> sa i përket referimit të ligjit, duke qenë se tashmë është plotësuar dhe ndryshuar 5 herë më parë.</w:t>
            </w:r>
          </w:p>
          <w:p w:rsidR="00A81C25" w:rsidRPr="0059582B"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2. Rritja e buxhetit të DHPGJS, sidomos në dritën e rritjes së numrit të gjyqtarëve dhe stafit mbështetës. </w:t>
            </w:r>
          </w:p>
        </w:tc>
        <w:tc>
          <w:tcPr>
            <w:tcW w:w="1463" w:type="dxa"/>
            <w:shd w:val="clear" w:color="auto" w:fill="DEEAF6" w:themeFill="accent1" w:themeFillTint="33"/>
          </w:tcPr>
          <w:p w:rsidR="00A81C25" w:rsidRPr="0059582B" w:rsidRDefault="00A81C25" w:rsidP="00C44144">
            <w:pPr>
              <w:rPr>
                <w:rFonts w:ascii="Times New Roman" w:hAnsi="Times New Roman" w:cs="Times New Roman"/>
                <w:bCs/>
                <w:sz w:val="20"/>
                <w:szCs w:val="20"/>
                <w:lang w:val="en-US"/>
              </w:rPr>
            </w:pPr>
            <w:r>
              <w:rPr>
                <w:rFonts w:ascii="Times New Roman" w:hAnsi="Times New Roman" w:cs="Times New Roman"/>
                <w:bCs/>
                <w:sz w:val="20"/>
                <w:szCs w:val="20"/>
                <w:lang w:val="sq-AL"/>
              </w:rPr>
              <w:t>DHPGJS, KGJK, EULEX, MD</w:t>
            </w:r>
          </w:p>
        </w:tc>
        <w:tc>
          <w:tcPr>
            <w:tcW w:w="1350" w:type="dxa"/>
            <w:shd w:val="clear" w:color="auto" w:fill="DEEAF6" w:themeFill="accent1" w:themeFillTint="33"/>
          </w:tcPr>
          <w:p w:rsidR="00A81C25" w:rsidRDefault="00A81C25" w:rsidP="00C44144">
            <w:pPr>
              <w:rPr>
                <w:rFonts w:ascii="Times New Roman" w:hAnsi="Times New Roman" w:cs="Times New Roman"/>
                <w:bCs/>
                <w:sz w:val="20"/>
                <w:szCs w:val="20"/>
                <w:lang w:val="sq-AL"/>
              </w:rPr>
            </w:pPr>
            <w:r>
              <w:rPr>
                <w:rFonts w:ascii="Times New Roman" w:hAnsi="Times New Roman" w:cs="Times New Roman"/>
                <w:bCs/>
                <w:sz w:val="20"/>
                <w:szCs w:val="20"/>
                <w:lang w:val="sq-AL"/>
              </w:rPr>
              <w:t>Pranuar pjesërisht</w:t>
            </w:r>
          </w:p>
        </w:tc>
        <w:tc>
          <w:tcPr>
            <w:tcW w:w="6670" w:type="dxa"/>
            <w:shd w:val="clear" w:color="auto" w:fill="DEEAF6" w:themeFill="accent1" w:themeFillTint="33"/>
          </w:tcPr>
          <w:p w:rsidR="00A81C25" w:rsidRDefault="00DA09D2"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Ndryshimet</w:t>
            </w:r>
            <w:r w:rsidR="00A81C25">
              <w:rPr>
                <w:rFonts w:ascii="Times New Roman" w:hAnsi="Times New Roman" w:cs="Times New Roman"/>
                <w:bCs/>
                <w:sz w:val="20"/>
                <w:szCs w:val="20"/>
                <w:lang w:val="sq-AL"/>
              </w:rPr>
              <w:t xml:space="preserve"> e propozuara nga koncept dokumenti duhet të adresohen ose përmes ndryshimit dhe plotësimit të ligjit aktual apo hartimit të një ligji të ri. Të dy këto opsione janë më përfituese në krahasim me ruajtjen e status </w:t>
            </w:r>
            <w:proofErr w:type="spellStart"/>
            <w:r w:rsidR="00A81C25">
              <w:rPr>
                <w:rFonts w:ascii="Times New Roman" w:hAnsi="Times New Roman" w:cs="Times New Roman"/>
                <w:bCs/>
                <w:sz w:val="20"/>
                <w:szCs w:val="20"/>
                <w:lang w:val="sq-AL"/>
              </w:rPr>
              <w:t>quo</w:t>
            </w:r>
            <w:proofErr w:type="spellEnd"/>
            <w:r w:rsidR="00A81C25">
              <w:rPr>
                <w:rFonts w:ascii="Times New Roman" w:hAnsi="Times New Roman" w:cs="Times New Roman"/>
                <w:bCs/>
                <w:sz w:val="20"/>
                <w:szCs w:val="20"/>
                <w:lang w:val="sq-AL"/>
              </w:rPr>
              <w:t xml:space="preserve">-së. Megjithatë, për lehtësi në referim të dispozitave si dhe qartësi për praktikuesit e këtij ligji, hartimi i një ligji të ri rezulton si mundësia më e përshtatshme.  </w:t>
            </w:r>
          </w:p>
          <w:p w:rsidR="00A81C25" w:rsidRDefault="00A81C25" w:rsidP="00C4414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Rritja e buxhetit të gjykatës veçse është paraparë tashmë nga KGJK-ja në këtë vit financiar. Ndryshimet e propozuara në strukturën funksionale të gjykatës parashohin një rritje të stafit (zëvendësimi i gjyqtarëve ndërkombëtarë me ata vendorë si dhe stafi mbështetës), të cilat sigurisht rezultojnë me rritje të buxhetit në plan afat-mesëm e afat-gjatë. </w:t>
            </w:r>
          </w:p>
        </w:tc>
      </w:tr>
    </w:tbl>
    <w:p w:rsidR="00784B6F" w:rsidRDefault="00784B6F"/>
    <w:sectPr w:rsidR="00784B6F"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EA" w:rsidRDefault="004B62EA">
      <w:r>
        <w:separator/>
      </w:r>
    </w:p>
  </w:endnote>
  <w:endnote w:type="continuationSeparator" w:id="0">
    <w:p w:rsidR="004B62EA" w:rsidRDefault="004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C" w:rsidRDefault="00A81C25"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28C" w:rsidRDefault="004B6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C" w:rsidRDefault="00A81C25"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AB3">
      <w:rPr>
        <w:rStyle w:val="PageNumber"/>
        <w:noProof/>
      </w:rPr>
      <w:t>2</w:t>
    </w:r>
    <w:r>
      <w:rPr>
        <w:rStyle w:val="PageNumber"/>
      </w:rPr>
      <w:fldChar w:fldCharType="end"/>
    </w:r>
  </w:p>
  <w:p w:rsidR="00DE728C" w:rsidRDefault="004B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EA" w:rsidRDefault="004B62EA">
      <w:r>
        <w:separator/>
      </w:r>
    </w:p>
  </w:footnote>
  <w:footnote w:type="continuationSeparator" w:id="0">
    <w:p w:rsidR="004B62EA" w:rsidRDefault="004B6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25"/>
    <w:rsid w:val="002706D0"/>
    <w:rsid w:val="003F1A7A"/>
    <w:rsid w:val="00431EA6"/>
    <w:rsid w:val="004B62EA"/>
    <w:rsid w:val="005776FD"/>
    <w:rsid w:val="007336AB"/>
    <w:rsid w:val="00784B6F"/>
    <w:rsid w:val="00A81C25"/>
    <w:rsid w:val="00B52A11"/>
    <w:rsid w:val="00DA09D2"/>
    <w:rsid w:val="00E2188D"/>
    <w:rsid w:val="00E83AB3"/>
    <w:rsid w:val="00FC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25"/>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81C25"/>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A81C25"/>
  </w:style>
  <w:style w:type="paragraph" w:styleId="Footer">
    <w:name w:val="footer"/>
    <w:basedOn w:val="Normal"/>
    <w:link w:val="FooterChar"/>
    <w:uiPriority w:val="99"/>
    <w:unhideWhenUsed/>
    <w:rsid w:val="00A81C25"/>
    <w:pPr>
      <w:tabs>
        <w:tab w:val="center" w:pos="4320"/>
        <w:tab w:val="right" w:pos="8640"/>
      </w:tabs>
    </w:pPr>
  </w:style>
  <w:style w:type="character" w:customStyle="1" w:styleId="FooterChar">
    <w:name w:val="Footer Char"/>
    <w:basedOn w:val="DefaultParagraphFont"/>
    <w:link w:val="Footer"/>
    <w:uiPriority w:val="99"/>
    <w:rsid w:val="00A81C25"/>
    <w:rPr>
      <w:sz w:val="24"/>
      <w:szCs w:val="24"/>
      <w:lang w:val="en-GB"/>
    </w:rPr>
  </w:style>
  <w:style w:type="paragraph" w:styleId="Title">
    <w:name w:val="Title"/>
    <w:basedOn w:val="Normal"/>
    <w:link w:val="TitleChar"/>
    <w:qFormat/>
    <w:rsid w:val="00A81C25"/>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81C25"/>
    <w:rPr>
      <w:rFonts w:ascii="Times New Roman" w:eastAsia="MS Mincho" w:hAnsi="Times New Roman" w:cs="Times New Roman"/>
      <w:b/>
      <w:bCs/>
      <w:sz w:val="24"/>
      <w:szCs w:val="24"/>
      <w:lang w:val="sq-AL" w:eastAsia="x-none"/>
    </w:rPr>
  </w:style>
  <w:style w:type="paragraph" w:styleId="NoSpacing">
    <w:name w:val="No Spacing"/>
    <w:uiPriority w:val="1"/>
    <w:qFormat/>
    <w:rsid w:val="00A81C25"/>
    <w:pPr>
      <w:spacing w:after="0" w:line="240" w:lineRule="auto"/>
    </w:pPr>
    <w:rPr>
      <w:rFonts w:ascii="Times New Roman" w:eastAsia="Calibri" w:hAnsi="Times New Roman" w:cs="Times New Roman"/>
      <w:lang w:val="sq-AL"/>
    </w:rPr>
  </w:style>
  <w:style w:type="paragraph" w:styleId="BalloonText">
    <w:name w:val="Balloon Text"/>
    <w:basedOn w:val="Normal"/>
    <w:link w:val="BalloonTextChar"/>
    <w:uiPriority w:val="99"/>
    <w:semiHidden/>
    <w:unhideWhenUsed/>
    <w:rsid w:val="00DA09D2"/>
    <w:rPr>
      <w:rFonts w:ascii="Tahoma" w:hAnsi="Tahoma" w:cs="Tahoma"/>
      <w:sz w:val="16"/>
      <w:szCs w:val="16"/>
    </w:rPr>
  </w:style>
  <w:style w:type="character" w:customStyle="1" w:styleId="BalloonTextChar">
    <w:name w:val="Balloon Text Char"/>
    <w:basedOn w:val="DefaultParagraphFont"/>
    <w:link w:val="BalloonText"/>
    <w:uiPriority w:val="99"/>
    <w:semiHidden/>
    <w:rsid w:val="00DA09D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25"/>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81C25"/>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A81C25"/>
  </w:style>
  <w:style w:type="paragraph" w:styleId="Footer">
    <w:name w:val="footer"/>
    <w:basedOn w:val="Normal"/>
    <w:link w:val="FooterChar"/>
    <w:uiPriority w:val="99"/>
    <w:unhideWhenUsed/>
    <w:rsid w:val="00A81C25"/>
    <w:pPr>
      <w:tabs>
        <w:tab w:val="center" w:pos="4320"/>
        <w:tab w:val="right" w:pos="8640"/>
      </w:tabs>
    </w:pPr>
  </w:style>
  <w:style w:type="character" w:customStyle="1" w:styleId="FooterChar">
    <w:name w:val="Footer Char"/>
    <w:basedOn w:val="DefaultParagraphFont"/>
    <w:link w:val="Footer"/>
    <w:uiPriority w:val="99"/>
    <w:rsid w:val="00A81C25"/>
    <w:rPr>
      <w:sz w:val="24"/>
      <w:szCs w:val="24"/>
      <w:lang w:val="en-GB"/>
    </w:rPr>
  </w:style>
  <w:style w:type="paragraph" w:styleId="Title">
    <w:name w:val="Title"/>
    <w:basedOn w:val="Normal"/>
    <w:link w:val="TitleChar"/>
    <w:qFormat/>
    <w:rsid w:val="00A81C25"/>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81C25"/>
    <w:rPr>
      <w:rFonts w:ascii="Times New Roman" w:eastAsia="MS Mincho" w:hAnsi="Times New Roman" w:cs="Times New Roman"/>
      <w:b/>
      <w:bCs/>
      <w:sz w:val="24"/>
      <w:szCs w:val="24"/>
      <w:lang w:val="sq-AL" w:eastAsia="x-none"/>
    </w:rPr>
  </w:style>
  <w:style w:type="paragraph" w:styleId="NoSpacing">
    <w:name w:val="No Spacing"/>
    <w:uiPriority w:val="1"/>
    <w:qFormat/>
    <w:rsid w:val="00A81C25"/>
    <w:pPr>
      <w:spacing w:after="0" w:line="240" w:lineRule="auto"/>
    </w:pPr>
    <w:rPr>
      <w:rFonts w:ascii="Times New Roman" w:eastAsia="Calibri" w:hAnsi="Times New Roman" w:cs="Times New Roman"/>
      <w:lang w:val="sq-AL"/>
    </w:rPr>
  </w:style>
  <w:style w:type="paragraph" w:styleId="BalloonText">
    <w:name w:val="Balloon Text"/>
    <w:basedOn w:val="Normal"/>
    <w:link w:val="BalloonTextChar"/>
    <w:uiPriority w:val="99"/>
    <w:semiHidden/>
    <w:unhideWhenUsed/>
    <w:rsid w:val="00DA09D2"/>
    <w:rPr>
      <w:rFonts w:ascii="Tahoma" w:hAnsi="Tahoma" w:cs="Tahoma"/>
      <w:sz w:val="16"/>
      <w:szCs w:val="16"/>
    </w:rPr>
  </w:style>
  <w:style w:type="character" w:customStyle="1" w:styleId="BalloonTextChar">
    <w:name w:val="Balloon Text Char"/>
    <w:basedOn w:val="DefaultParagraphFont"/>
    <w:link w:val="BalloonText"/>
    <w:uiPriority w:val="99"/>
    <w:semiHidden/>
    <w:rsid w:val="00DA09D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Fellenza Limani</dc:creator>
  <cp:lastModifiedBy>Selvije Elezaj</cp:lastModifiedBy>
  <cp:revision>7</cp:revision>
  <dcterms:created xsi:type="dcterms:W3CDTF">2018-05-24T08:16:00Z</dcterms:created>
  <dcterms:modified xsi:type="dcterms:W3CDTF">2018-05-31T07:23:00Z</dcterms:modified>
</cp:coreProperties>
</file>