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FE8" w:rsidRPr="00014D00" w:rsidRDefault="004F0F68" w:rsidP="004F0F68">
      <w:pPr>
        <w:jc w:val="center"/>
        <w:rPr>
          <w:rFonts w:ascii="Book Antiqua" w:hAnsi="Book Antiqua"/>
          <w:lang w:val="sq-AL"/>
        </w:rPr>
      </w:pPr>
      <w:r w:rsidRPr="00014D00">
        <w:rPr>
          <w:rFonts w:ascii="Book Antiqua" w:hAnsi="Book Antiqua"/>
          <w:noProof/>
          <w:lang w:val="sq-AL" w:eastAsia="sq-AL"/>
        </w:rPr>
        <w:drawing>
          <wp:inline distT="0" distB="0" distL="0" distR="0">
            <wp:extent cx="1133475" cy="1285875"/>
            <wp:effectExtent l="19050" t="0" r="9525" b="0"/>
            <wp:docPr id="4" name="Picture 1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ema_JPG"/>
                    <pic:cNvPicPr>
                      <a:picLocks noChangeAspect="1" noChangeArrowheads="1"/>
                    </pic:cNvPicPr>
                  </pic:nvPicPr>
                  <pic:blipFill>
                    <a:blip r:embed="rId7"/>
                    <a:srcRect/>
                    <a:stretch>
                      <a:fillRect/>
                    </a:stretch>
                  </pic:blipFill>
                  <pic:spPr bwMode="auto">
                    <a:xfrm>
                      <a:off x="0" y="0"/>
                      <a:ext cx="1133475" cy="1285875"/>
                    </a:xfrm>
                    <a:prstGeom prst="rect">
                      <a:avLst/>
                    </a:prstGeom>
                    <a:noFill/>
                    <a:ln w="9525">
                      <a:noFill/>
                      <a:miter lim="800000"/>
                      <a:headEnd/>
                      <a:tailEnd/>
                    </a:ln>
                  </pic:spPr>
                </pic:pic>
              </a:graphicData>
            </a:graphic>
          </wp:inline>
        </w:drawing>
      </w:r>
    </w:p>
    <w:p w:rsidR="004F0F68" w:rsidRPr="00014D00" w:rsidRDefault="004F0F68" w:rsidP="004F0F68">
      <w:pPr>
        <w:jc w:val="center"/>
        <w:rPr>
          <w:rFonts w:ascii="Book Antiqua" w:hAnsi="Book Antiqua"/>
          <w:lang w:val="sq-AL"/>
        </w:rPr>
      </w:pPr>
    </w:p>
    <w:p w:rsidR="004F0F68" w:rsidRPr="00014D00" w:rsidRDefault="004F0F68" w:rsidP="004F0F68">
      <w:pPr>
        <w:spacing w:after="0" w:line="240" w:lineRule="auto"/>
        <w:jc w:val="center"/>
        <w:rPr>
          <w:rFonts w:ascii="Book Antiqua" w:eastAsia="Batang" w:hAnsi="Book Antiqua" w:cs="Times New Roman"/>
          <w:b/>
          <w:bCs/>
          <w:sz w:val="24"/>
          <w:lang w:val="sq-AL"/>
        </w:rPr>
      </w:pPr>
      <w:r w:rsidRPr="00014D00">
        <w:rPr>
          <w:rFonts w:ascii="Book Antiqua" w:eastAsia="Times New Roman" w:hAnsi="Book Antiqua" w:cs="Times New Roman"/>
          <w:b/>
          <w:bCs/>
          <w:sz w:val="24"/>
          <w:lang w:val="sq-AL"/>
        </w:rPr>
        <w:t>Republika e Kosovës</w:t>
      </w:r>
    </w:p>
    <w:p w:rsidR="004F0F68" w:rsidRPr="00014D00" w:rsidRDefault="004F0F68" w:rsidP="004F0F68">
      <w:pPr>
        <w:spacing w:after="0" w:line="240" w:lineRule="auto"/>
        <w:jc w:val="center"/>
        <w:rPr>
          <w:rFonts w:ascii="Book Antiqua" w:eastAsia="Times New Roman" w:hAnsi="Book Antiqua" w:cs="Times New Roman"/>
          <w:b/>
          <w:bCs/>
          <w:sz w:val="24"/>
          <w:lang w:val="sq-AL"/>
        </w:rPr>
      </w:pPr>
      <w:r w:rsidRPr="00014D00">
        <w:rPr>
          <w:rFonts w:ascii="Book Antiqua" w:eastAsia="Batang" w:hAnsi="Book Antiqua" w:cs="Times New Roman"/>
          <w:b/>
          <w:bCs/>
          <w:sz w:val="24"/>
          <w:lang w:val="sq-AL"/>
        </w:rPr>
        <w:t xml:space="preserve">Republika Kosova – </w:t>
      </w:r>
      <w:proofErr w:type="spellStart"/>
      <w:r w:rsidRPr="00014D00">
        <w:rPr>
          <w:rFonts w:ascii="Book Antiqua" w:eastAsia="Times New Roman" w:hAnsi="Book Antiqua" w:cs="Times New Roman"/>
          <w:b/>
          <w:bCs/>
          <w:sz w:val="24"/>
          <w:lang w:val="sq-AL"/>
        </w:rPr>
        <w:t>RepublicofKosovo</w:t>
      </w:r>
      <w:proofErr w:type="spellEnd"/>
    </w:p>
    <w:p w:rsidR="004F0F68" w:rsidRPr="00014D00" w:rsidRDefault="004F0F68" w:rsidP="004F0F68">
      <w:pPr>
        <w:spacing w:after="0" w:line="240" w:lineRule="auto"/>
        <w:jc w:val="center"/>
        <w:rPr>
          <w:rFonts w:ascii="Book Antiqua" w:eastAsia="Times New Roman" w:hAnsi="Book Antiqua" w:cs="Times New Roman"/>
          <w:b/>
          <w:bCs/>
          <w:i/>
          <w:iCs/>
          <w:sz w:val="24"/>
          <w:lang w:val="sq-AL"/>
        </w:rPr>
      </w:pPr>
      <w:r w:rsidRPr="00014D00">
        <w:rPr>
          <w:rFonts w:ascii="Book Antiqua" w:eastAsia="Times New Roman" w:hAnsi="Book Antiqua" w:cs="Times New Roman"/>
          <w:b/>
          <w:bCs/>
          <w:i/>
          <w:iCs/>
          <w:sz w:val="24"/>
          <w:lang w:val="sq-AL"/>
        </w:rPr>
        <w:t xml:space="preserve">Qeveria - </w:t>
      </w:r>
      <w:proofErr w:type="spellStart"/>
      <w:r w:rsidRPr="00014D00">
        <w:rPr>
          <w:rFonts w:ascii="Book Antiqua" w:eastAsia="Times New Roman" w:hAnsi="Book Antiqua" w:cs="Times New Roman"/>
          <w:b/>
          <w:bCs/>
          <w:i/>
          <w:iCs/>
          <w:sz w:val="24"/>
          <w:lang w:val="sq-AL"/>
        </w:rPr>
        <w:t>Vlada</w:t>
      </w:r>
      <w:proofErr w:type="spellEnd"/>
      <w:r w:rsidRPr="00014D00">
        <w:rPr>
          <w:rFonts w:ascii="Book Antiqua" w:eastAsia="Times New Roman" w:hAnsi="Book Antiqua" w:cs="Times New Roman"/>
          <w:b/>
          <w:bCs/>
          <w:i/>
          <w:iCs/>
          <w:sz w:val="24"/>
          <w:lang w:val="sq-AL"/>
        </w:rPr>
        <w:t xml:space="preserve"> - </w:t>
      </w:r>
      <w:proofErr w:type="spellStart"/>
      <w:r w:rsidRPr="00014D00">
        <w:rPr>
          <w:rFonts w:ascii="Book Antiqua" w:eastAsia="Times New Roman" w:hAnsi="Book Antiqua" w:cs="Times New Roman"/>
          <w:b/>
          <w:bCs/>
          <w:i/>
          <w:iCs/>
          <w:sz w:val="24"/>
          <w:lang w:val="sq-AL"/>
        </w:rPr>
        <w:t>Government</w:t>
      </w:r>
      <w:proofErr w:type="spellEnd"/>
    </w:p>
    <w:p w:rsidR="004F0F68" w:rsidRPr="00014D00" w:rsidRDefault="004F0F68" w:rsidP="004F0F68">
      <w:pPr>
        <w:tabs>
          <w:tab w:val="left" w:pos="3834"/>
        </w:tabs>
        <w:spacing w:after="0" w:line="240" w:lineRule="auto"/>
        <w:jc w:val="center"/>
        <w:rPr>
          <w:rFonts w:ascii="Book Antiqua" w:eastAsia="Times New Roman" w:hAnsi="Book Antiqua" w:cs="Times New Roman"/>
          <w:b/>
          <w:sz w:val="24"/>
          <w:lang w:val="sq-AL"/>
        </w:rPr>
      </w:pPr>
    </w:p>
    <w:p w:rsidR="004F0F68" w:rsidRPr="00014D00" w:rsidRDefault="004F0F68" w:rsidP="004F0F68">
      <w:pPr>
        <w:spacing w:after="0" w:line="240" w:lineRule="auto"/>
        <w:jc w:val="center"/>
        <w:rPr>
          <w:rFonts w:ascii="Book Antiqua" w:eastAsia="MS Mincho" w:hAnsi="Book Antiqua" w:cs="Times New Roman"/>
          <w:b/>
          <w:i/>
          <w:iCs/>
          <w:sz w:val="24"/>
          <w:lang w:val="sq-AL"/>
        </w:rPr>
      </w:pPr>
      <w:r w:rsidRPr="00014D00">
        <w:rPr>
          <w:rFonts w:ascii="Book Antiqua" w:eastAsia="MS Mincho" w:hAnsi="Book Antiqua" w:cs="Times New Roman"/>
          <w:b/>
          <w:i/>
          <w:iCs/>
          <w:sz w:val="24"/>
          <w:lang w:val="sq-AL"/>
        </w:rPr>
        <w:t xml:space="preserve">Zyra e Kryeministrit – </w:t>
      </w:r>
      <w:proofErr w:type="spellStart"/>
      <w:r w:rsidRPr="00014D00">
        <w:rPr>
          <w:rFonts w:ascii="Book Antiqua" w:eastAsia="MS Mincho" w:hAnsi="Book Antiqua" w:cs="Times New Roman"/>
          <w:b/>
          <w:i/>
          <w:iCs/>
          <w:sz w:val="24"/>
          <w:lang w:val="sq-AL"/>
        </w:rPr>
        <w:t>UredPremijera</w:t>
      </w:r>
      <w:proofErr w:type="spellEnd"/>
      <w:r w:rsidRPr="00014D00">
        <w:rPr>
          <w:rFonts w:ascii="Book Antiqua" w:eastAsia="MS Mincho" w:hAnsi="Book Antiqua" w:cs="Times New Roman"/>
          <w:b/>
          <w:i/>
          <w:iCs/>
          <w:sz w:val="24"/>
          <w:lang w:val="sq-AL"/>
        </w:rPr>
        <w:t xml:space="preserve"> – Office </w:t>
      </w:r>
      <w:proofErr w:type="spellStart"/>
      <w:r w:rsidRPr="00014D00">
        <w:rPr>
          <w:rFonts w:ascii="Book Antiqua" w:eastAsia="MS Mincho" w:hAnsi="Book Antiqua" w:cs="Times New Roman"/>
          <w:b/>
          <w:i/>
          <w:iCs/>
          <w:sz w:val="24"/>
          <w:lang w:val="sq-AL"/>
        </w:rPr>
        <w:t>of</w:t>
      </w:r>
      <w:proofErr w:type="spellEnd"/>
      <w:r w:rsidRPr="00014D00">
        <w:rPr>
          <w:rFonts w:ascii="Book Antiqua" w:eastAsia="MS Mincho" w:hAnsi="Book Antiqua" w:cs="Times New Roman"/>
          <w:b/>
          <w:i/>
          <w:iCs/>
          <w:sz w:val="24"/>
          <w:lang w:val="sq-AL"/>
        </w:rPr>
        <w:t xml:space="preserve"> the Prime </w:t>
      </w:r>
      <w:proofErr w:type="spellStart"/>
      <w:r w:rsidRPr="00014D00">
        <w:rPr>
          <w:rFonts w:ascii="Book Antiqua" w:eastAsia="MS Mincho" w:hAnsi="Book Antiqua" w:cs="Times New Roman"/>
          <w:b/>
          <w:i/>
          <w:iCs/>
          <w:sz w:val="24"/>
          <w:lang w:val="sq-AL"/>
        </w:rPr>
        <w:t>Minister</w:t>
      </w:r>
      <w:proofErr w:type="spellEnd"/>
    </w:p>
    <w:p w:rsidR="004F0F68" w:rsidRPr="00014D00" w:rsidRDefault="004F0F68" w:rsidP="004F0F68">
      <w:pPr>
        <w:tabs>
          <w:tab w:val="left" w:pos="3834"/>
        </w:tabs>
        <w:jc w:val="center"/>
        <w:rPr>
          <w:rFonts w:ascii="Book Antiqua" w:hAnsi="Book Antiqua"/>
          <w:b/>
          <w:lang w:val="sq-AL"/>
        </w:rPr>
      </w:pPr>
    </w:p>
    <w:p w:rsidR="004F0F68" w:rsidRPr="00014D00" w:rsidRDefault="004F0F68" w:rsidP="004F0F68">
      <w:pPr>
        <w:tabs>
          <w:tab w:val="left" w:pos="3834"/>
        </w:tabs>
        <w:jc w:val="center"/>
        <w:rPr>
          <w:rFonts w:ascii="Book Antiqua" w:hAnsi="Book Antiqua"/>
          <w:b/>
          <w:lang w:val="sq-AL"/>
        </w:rPr>
      </w:pPr>
    </w:p>
    <w:p w:rsidR="004F0F68" w:rsidRPr="00014D00" w:rsidRDefault="004F0F68" w:rsidP="004F0F68">
      <w:pPr>
        <w:tabs>
          <w:tab w:val="left" w:pos="3834"/>
        </w:tabs>
        <w:jc w:val="center"/>
        <w:rPr>
          <w:rFonts w:ascii="Book Antiqua" w:hAnsi="Book Antiqua"/>
          <w:b/>
          <w:lang w:val="sq-AL"/>
        </w:rPr>
      </w:pPr>
    </w:p>
    <w:p w:rsidR="004F0F68" w:rsidRPr="00014D00" w:rsidRDefault="004F0F68" w:rsidP="004F0F68">
      <w:pPr>
        <w:tabs>
          <w:tab w:val="left" w:pos="3834"/>
        </w:tabs>
        <w:jc w:val="center"/>
        <w:rPr>
          <w:rFonts w:ascii="Book Antiqua" w:hAnsi="Book Antiqua"/>
          <w:b/>
          <w:lang w:val="sq-AL"/>
        </w:rPr>
      </w:pPr>
    </w:p>
    <w:p w:rsidR="004F0F68" w:rsidRPr="00014D00" w:rsidRDefault="004F0F68" w:rsidP="004F0F68">
      <w:pPr>
        <w:tabs>
          <w:tab w:val="left" w:pos="3834"/>
        </w:tabs>
        <w:jc w:val="center"/>
        <w:rPr>
          <w:rFonts w:ascii="Book Antiqua" w:hAnsi="Book Antiqua"/>
          <w:b/>
          <w:lang w:val="sq-AL"/>
        </w:rPr>
      </w:pPr>
    </w:p>
    <w:p w:rsidR="004F0F68" w:rsidRPr="00014D00" w:rsidRDefault="004F0F68" w:rsidP="004F0F68">
      <w:pPr>
        <w:tabs>
          <w:tab w:val="left" w:pos="3834"/>
        </w:tabs>
        <w:jc w:val="center"/>
        <w:rPr>
          <w:rFonts w:ascii="Book Antiqua" w:hAnsi="Book Antiqua"/>
          <w:b/>
          <w:lang w:val="sq-AL"/>
        </w:rPr>
      </w:pPr>
    </w:p>
    <w:p w:rsidR="004F0F68" w:rsidRPr="00014D00" w:rsidRDefault="004F0F68" w:rsidP="004F0F68">
      <w:pPr>
        <w:tabs>
          <w:tab w:val="left" w:pos="3834"/>
        </w:tabs>
        <w:jc w:val="center"/>
        <w:rPr>
          <w:rFonts w:ascii="Book Antiqua" w:hAnsi="Book Antiqua"/>
          <w:b/>
          <w:lang w:val="sq-AL"/>
        </w:rPr>
      </w:pPr>
    </w:p>
    <w:p w:rsidR="004F0F68" w:rsidRPr="00014D00" w:rsidRDefault="004F0F68" w:rsidP="004F0F68">
      <w:pPr>
        <w:jc w:val="center"/>
        <w:rPr>
          <w:rFonts w:ascii="Book Antiqua" w:hAnsi="Book Antiqua"/>
          <w:b/>
          <w:lang w:val="sq-AL"/>
        </w:rPr>
      </w:pPr>
    </w:p>
    <w:p w:rsidR="004F0F68" w:rsidRPr="00014D00" w:rsidRDefault="004F0F68" w:rsidP="004F0F68">
      <w:pPr>
        <w:jc w:val="center"/>
        <w:rPr>
          <w:rFonts w:ascii="Book Antiqua" w:hAnsi="Book Antiqua"/>
          <w:b/>
          <w:lang w:val="sq-AL"/>
        </w:rPr>
      </w:pPr>
    </w:p>
    <w:p w:rsidR="004F0F68" w:rsidRPr="00014D00" w:rsidRDefault="009D5F99" w:rsidP="004F0F68">
      <w:pPr>
        <w:jc w:val="center"/>
        <w:rPr>
          <w:rFonts w:ascii="Book Antiqua" w:hAnsi="Book Antiqua"/>
          <w:b/>
          <w:lang w:val="sq-AL"/>
        </w:rPr>
      </w:pPr>
      <w:r w:rsidRPr="00014D00">
        <w:rPr>
          <w:rFonts w:ascii="Book Antiqua" w:hAnsi="Book Antiqua" w:cs="Times New Roman"/>
          <w:b/>
          <w:sz w:val="24"/>
          <w:lang w:val="sq-AL"/>
        </w:rPr>
        <w:t>RAPORT</w:t>
      </w:r>
      <w:r w:rsidR="00FF12F2" w:rsidRPr="00014D00">
        <w:rPr>
          <w:rFonts w:ascii="Book Antiqua" w:hAnsi="Book Antiqua" w:cs="Times New Roman"/>
          <w:b/>
          <w:sz w:val="24"/>
          <w:lang w:val="sq-AL"/>
        </w:rPr>
        <w:t xml:space="preserve"> NGA PROCESI I KONSULTIMIT P</w:t>
      </w:r>
      <w:r w:rsidR="00FA7DC4" w:rsidRPr="00014D00">
        <w:rPr>
          <w:rFonts w:ascii="Book Antiqua" w:hAnsi="Book Antiqua" w:cs="Times New Roman"/>
          <w:b/>
          <w:sz w:val="24"/>
          <w:lang w:val="sq-AL"/>
        </w:rPr>
        <w:t>Ë</w:t>
      </w:r>
      <w:r w:rsidR="00FF12F2" w:rsidRPr="00014D00">
        <w:rPr>
          <w:rFonts w:ascii="Book Antiqua" w:hAnsi="Book Antiqua" w:cs="Times New Roman"/>
          <w:b/>
          <w:sz w:val="24"/>
          <w:lang w:val="sq-AL"/>
        </w:rPr>
        <w:t xml:space="preserve">R </w:t>
      </w:r>
      <w:r w:rsidRPr="00014D00">
        <w:rPr>
          <w:rFonts w:ascii="Book Antiqua" w:hAnsi="Book Antiqua" w:cs="Times New Roman"/>
          <w:b/>
          <w:sz w:val="24"/>
          <w:lang w:val="sq-AL"/>
        </w:rPr>
        <w:t>PROGRAMIN E REFORMAVE NË EKONOMI 2018-2020</w:t>
      </w:r>
    </w:p>
    <w:p w:rsidR="004F0F68" w:rsidRPr="00014D00" w:rsidRDefault="004F0F68" w:rsidP="004F0F68">
      <w:pPr>
        <w:jc w:val="center"/>
        <w:rPr>
          <w:rFonts w:ascii="Book Antiqua" w:hAnsi="Book Antiqua"/>
          <w:b/>
          <w:lang w:val="sq-AL"/>
        </w:rPr>
      </w:pPr>
    </w:p>
    <w:p w:rsidR="004F0F68" w:rsidRPr="00014D00" w:rsidRDefault="004F0F68" w:rsidP="004F0F68">
      <w:pPr>
        <w:jc w:val="center"/>
        <w:rPr>
          <w:rFonts w:ascii="Book Antiqua" w:hAnsi="Book Antiqua"/>
          <w:b/>
          <w:lang w:val="sq-AL"/>
        </w:rPr>
      </w:pPr>
    </w:p>
    <w:p w:rsidR="004F0F68" w:rsidRPr="00014D00" w:rsidRDefault="004F0F68" w:rsidP="004F0F68">
      <w:pPr>
        <w:jc w:val="center"/>
        <w:rPr>
          <w:rFonts w:ascii="Book Antiqua" w:hAnsi="Book Antiqua"/>
          <w:b/>
          <w:lang w:val="sq-AL"/>
        </w:rPr>
      </w:pPr>
    </w:p>
    <w:p w:rsidR="004F0F68" w:rsidRPr="00014D00" w:rsidRDefault="004F0F68" w:rsidP="004F0F68">
      <w:pPr>
        <w:jc w:val="center"/>
        <w:rPr>
          <w:rFonts w:ascii="Book Antiqua" w:hAnsi="Book Antiqua"/>
          <w:b/>
          <w:lang w:val="sq-AL"/>
        </w:rPr>
      </w:pPr>
    </w:p>
    <w:p w:rsidR="004F0F68" w:rsidRPr="00014D00" w:rsidRDefault="004F0F68" w:rsidP="004F0F68">
      <w:pPr>
        <w:jc w:val="center"/>
        <w:rPr>
          <w:rFonts w:ascii="Book Antiqua" w:hAnsi="Book Antiqua"/>
          <w:b/>
          <w:lang w:val="sq-AL"/>
        </w:rPr>
      </w:pPr>
    </w:p>
    <w:p w:rsidR="004F0F68" w:rsidRPr="00014D00" w:rsidRDefault="004F0F68" w:rsidP="004F0F68">
      <w:pPr>
        <w:jc w:val="center"/>
        <w:rPr>
          <w:rFonts w:ascii="Book Antiqua" w:hAnsi="Book Antiqua"/>
          <w:b/>
          <w:i/>
          <w:iCs/>
          <w:lang w:val="sq-AL"/>
        </w:rPr>
      </w:pPr>
    </w:p>
    <w:p w:rsidR="004F0F68" w:rsidRPr="00014D00" w:rsidRDefault="004F0F68" w:rsidP="004F0F68">
      <w:pPr>
        <w:jc w:val="center"/>
        <w:rPr>
          <w:rFonts w:ascii="Book Antiqua" w:hAnsi="Book Antiqua"/>
          <w:b/>
          <w:i/>
          <w:iCs/>
          <w:lang w:val="sq-AL"/>
        </w:rPr>
      </w:pPr>
    </w:p>
    <w:p w:rsidR="009D5F99" w:rsidRPr="00014D00" w:rsidRDefault="009D5F99" w:rsidP="004F0F68">
      <w:pPr>
        <w:jc w:val="center"/>
        <w:rPr>
          <w:rFonts w:ascii="Book Antiqua" w:hAnsi="Book Antiqua" w:cs="Times New Roman"/>
          <w:b/>
          <w:sz w:val="24"/>
          <w:lang w:val="sq-AL"/>
        </w:rPr>
      </w:pPr>
      <w:r w:rsidRPr="00014D00">
        <w:rPr>
          <w:rFonts w:ascii="Book Antiqua" w:hAnsi="Book Antiqua" w:cs="Times New Roman"/>
          <w:b/>
          <w:sz w:val="24"/>
          <w:lang w:val="sq-AL"/>
        </w:rPr>
        <w:t>Prishtinë, 2018</w:t>
      </w:r>
    </w:p>
    <w:p w:rsidR="009D5F99" w:rsidRPr="00014D00" w:rsidRDefault="009D5F99">
      <w:pPr>
        <w:rPr>
          <w:rFonts w:ascii="Book Antiqua" w:hAnsi="Book Antiqua" w:cs="Times New Roman"/>
          <w:b/>
          <w:sz w:val="24"/>
          <w:lang w:val="sq-AL"/>
        </w:rPr>
      </w:pPr>
      <w:r w:rsidRPr="00014D00">
        <w:rPr>
          <w:rFonts w:ascii="Book Antiqua" w:hAnsi="Book Antiqua" w:cs="Times New Roman"/>
          <w:b/>
          <w:sz w:val="24"/>
          <w:lang w:val="sq-AL"/>
        </w:rPr>
        <w:br w:type="page"/>
      </w:r>
    </w:p>
    <w:p w:rsidR="00FF12F2" w:rsidRPr="00014D00" w:rsidRDefault="00FF12F2" w:rsidP="004F0F68">
      <w:pPr>
        <w:jc w:val="center"/>
        <w:rPr>
          <w:rFonts w:ascii="Book Antiqua" w:hAnsi="Book Antiqua" w:cs="Times New Roman"/>
          <w:b/>
          <w:sz w:val="24"/>
          <w:lang w:val="sq-AL"/>
        </w:rPr>
      </w:pPr>
      <w:r w:rsidRPr="00014D00">
        <w:rPr>
          <w:rFonts w:ascii="Book Antiqua" w:hAnsi="Book Antiqua" w:cs="Times New Roman"/>
          <w:b/>
          <w:sz w:val="24"/>
          <w:lang w:val="sq-AL"/>
        </w:rPr>
        <w:lastRenderedPageBreak/>
        <w:t>Hyrje</w:t>
      </w:r>
    </w:p>
    <w:p w:rsidR="00026493" w:rsidRPr="00014D00" w:rsidRDefault="00026493" w:rsidP="00026493">
      <w:pPr>
        <w:jc w:val="both"/>
        <w:rPr>
          <w:rFonts w:ascii="Book Antiqua" w:hAnsi="Book Antiqua" w:cs="Times New Roman"/>
          <w:sz w:val="24"/>
          <w:szCs w:val="24"/>
          <w:lang w:val="sq-AL"/>
        </w:rPr>
      </w:pPr>
      <w:r w:rsidRPr="00014D00">
        <w:rPr>
          <w:rFonts w:ascii="Book Antiqua" w:hAnsi="Book Antiqua" w:cs="Times New Roman"/>
          <w:sz w:val="24"/>
          <w:szCs w:val="24"/>
          <w:lang w:val="sq-AL"/>
        </w:rPr>
        <w:t xml:space="preserve">Kosova ka vendosur raportet </w:t>
      </w:r>
      <w:proofErr w:type="spellStart"/>
      <w:r w:rsidRPr="00014D00">
        <w:rPr>
          <w:rFonts w:ascii="Book Antiqua" w:hAnsi="Book Antiqua" w:cs="Times New Roman"/>
          <w:sz w:val="24"/>
          <w:szCs w:val="24"/>
          <w:lang w:val="sq-AL"/>
        </w:rPr>
        <w:t>kontraktuale</w:t>
      </w:r>
      <w:proofErr w:type="spellEnd"/>
      <w:r w:rsidRPr="00014D00">
        <w:rPr>
          <w:rFonts w:ascii="Book Antiqua" w:hAnsi="Book Antiqua" w:cs="Times New Roman"/>
          <w:sz w:val="24"/>
          <w:szCs w:val="24"/>
          <w:lang w:val="sq-AL"/>
        </w:rPr>
        <w:t xml:space="preserve"> me Bashkimin Evropian përmes Marrëveshjes për Stabilizim </w:t>
      </w:r>
      <w:proofErr w:type="spellStart"/>
      <w:r w:rsidRPr="00014D00">
        <w:rPr>
          <w:rFonts w:ascii="Book Antiqua" w:hAnsi="Book Antiqua" w:cs="Times New Roman"/>
          <w:sz w:val="24"/>
          <w:szCs w:val="24"/>
          <w:lang w:val="sq-AL"/>
        </w:rPr>
        <w:t>Asociim</w:t>
      </w:r>
      <w:proofErr w:type="spellEnd"/>
      <w:r w:rsidRPr="00014D00">
        <w:rPr>
          <w:rFonts w:ascii="Book Antiqua" w:hAnsi="Book Antiqua" w:cs="Times New Roman"/>
          <w:sz w:val="24"/>
          <w:szCs w:val="24"/>
          <w:lang w:val="sq-AL"/>
        </w:rPr>
        <w:t xml:space="preserve">, </w:t>
      </w:r>
      <w:r w:rsidR="00251C4F" w:rsidRPr="00014D00">
        <w:rPr>
          <w:rFonts w:ascii="Book Antiqua" w:hAnsi="Book Antiqua" w:cs="Times New Roman"/>
          <w:sz w:val="24"/>
          <w:szCs w:val="24"/>
          <w:lang w:val="sq-AL"/>
        </w:rPr>
        <w:t xml:space="preserve">dhe mbi këtë bazë </w:t>
      </w:r>
      <w:r w:rsidRPr="00014D00">
        <w:rPr>
          <w:rFonts w:ascii="Book Antiqua" w:hAnsi="Book Antiqua" w:cs="Times New Roman"/>
          <w:sz w:val="24"/>
          <w:szCs w:val="24"/>
          <w:lang w:val="sq-AL"/>
        </w:rPr>
        <w:t xml:space="preserve">Kosova është ftuar që të përfshihet në dialogun e strukturuar mbi qeverisjen ekonomike, si pjesë e pandashme e bashkëpunimit të vazhdueshëm institucional mes Kosovës dhe BE-së. </w:t>
      </w:r>
    </w:p>
    <w:p w:rsidR="00026493" w:rsidRPr="00014D00" w:rsidRDefault="00026493" w:rsidP="00026493">
      <w:pPr>
        <w:jc w:val="both"/>
        <w:rPr>
          <w:rFonts w:ascii="Book Antiqua" w:hAnsi="Book Antiqua" w:cs="Times New Roman"/>
          <w:sz w:val="24"/>
          <w:szCs w:val="24"/>
          <w:lang w:val="sq-AL"/>
        </w:rPr>
      </w:pPr>
      <w:r w:rsidRPr="00014D00">
        <w:rPr>
          <w:rFonts w:ascii="Book Antiqua" w:hAnsi="Book Antiqua" w:cs="Times New Roman"/>
          <w:sz w:val="24"/>
          <w:szCs w:val="24"/>
          <w:lang w:val="sq-AL"/>
        </w:rPr>
        <w:t xml:space="preserve">PRE është dokument që hartohet në baza të rregullta vjetore përmes të cilit, duke lidhur kornizën afatmesme makro-fiskale dhe politikat ekonomike me prioritet për Qeverinë, qartësohet procesi i implementimit të reformave. PRE përmban projeksionet afatmesme makroekonomike (duke përfshirë rritjen e BPV-së, inflacionit, bilancin tregtarë dhe qarkullimi i kapitalit), planet buxhetore për tri vitet e ardhshme dhe një agjendë të reformave strukturore e cila përfshinë reforma për shtytjen e </w:t>
      </w:r>
      <w:proofErr w:type="spellStart"/>
      <w:r w:rsidRPr="00014D00">
        <w:rPr>
          <w:rFonts w:ascii="Book Antiqua" w:hAnsi="Book Antiqua" w:cs="Times New Roman"/>
          <w:sz w:val="24"/>
          <w:szCs w:val="24"/>
          <w:lang w:val="sq-AL"/>
        </w:rPr>
        <w:t>konkurrueshmërisë</w:t>
      </w:r>
      <w:proofErr w:type="spellEnd"/>
      <w:r w:rsidRPr="00014D00">
        <w:rPr>
          <w:rFonts w:ascii="Book Antiqua" w:hAnsi="Book Antiqua" w:cs="Times New Roman"/>
          <w:sz w:val="24"/>
          <w:szCs w:val="24"/>
          <w:lang w:val="sq-AL"/>
        </w:rPr>
        <w:t xml:space="preserve"> dhe përmirësimin e kushteve për rritje gjithëpërfshirëse dhe krijim të vendeve të punës. </w:t>
      </w:r>
    </w:p>
    <w:p w:rsidR="002E6577" w:rsidRPr="00014D00" w:rsidRDefault="002E6577" w:rsidP="002E6577">
      <w:pPr>
        <w:jc w:val="both"/>
        <w:rPr>
          <w:rFonts w:ascii="Book Antiqua" w:hAnsi="Book Antiqua" w:cs="Times New Roman"/>
          <w:sz w:val="24"/>
          <w:szCs w:val="24"/>
          <w:lang w:val="sq-AL"/>
        </w:rPr>
      </w:pPr>
      <w:r w:rsidRPr="00014D00">
        <w:rPr>
          <w:rFonts w:ascii="Book Antiqua" w:hAnsi="Book Antiqua" w:cs="Times New Roman"/>
          <w:sz w:val="24"/>
          <w:szCs w:val="24"/>
          <w:lang w:val="sq-AL"/>
        </w:rPr>
        <w:t xml:space="preserve">Me qëllim të koordinimit sa më të mirë të procesit të hartimit të PRE dhe duke u bazuar në udhëzuesin e Komisionit Evropian, qeveria e Kosovës ka emëruar Ministrin e Financave si koordinator nacional për PRE. Koordinatori në nivel teknik është mbështetur nga: Departamentit për Politika Ekonomike dhe Publike të Ministrisë së Financave për pjesën e kornizës </w:t>
      </w:r>
      <w:proofErr w:type="spellStart"/>
      <w:r w:rsidRPr="00014D00">
        <w:rPr>
          <w:rFonts w:ascii="Book Antiqua" w:hAnsi="Book Antiqua" w:cs="Times New Roman"/>
          <w:sz w:val="24"/>
          <w:szCs w:val="24"/>
          <w:lang w:val="sq-AL"/>
        </w:rPr>
        <w:t>makrofiskale</w:t>
      </w:r>
      <w:proofErr w:type="spellEnd"/>
      <w:r w:rsidRPr="00014D00">
        <w:rPr>
          <w:rFonts w:ascii="Book Antiqua" w:hAnsi="Book Antiqua" w:cs="Times New Roman"/>
          <w:sz w:val="24"/>
          <w:szCs w:val="24"/>
          <w:lang w:val="sq-AL"/>
        </w:rPr>
        <w:t xml:space="preserve"> dhe Zyra për Planifikim Strategjik e Kryeministrit për pjesën e agjendës së reformave strukturore. </w:t>
      </w:r>
    </w:p>
    <w:p w:rsidR="00385E8E" w:rsidRPr="00014D00" w:rsidRDefault="00385E8E" w:rsidP="00385E8E">
      <w:pPr>
        <w:jc w:val="both"/>
        <w:rPr>
          <w:rFonts w:ascii="Book Antiqua" w:hAnsi="Book Antiqua" w:cs="Times New Roman"/>
          <w:sz w:val="24"/>
          <w:szCs w:val="24"/>
          <w:lang w:val="sq-AL"/>
        </w:rPr>
      </w:pPr>
      <w:r w:rsidRPr="00014D00">
        <w:rPr>
          <w:rFonts w:ascii="Book Antiqua" w:hAnsi="Book Antiqua" w:cs="Times New Roman"/>
          <w:sz w:val="24"/>
          <w:szCs w:val="24"/>
          <w:lang w:val="sq-AL"/>
        </w:rPr>
        <w:t>Struktura dhe përmbajtja e PRE-së janë të para-caktuara nga Komisioni Evropian (‘</w:t>
      </w:r>
      <w:proofErr w:type="spellStart"/>
      <w:r w:rsidRPr="00014D00">
        <w:rPr>
          <w:rFonts w:ascii="Book Antiqua" w:hAnsi="Book Antiqua" w:cs="Times New Roman"/>
          <w:sz w:val="24"/>
          <w:szCs w:val="24"/>
          <w:lang w:val="sq-AL"/>
        </w:rPr>
        <w:t>EuropeanCommissionGuidance</w:t>
      </w:r>
      <w:proofErr w:type="spellEnd"/>
      <w:r w:rsidRPr="00014D00">
        <w:rPr>
          <w:rFonts w:ascii="Book Antiqua" w:hAnsi="Book Antiqua" w:cs="Times New Roman"/>
          <w:sz w:val="24"/>
          <w:szCs w:val="24"/>
          <w:lang w:val="sq-AL"/>
        </w:rPr>
        <w:t xml:space="preserve"> Note </w:t>
      </w:r>
      <w:proofErr w:type="spellStart"/>
      <w:r w:rsidRPr="00014D00">
        <w:rPr>
          <w:rFonts w:ascii="Book Antiqua" w:hAnsi="Book Antiqua" w:cs="Times New Roman"/>
          <w:sz w:val="24"/>
          <w:szCs w:val="24"/>
          <w:lang w:val="sq-AL"/>
        </w:rPr>
        <w:t>on</w:t>
      </w:r>
      <w:proofErr w:type="spellEnd"/>
      <w:r w:rsidRPr="00014D00">
        <w:rPr>
          <w:rFonts w:ascii="Book Antiqua" w:hAnsi="Book Antiqua" w:cs="Times New Roman"/>
          <w:sz w:val="24"/>
          <w:szCs w:val="24"/>
          <w:lang w:val="sq-AL"/>
        </w:rPr>
        <w:t xml:space="preserve"> ERP). Programi përbëhet nga tre kapituj kryesor dhe përfshinë: kornizën makroekonomike, kornizën fiskale dhe prioritetet e reformave strukturore për tri vitet e ardhshme.</w:t>
      </w:r>
    </w:p>
    <w:p w:rsidR="00251C4F" w:rsidRPr="00014D00" w:rsidRDefault="002E6577" w:rsidP="002E6577">
      <w:pPr>
        <w:jc w:val="both"/>
        <w:rPr>
          <w:rFonts w:ascii="Book Antiqua" w:hAnsi="Book Antiqua" w:cs="Times New Roman"/>
          <w:sz w:val="24"/>
          <w:szCs w:val="24"/>
          <w:lang w:val="sq-AL"/>
        </w:rPr>
      </w:pPr>
      <w:r w:rsidRPr="00014D00">
        <w:rPr>
          <w:rFonts w:ascii="Book Antiqua" w:hAnsi="Book Antiqua" w:cs="Times New Roman"/>
          <w:sz w:val="24"/>
          <w:szCs w:val="24"/>
          <w:lang w:val="sq-AL"/>
        </w:rPr>
        <w:t xml:space="preserve">Për agjendën e reformave strukturore, janë emëruar edhe koordinatorët e fushave siç është përcaktuar me udhëzimet e KE, si në vijim: Menaxhimi i Financave Publike, Tregjet e Energjisë, Transportit dhe Telekomunikacionit; Zhvillimet Sektoriale (bujqësia, industria dhe shërbimet); Mjedisi i të bërit biznes dhe ulja e ekonomisë jo-formale; Hulumtimet dhe Inovacioni; Tregtia e jashtme dhe lehtësimi i investimeve; Arsimi dhe shkathtësitë; Tregu i punës dhe punësimi; dhe Përfshirja sociale, ulja e varfërisë dhe mundësitë e barabarta. </w:t>
      </w:r>
    </w:p>
    <w:p w:rsidR="00F02A9A" w:rsidRPr="00014D00" w:rsidRDefault="00F02A9A" w:rsidP="000A3D80">
      <w:pPr>
        <w:jc w:val="both"/>
        <w:rPr>
          <w:rFonts w:ascii="Book Antiqua" w:hAnsi="Book Antiqua" w:cs="Times New Roman"/>
          <w:sz w:val="24"/>
          <w:szCs w:val="24"/>
          <w:lang w:val="sq-AL"/>
        </w:rPr>
      </w:pPr>
      <w:r w:rsidRPr="00014D00">
        <w:rPr>
          <w:rFonts w:ascii="Book Antiqua" w:hAnsi="Book Antiqua" w:cs="Times New Roman"/>
          <w:sz w:val="24"/>
          <w:szCs w:val="24"/>
          <w:lang w:val="sq-AL"/>
        </w:rPr>
        <w:t xml:space="preserve">Në fazën e planifikimit të </w:t>
      </w:r>
      <w:r w:rsidR="006777D2" w:rsidRPr="00014D00">
        <w:rPr>
          <w:rFonts w:ascii="Book Antiqua" w:hAnsi="Book Antiqua" w:cs="Times New Roman"/>
          <w:b/>
          <w:sz w:val="24"/>
          <w:szCs w:val="24"/>
          <w:lang w:val="sq-AL"/>
        </w:rPr>
        <w:t>Programit për Reforma në Ekonomi 2018-2020</w:t>
      </w:r>
      <w:r w:rsidRPr="00014D00">
        <w:rPr>
          <w:rFonts w:ascii="Book Antiqua" w:hAnsi="Book Antiqua" w:cs="Times New Roman"/>
          <w:sz w:val="24"/>
          <w:szCs w:val="24"/>
          <w:lang w:val="sq-AL"/>
        </w:rPr>
        <w:t>janë mbajtur</w:t>
      </w:r>
      <w:r w:rsidR="006777D2" w:rsidRPr="00014D00">
        <w:rPr>
          <w:rFonts w:ascii="Book Antiqua" w:hAnsi="Book Antiqua" w:cs="Times New Roman"/>
          <w:sz w:val="24"/>
          <w:szCs w:val="24"/>
          <w:lang w:val="sq-AL"/>
        </w:rPr>
        <w:t xml:space="preserve"> takime individuale më të gjithë koordinatorët </w:t>
      </w:r>
      <w:r w:rsidRPr="00014D00">
        <w:rPr>
          <w:rFonts w:ascii="Book Antiqua" w:hAnsi="Book Antiqua" w:cs="Times New Roman"/>
          <w:sz w:val="24"/>
          <w:szCs w:val="24"/>
          <w:lang w:val="sq-AL"/>
        </w:rPr>
        <w:t>në ministri</w:t>
      </w:r>
      <w:r w:rsidR="00385E8E" w:rsidRPr="00014D00">
        <w:rPr>
          <w:rFonts w:ascii="Book Antiqua" w:hAnsi="Book Antiqua" w:cs="Times New Roman"/>
          <w:sz w:val="24"/>
          <w:szCs w:val="24"/>
          <w:lang w:val="sq-AL"/>
        </w:rPr>
        <w:t>të përkatëse</w:t>
      </w:r>
      <w:r w:rsidRPr="00014D00">
        <w:rPr>
          <w:rFonts w:ascii="Book Antiqua" w:hAnsi="Book Antiqua" w:cs="Times New Roman"/>
          <w:sz w:val="24"/>
          <w:szCs w:val="24"/>
          <w:lang w:val="sq-AL"/>
        </w:rPr>
        <w:t>, ndërsa gjatë zhvillimit të do</w:t>
      </w:r>
      <w:r w:rsidR="006777D2" w:rsidRPr="00014D00">
        <w:rPr>
          <w:rFonts w:ascii="Book Antiqua" w:hAnsi="Book Antiqua" w:cs="Times New Roman"/>
          <w:sz w:val="24"/>
          <w:szCs w:val="24"/>
          <w:lang w:val="sq-AL"/>
        </w:rPr>
        <w:t xml:space="preserve">kumentit janë mbajtur edhe takime të larta të nivelit politik por edhe </w:t>
      </w:r>
      <w:r w:rsidRPr="00014D00">
        <w:rPr>
          <w:rFonts w:ascii="Book Antiqua" w:hAnsi="Book Antiqua" w:cs="Times New Roman"/>
          <w:sz w:val="24"/>
          <w:szCs w:val="24"/>
          <w:lang w:val="sq-AL"/>
        </w:rPr>
        <w:t xml:space="preserve">punëtori me </w:t>
      </w:r>
      <w:r w:rsidR="00385E8E" w:rsidRPr="00014D00">
        <w:rPr>
          <w:rFonts w:ascii="Book Antiqua" w:hAnsi="Book Antiqua" w:cs="Times New Roman"/>
          <w:sz w:val="24"/>
          <w:szCs w:val="24"/>
          <w:lang w:val="sq-AL"/>
        </w:rPr>
        <w:t xml:space="preserve">përfaqësues të ministrive, </w:t>
      </w:r>
      <w:r w:rsidR="006777D2" w:rsidRPr="00014D00">
        <w:rPr>
          <w:rFonts w:ascii="Book Antiqua" w:hAnsi="Book Antiqua" w:cs="Times New Roman"/>
          <w:sz w:val="24"/>
          <w:szCs w:val="24"/>
          <w:lang w:val="sq-AL"/>
        </w:rPr>
        <w:t>shoqëri civile</w:t>
      </w:r>
      <w:r w:rsidRPr="00014D00">
        <w:rPr>
          <w:rFonts w:ascii="Book Antiqua" w:hAnsi="Book Antiqua" w:cs="Times New Roman"/>
          <w:sz w:val="24"/>
          <w:szCs w:val="24"/>
          <w:lang w:val="sq-AL"/>
        </w:rPr>
        <w:t xml:space="preserve">, </w:t>
      </w:r>
      <w:r w:rsidR="00385E8E" w:rsidRPr="00014D00">
        <w:rPr>
          <w:rFonts w:ascii="Book Antiqua" w:hAnsi="Book Antiqua" w:cs="Times New Roman"/>
          <w:sz w:val="24"/>
          <w:szCs w:val="24"/>
          <w:lang w:val="sq-AL"/>
        </w:rPr>
        <w:t xml:space="preserve">përfaqësues të biznesit dhe </w:t>
      </w:r>
      <w:proofErr w:type="spellStart"/>
      <w:r w:rsidR="00385E8E" w:rsidRPr="00014D00">
        <w:rPr>
          <w:rFonts w:ascii="Book Antiqua" w:hAnsi="Book Antiqua" w:cs="Times New Roman"/>
          <w:sz w:val="24"/>
          <w:szCs w:val="24"/>
          <w:lang w:val="sq-AL"/>
        </w:rPr>
        <w:t>akterë</w:t>
      </w:r>
      <w:proofErr w:type="spellEnd"/>
      <w:r w:rsidR="00385E8E" w:rsidRPr="00014D00">
        <w:rPr>
          <w:rFonts w:ascii="Book Antiqua" w:hAnsi="Book Antiqua" w:cs="Times New Roman"/>
          <w:sz w:val="24"/>
          <w:szCs w:val="24"/>
          <w:lang w:val="sq-AL"/>
        </w:rPr>
        <w:t xml:space="preserve"> të tjerë relevantë.</w:t>
      </w:r>
    </w:p>
    <w:p w:rsidR="006413D8" w:rsidRPr="00014D00" w:rsidRDefault="006777D2" w:rsidP="000A3D80">
      <w:pPr>
        <w:jc w:val="both"/>
        <w:rPr>
          <w:rFonts w:ascii="Book Antiqua" w:hAnsi="Book Antiqua" w:cs="Times New Roman"/>
          <w:sz w:val="24"/>
          <w:szCs w:val="24"/>
          <w:lang w:val="sq-AL"/>
        </w:rPr>
      </w:pPr>
      <w:r w:rsidRPr="00014D00">
        <w:rPr>
          <w:rFonts w:ascii="Book Antiqua" w:hAnsi="Book Antiqua" w:cs="Times New Roman"/>
          <w:b/>
          <w:sz w:val="24"/>
          <w:lang w:val="sq-AL"/>
        </w:rPr>
        <w:t xml:space="preserve">Programi i Reformave në Ekonomi 2018-2020 </w:t>
      </w:r>
      <w:r w:rsidR="002112A2" w:rsidRPr="00014D00">
        <w:rPr>
          <w:rFonts w:ascii="Book Antiqua" w:hAnsi="Book Antiqua" w:cs="Times New Roman"/>
          <w:sz w:val="24"/>
          <w:szCs w:val="24"/>
          <w:lang w:val="sq-AL"/>
        </w:rPr>
        <w:t xml:space="preserve">i </w:t>
      </w:r>
      <w:r w:rsidR="00FA7DC4" w:rsidRPr="00014D00">
        <w:rPr>
          <w:rFonts w:ascii="Book Antiqua" w:hAnsi="Book Antiqua" w:cs="Times New Roman"/>
          <w:sz w:val="24"/>
          <w:szCs w:val="24"/>
          <w:lang w:val="sq-AL"/>
        </w:rPr>
        <w:t>ë</w:t>
      </w:r>
      <w:r w:rsidR="002112A2" w:rsidRPr="00014D00">
        <w:rPr>
          <w:rFonts w:ascii="Book Antiqua" w:hAnsi="Book Antiqua" w:cs="Times New Roman"/>
          <w:sz w:val="24"/>
          <w:szCs w:val="24"/>
          <w:lang w:val="sq-AL"/>
        </w:rPr>
        <w:t>sht</w:t>
      </w:r>
      <w:r w:rsidR="00FA7DC4" w:rsidRPr="00014D00">
        <w:rPr>
          <w:rFonts w:ascii="Book Antiqua" w:hAnsi="Book Antiqua" w:cs="Times New Roman"/>
          <w:sz w:val="24"/>
          <w:szCs w:val="24"/>
          <w:lang w:val="sq-AL"/>
        </w:rPr>
        <w:t>ë</w:t>
      </w:r>
      <w:r w:rsidR="002112A2" w:rsidRPr="00014D00">
        <w:rPr>
          <w:rFonts w:ascii="Book Antiqua" w:hAnsi="Book Antiqua" w:cs="Times New Roman"/>
          <w:sz w:val="24"/>
          <w:szCs w:val="24"/>
          <w:lang w:val="sq-AL"/>
        </w:rPr>
        <w:t xml:space="preserve"> n</w:t>
      </w:r>
      <w:r w:rsidR="00FA7DC4" w:rsidRPr="00014D00">
        <w:rPr>
          <w:rFonts w:ascii="Book Antiqua" w:hAnsi="Book Antiqua" w:cs="Times New Roman"/>
          <w:sz w:val="24"/>
          <w:szCs w:val="24"/>
          <w:lang w:val="sq-AL"/>
        </w:rPr>
        <w:t>ë</w:t>
      </w:r>
      <w:r w:rsidR="002112A2" w:rsidRPr="00014D00">
        <w:rPr>
          <w:rFonts w:ascii="Book Antiqua" w:hAnsi="Book Antiqua" w:cs="Times New Roman"/>
          <w:sz w:val="24"/>
          <w:szCs w:val="24"/>
          <w:lang w:val="sq-AL"/>
        </w:rPr>
        <w:t>nshtruar edhe konsultimeve nd</w:t>
      </w:r>
      <w:r w:rsidR="00FA7DC4" w:rsidRPr="00014D00">
        <w:rPr>
          <w:rFonts w:ascii="Book Antiqua" w:hAnsi="Book Antiqua" w:cs="Times New Roman"/>
          <w:sz w:val="24"/>
          <w:szCs w:val="24"/>
          <w:lang w:val="sq-AL"/>
        </w:rPr>
        <w:t>ë</w:t>
      </w:r>
      <w:r w:rsidR="002112A2" w:rsidRPr="00014D00">
        <w:rPr>
          <w:rFonts w:ascii="Book Antiqua" w:hAnsi="Book Antiqua" w:cs="Times New Roman"/>
          <w:sz w:val="24"/>
          <w:szCs w:val="24"/>
          <w:lang w:val="sq-AL"/>
        </w:rPr>
        <w:t>rministrore, n</w:t>
      </w:r>
      <w:r w:rsidR="00FA7DC4" w:rsidRPr="00014D00">
        <w:rPr>
          <w:rFonts w:ascii="Book Antiqua" w:hAnsi="Book Antiqua" w:cs="Times New Roman"/>
          <w:sz w:val="24"/>
          <w:szCs w:val="24"/>
          <w:lang w:val="sq-AL"/>
        </w:rPr>
        <w:t>ë</w:t>
      </w:r>
      <w:r w:rsidR="002112A2" w:rsidRPr="00014D00">
        <w:rPr>
          <w:rFonts w:ascii="Book Antiqua" w:hAnsi="Book Antiqua" w:cs="Times New Roman"/>
          <w:sz w:val="24"/>
          <w:szCs w:val="24"/>
          <w:lang w:val="sq-AL"/>
        </w:rPr>
        <w:t xml:space="preserve"> p</w:t>
      </w:r>
      <w:r w:rsidR="00FA7DC4" w:rsidRPr="00014D00">
        <w:rPr>
          <w:rFonts w:ascii="Book Antiqua" w:hAnsi="Book Antiqua" w:cs="Times New Roman"/>
          <w:sz w:val="24"/>
          <w:szCs w:val="24"/>
          <w:lang w:val="sq-AL"/>
        </w:rPr>
        <w:t>ë</w:t>
      </w:r>
      <w:r w:rsidR="002112A2" w:rsidRPr="00014D00">
        <w:rPr>
          <w:rFonts w:ascii="Book Antiqua" w:hAnsi="Book Antiqua" w:cs="Times New Roman"/>
          <w:sz w:val="24"/>
          <w:szCs w:val="24"/>
          <w:lang w:val="sq-AL"/>
        </w:rPr>
        <w:t>rputhje me nenin 7 t</w:t>
      </w:r>
      <w:r w:rsidR="00FA7DC4" w:rsidRPr="00014D00">
        <w:rPr>
          <w:rFonts w:ascii="Book Antiqua" w:hAnsi="Book Antiqua" w:cs="Times New Roman"/>
          <w:sz w:val="24"/>
          <w:szCs w:val="24"/>
          <w:lang w:val="sq-AL"/>
        </w:rPr>
        <w:t>ë</w:t>
      </w:r>
      <w:r w:rsidR="002112A2" w:rsidRPr="00014D00">
        <w:rPr>
          <w:rFonts w:ascii="Book Antiqua" w:hAnsi="Book Antiqua" w:cs="Times New Roman"/>
          <w:sz w:val="24"/>
          <w:szCs w:val="24"/>
          <w:lang w:val="sq-AL"/>
        </w:rPr>
        <w:t xml:space="preserve"> Rregullores s</w:t>
      </w:r>
      <w:r w:rsidR="00FA7DC4" w:rsidRPr="00014D00">
        <w:rPr>
          <w:rFonts w:ascii="Book Antiqua" w:hAnsi="Book Antiqua" w:cs="Times New Roman"/>
          <w:sz w:val="24"/>
          <w:szCs w:val="24"/>
          <w:lang w:val="sq-AL"/>
        </w:rPr>
        <w:t>ë</w:t>
      </w:r>
      <w:r w:rsidR="002112A2" w:rsidRPr="00014D00">
        <w:rPr>
          <w:rFonts w:ascii="Book Antiqua" w:hAnsi="Book Antiqua" w:cs="Times New Roman"/>
          <w:sz w:val="24"/>
          <w:szCs w:val="24"/>
          <w:lang w:val="sq-AL"/>
        </w:rPr>
        <w:t xml:space="preserve"> Pun</w:t>
      </w:r>
      <w:r w:rsidR="00FA7DC4" w:rsidRPr="00014D00">
        <w:rPr>
          <w:rFonts w:ascii="Book Antiqua" w:hAnsi="Book Antiqua" w:cs="Times New Roman"/>
          <w:sz w:val="24"/>
          <w:szCs w:val="24"/>
          <w:lang w:val="sq-AL"/>
        </w:rPr>
        <w:t>ë</w:t>
      </w:r>
      <w:r w:rsidR="002112A2" w:rsidRPr="00014D00">
        <w:rPr>
          <w:rFonts w:ascii="Book Antiqua" w:hAnsi="Book Antiqua" w:cs="Times New Roman"/>
          <w:sz w:val="24"/>
          <w:szCs w:val="24"/>
          <w:lang w:val="sq-AL"/>
        </w:rPr>
        <w:t>s s</w:t>
      </w:r>
      <w:r w:rsidR="00FA7DC4" w:rsidRPr="00014D00">
        <w:rPr>
          <w:rFonts w:ascii="Book Antiqua" w:hAnsi="Book Antiqua" w:cs="Times New Roman"/>
          <w:sz w:val="24"/>
          <w:szCs w:val="24"/>
          <w:lang w:val="sq-AL"/>
        </w:rPr>
        <w:t>ë</w:t>
      </w:r>
      <w:r w:rsidR="002112A2" w:rsidRPr="00014D00">
        <w:rPr>
          <w:rFonts w:ascii="Book Antiqua" w:hAnsi="Book Antiqua" w:cs="Times New Roman"/>
          <w:sz w:val="24"/>
          <w:szCs w:val="24"/>
          <w:lang w:val="sq-AL"/>
        </w:rPr>
        <w:t xml:space="preserve"> Qeveris</w:t>
      </w:r>
      <w:r w:rsidR="00FA7DC4" w:rsidRPr="00014D00">
        <w:rPr>
          <w:rFonts w:ascii="Book Antiqua" w:hAnsi="Book Antiqua" w:cs="Times New Roman"/>
          <w:sz w:val="24"/>
          <w:szCs w:val="24"/>
          <w:lang w:val="sq-AL"/>
        </w:rPr>
        <w:t>ë</w:t>
      </w:r>
      <w:r w:rsidR="002112A2" w:rsidRPr="00014D00">
        <w:rPr>
          <w:rFonts w:ascii="Book Antiqua" w:hAnsi="Book Antiqua" w:cs="Times New Roman"/>
          <w:sz w:val="24"/>
          <w:szCs w:val="24"/>
          <w:lang w:val="sq-AL"/>
        </w:rPr>
        <w:t xml:space="preserve"> si dhe </w:t>
      </w:r>
      <w:r w:rsidR="002112A2" w:rsidRPr="00014D00">
        <w:rPr>
          <w:rFonts w:ascii="Book Antiqua" w:hAnsi="Book Antiqua" w:cs="Times New Roman"/>
          <w:sz w:val="24"/>
          <w:szCs w:val="24"/>
          <w:lang w:val="sq-AL"/>
        </w:rPr>
        <w:lastRenderedPageBreak/>
        <w:t>konsultimeve publike p</w:t>
      </w:r>
      <w:r w:rsidR="00FA7DC4" w:rsidRPr="00014D00">
        <w:rPr>
          <w:rFonts w:ascii="Book Antiqua" w:hAnsi="Book Antiqua" w:cs="Times New Roman"/>
          <w:sz w:val="24"/>
          <w:szCs w:val="24"/>
          <w:lang w:val="sq-AL"/>
        </w:rPr>
        <w:t>ë</w:t>
      </w:r>
      <w:r w:rsidR="002112A2" w:rsidRPr="00014D00">
        <w:rPr>
          <w:rFonts w:ascii="Book Antiqua" w:hAnsi="Book Antiqua" w:cs="Times New Roman"/>
          <w:sz w:val="24"/>
          <w:szCs w:val="24"/>
          <w:lang w:val="sq-AL"/>
        </w:rPr>
        <w:t>r</w:t>
      </w:r>
      <w:r w:rsidR="00462E50" w:rsidRPr="00014D00">
        <w:rPr>
          <w:rFonts w:ascii="Book Antiqua" w:hAnsi="Book Antiqua" w:cs="Times New Roman"/>
          <w:sz w:val="24"/>
          <w:szCs w:val="24"/>
          <w:lang w:val="sq-AL"/>
        </w:rPr>
        <w:t>mes</w:t>
      </w:r>
      <w:r w:rsidR="002112A2" w:rsidRPr="00014D00">
        <w:rPr>
          <w:rFonts w:ascii="Book Antiqua" w:hAnsi="Book Antiqua" w:cs="Times New Roman"/>
          <w:sz w:val="24"/>
          <w:szCs w:val="24"/>
          <w:lang w:val="sq-AL"/>
        </w:rPr>
        <w:t xml:space="preserve"> platform</w:t>
      </w:r>
      <w:r w:rsidR="00FA7DC4" w:rsidRPr="00014D00">
        <w:rPr>
          <w:rFonts w:ascii="Book Antiqua" w:hAnsi="Book Antiqua" w:cs="Times New Roman"/>
          <w:sz w:val="24"/>
          <w:szCs w:val="24"/>
          <w:lang w:val="sq-AL"/>
        </w:rPr>
        <w:t>ë</w:t>
      </w:r>
      <w:r w:rsidR="002112A2" w:rsidRPr="00014D00">
        <w:rPr>
          <w:rFonts w:ascii="Book Antiqua" w:hAnsi="Book Antiqua" w:cs="Times New Roman"/>
          <w:sz w:val="24"/>
          <w:szCs w:val="24"/>
          <w:lang w:val="sq-AL"/>
        </w:rPr>
        <w:t>s elektronike p</w:t>
      </w:r>
      <w:r w:rsidR="00FA7DC4" w:rsidRPr="00014D00">
        <w:rPr>
          <w:rFonts w:ascii="Book Antiqua" w:hAnsi="Book Antiqua" w:cs="Times New Roman"/>
          <w:sz w:val="24"/>
          <w:szCs w:val="24"/>
          <w:lang w:val="sq-AL"/>
        </w:rPr>
        <w:t>ë</w:t>
      </w:r>
      <w:r w:rsidR="002112A2" w:rsidRPr="00014D00">
        <w:rPr>
          <w:rFonts w:ascii="Book Antiqua" w:hAnsi="Book Antiqua" w:cs="Times New Roman"/>
          <w:sz w:val="24"/>
          <w:szCs w:val="24"/>
          <w:lang w:val="sq-AL"/>
        </w:rPr>
        <w:t>r konsultime dhe pun</w:t>
      </w:r>
      <w:r w:rsidR="00FA7DC4" w:rsidRPr="00014D00">
        <w:rPr>
          <w:rFonts w:ascii="Book Antiqua" w:hAnsi="Book Antiqua" w:cs="Times New Roman"/>
          <w:sz w:val="24"/>
          <w:szCs w:val="24"/>
          <w:lang w:val="sq-AL"/>
        </w:rPr>
        <w:t>ë</w:t>
      </w:r>
      <w:r w:rsidR="002112A2" w:rsidRPr="00014D00">
        <w:rPr>
          <w:rFonts w:ascii="Book Antiqua" w:hAnsi="Book Antiqua" w:cs="Times New Roman"/>
          <w:sz w:val="24"/>
          <w:szCs w:val="24"/>
          <w:lang w:val="sq-AL"/>
        </w:rPr>
        <w:t>toris</w:t>
      </w:r>
      <w:r w:rsidR="00FA7DC4" w:rsidRPr="00014D00">
        <w:rPr>
          <w:rFonts w:ascii="Book Antiqua" w:hAnsi="Book Antiqua" w:cs="Times New Roman"/>
          <w:sz w:val="24"/>
          <w:szCs w:val="24"/>
          <w:lang w:val="sq-AL"/>
        </w:rPr>
        <w:t>ë</w:t>
      </w:r>
      <w:r w:rsidR="002112A2" w:rsidRPr="00014D00">
        <w:rPr>
          <w:rFonts w:ascii="Book Antiqua" w:hAnsi="Book Antiqua" w:cs="Times New Roman"/>
          <w:sz w:val="24"/>
          <w:szCs w:val="24"/>
          <w:lang w:val="sq-AL"/>
        </w:rPr>
        <w:t xml:space="preserve"> me organizatat e shoq</w:t>
      </w:r>
      <w:r w:rsidR="00FA7DC4" w:rsidRPr="00014D00">
        <w:rPr>
          <w:rFonts w:ascii="Book Antiqua" w:hAnsi="Book Antiqua" w:cs="Times New Roman"/>
          <w:sz w:val="24"/>
          <w:szCs w:val="24"/>
          <w:lang w:val="sq-AL"/>
        </w:rPr>
        <w:t>ë</w:t>
      </w:r>
      <w:r w:rsidR="002112A2" w:rsidRPr="00014D00">
        <w:rPr>
          <w:rFonts w:ascii="Book Antiqua" w:hAnsi="Book Antiqua" w:cs="Times New Roman"/>
          <w:sz w:val="24"/>
          <w:szCs w:val="24"/>
          <w:lang w:val="sq-AL"/>
        </w:rPr>
        <w:t>ris</w:t>
      </w:r>
      <w:r w:rsidR="00FA7DC4" w:rsidRPr="00014D00">
        <w:rPr>
          <w:rFonts w:ascii="Book Antiqua" w:hAnsi="Book Antiqua" w:cs="Times New Roman"/>
          <w:sz w:val="24"/>
          <w:szCs w:val="24"/>
          <w:lang w:val="sq-AL"/>
        </w:rPr>
        <w:t>ë</w:t>
      </w:r>
      <w:r w:rsidR="002112A2" w:rsidRPr="00014D00">
        <w:rPr>
          <w:rFonts w:ascii="Book Antiqua" w:hAnsi="Book Antiqua" w:cs="Times New Roman"/>
          <w:sz w:val="24"/>
          <w:szCs w:val="24"/>
          <w:lang w:val="sq-AL"/>
        </w:rPr>
        <w:t xml:space="preserve"> civile. Finalizimi i dokumentit </w:t>
      </w:r>
      <w:r w:rsidR="00FA7DC4" w:rsidRPr="00014D00">
        <w:rPr>
          <w:rFonts w:ascii="Book Antiqua" w:hAnsi="Book Antiqua" w:cs="Times New Roman"/>
          <w:sz w:val="24"/>
          <w:szCs w:val="24"/>
          <w:lang w:val="sq-AL"/>
        </w:rPr>
        <w:t>ë</w:t>
      </w:r>
      <w:r w:rsidR="002112A2" w:rsidRPr="00014D00">
        <w:rPr>
          <w:rFonts w:ascii="Book Antiqua" w:hAnsi="Book Antiqua" w:cs="Times New Roman"/>
          <w:sz w:val="24"/>
          <w:szCs w:val="24"/>
          <w:lang w:val="sq-AL"/>
        </w:rPr>
        <w:t>sht</w:t>
      </w:r>
      <w:r w:rsidR="00FA7DC4" w:rsidRPr="00014D00">
        <w:rPr>
          <w:rFonts w:ascii="Book Antiqua" w:hAnsi="Book Antiqua" w:cs="Times New Roman"/>
          <w:sz w:val="24"/>
          <w:szCs w:val="24"/>
          <w:lang w:val="sq-AL"/>
        </w:rPr>
        <w:t>ë</w:t>
      </w:r>
      <w:r w:rsidR="002112A2" w:rsidRPr="00014D00">
        <w:rPr>
          <w:rFonts w:ascii="Book Antiqua" w:hAnsi="Book Antiqua" w:cs="Times New Roman"/>
          <w:sz w:val="24"/>
          <w:szCs w:val="24"/>
          <w:lang w:val="sq-AL"/>
        </w:rPr>
        <w:t xml:space="preserve"> b</w:t>
      </w:r>
      <w:r w:rsidR="00FA7DC4" w:rsidRPr="00014D00">
        <w:rPr>
          <w:rFonts w:ascii="Book Antiqua" w:hAnsi="Book Antiqua" w:cs="Times New Roman"/>
          <w:sz w:val="24"/>
          <w:szCs w:val="24"/>
          <w:lang w:val="sq-AL"/>
        </w:rPr>
        <w:t>ë</w:t>
      </w:r>
      <w:r w:rsidR="002112A2" w:rsidRPr="00014D00">
        <w:rPr>
          <w:rFonts w:ascii="Book Antiqua" w:hAnsi="Book Antiqua" w:cs="Times New Roman"/>
          <w:sz w:val="24"/>
          <w:szCs w:val="24"/>
          <w:lang w:val="sq-AL"/>
        </w:rPr>
        <w:t>r</w:t>
      </w:r>
      <w:r w:rsidR="00FA7DC4" w:rsidRPr="00014D00">
        <w:rPr>
          <w:rFonts w:ascii="Book Antiqua" w:hAnsi="Book Antiqua" w:cs="Times New Roman"/>
          <w:sz w:val="24"/>
          <w:szCs w:val="24"/>
          <w:lang w:val="sq-AL"/>
        </w:rPr>
        <w:t>ë</w:t>
      </w:r>
      <w:r w:rsidR="002112A2" w:rsidRPr="00014D00">
        <w:rPr>
          <w:rFonts w:ascii="Book Antiqua" w:hAnsi="Book Antiqua" w:cs="Times New Roman"/>
          <w:sz w:val="24"/>
          <w:szCs w:val="24"/>
          <w:lang w:val="sq-AL"/>
        </w:rPr>
        <w:t xml:space="preserve"> bazuar n</w:t>
      </w:r>
      <w:r w:rsidR="00FA7DC4" w:rsidRPr="00014D00">
        <w:rPr>
          <w:rFonts w:ascii="Book Antiqua" w:hAnsi="Book Antiqua" w:cs="Times New Roman"/>
          <w:sz w:val="24"/>
          <w:szCs w:val="24"/>
          <w:lang w:val="sq-AL"/>
        </w:rPr>
        <w:t>ë</w:t>
      </w:r>
      <w:r w:rsidR="002112A2" w:rsidRPr="00014D00">
        <w:rPr>
          <w:rFonts w:ascii="Book Antiqua" w:hAnsi="Book Antiqua" w:cs="Times New Roman"/>
          <w:sz w:val="24"/>
          <w:szCs w:val="24"/>
          <w:lang w:val="sq-AL"/>
        </w:rPr>
        <w:t xml:space="preserve"> kontributet q</w:t>
      </w:r>
      <w:r w:rsidR="00FA7DC4" w:rsidRPr="00014D00">
        <w:rPr>
          <w:rFonts w:ascii="Book Antiqua" w:hAnsi="Book Antiqua" w:cs="Times New Roman"/>
          <w:sz w:val="24"/>
          <w:szCs w:val="24"/>
          <w:lang w:val="sq-AL"/>
        </w:rPr>
        <w:t>ë</w:t>
      </w:r>
      <w:r w:rsidR="002112A2" w:rsidRPr="00014D00">
        <w:rPr>
          <w:rFonts w:ascii="Book Antiqua" w:hAnsi="Book Antiqua" w:cs="Times New Roman"/>
          <w:sz w:val="24"/>
          <w:szCs w:val="24"/>
          <w:lang w:val="sq-AL"/>
        </w:rPr>
        <w:t xml:space="preserve"> jan</w:t>
      </w:r>
      <w:r w:rsidR="00FA7DC4" w:rsidRPr="00014D00">
        <w:rPr>
          <w:rFonts w:ascii="Book Antiqua" w:hAnsi="Book Antiqua" w:cs="Times New Roman"/>
          <w:sz w:val="24"/>
          <w:szCs w:val="24"/>
          <w:lang w:val="sq-AL"/>
        </w:rPr>
        <w:t>ë</w:t>
      </w:r>
      <w:r w:rsidR="002112A2" w:rsidRPr="00014D00">
        <w:rPr>
          <w:rFonts w:ascii="Book Antiqua" w:hAnsi="Book Antiqua" w:cs="Times New Roman"/>
          <w:sz w:val="24"/>
          <w:szCs w:val="24"/>
          <w:lang w:val="sq-AL"/>
        </w:rPr>
        <w:t xml:space="preserve"> pranuar </w:t>
      </w:r>
      <w:r w:rsidR="00462E50" w:rsidRPr="00014D00">
        <w:rPr>
          <w:rFonts w:ascii="Book Antiqua" w:hAnsi="Book Antiqua" w:cs="Times New Roman"/>
          <w:sz w:val="24"/>
          <w:szCs w:val="24"/>
          <w:lang w:val="sq-AL"/>
        </w:rPr>
        <w:t>nga institucionet, shoq</w:t>
      </w:r>
      <w:r w:rsidR="00FA7DC4" w:rsidRPr="00014D00">
        <w:rPr>
          <w:rFonts w:ascii="Book Antiqua" w:hAnsi="Book Antiqua" w:cs="Times New Roman"/>
          <w:sz w:val="24"/>
          <w:szCs w:val="24"/>
          <w:lang w:val="sq-AL"/>
        </w:rPr>
        <w:t>ë</w:t>
      </w:r>
      <w:r w:rsidR="00462E50" w:rsidRPr="00014D00">
        <w:rPr>
          <w:rFonts w:ascii="Book Antiqua" w:hAnsi="Book Antiqua" w:cs="Times New Roman"/>
          <w:sz w:val="24"/>
          <w:szCs w:val="24"/>
          <w:lang w:val="sq-AL"/>
        </w:rPr>
        <w:t>ria civile dhe publiku i gjer</w:t>
      </w:r>
      <w:r w:rsidR="00FA7DC4" w:rsidRPr="00014D00">
        <w:rPr>
          <w:rFonts w:ascii="Book Antiqua" w:hAnsi="Book Antiqua" w:cs="Times New Roman"/>
          <w:sz w:val="24"/>
          <w:szCs w:val="24"/>
          <w:lang w:val="sq-AL"/>
        </w:rPr>
        <w:t>ë</w:t>
      </w:r>
      <w:r w:rsidR="00462E50" w:rsidRPr="00014D00">
        <w:rPr>
          <w:rFonts w:ascii="Book Antiqua" w:hAnsi="Book Antiqua" w:cs="Times New Roman"/>
          <w:sz w:val="24"/>
          <w:szCs w:val="24"/>
          <w:lang w:val="sq-AL"/>
        </w:rPr>
        <w:t xml:space="preserve">. </w:t>
      </w:r>
    </w:p>
    <w:p w:rsidR="00B278A8" w:rsidRPr="00014D00" w:rsidRDefault="00B278A8" w:rsidP="000A3D80">
      <w:pPr>
        <w:jc w:val="both"/>
        <w:rPr>
          <w:rFonts w:ascii="Book Antiqua" w:hAnsi="Book Antiqua" w:cs="Times New Roman"/>
          <w:sz w:val="24"/>
          <w:szCs w:val="24"/>
          <w:lang w:val="sq-AL"/>
        </w:rPr>
      </w:pPr>
    </w:p>
    <w:p w:rsidR="00560B16" w:rsidRPr="00014D00" w:rsidRDefault="00560B16" w:rsidP="00FA7DC4">
      <w:pPr>
        <w:jc w:val="center"/>
        <w:rPr>
          <w:rFonts w:ascii="Book Antiqua" w:hAnsi="Book Antiqua" w:cs="Times New Roman"/>
          <w:b/>
          <w:sz w:val="24"/>
          <w:szCs w:val="24"/>
          <w:lang w:val="sq-AL"/>
        </w:rPr>
      </w:pPr>
    </w:p>
    <w:p w:rsidR="00FA7DC4" w:rsidRPr="00014D00" w:rsidRDefault="00FA7DC4" w:rsidP="00FA7DC4">
      <w:pPr>
        <w:jc w:val="center"/>
        <w:rPr>
          <w:rFonts w:ascii="Book Antiqua" w:hAnsi="Book Antiqua" w:cs="Times New Roman"/>
          <w:b/>
          <w:sz w:val="24"/>
          <w:szCs w:val="24"/>
          <w:lang w:val="sq-AL"/>
        </w:rPr>
      </w:pPr>
      <w:r w:rsidRPr="00014D00">
        <w:rPr>
          <w:rFonts w:ascii="Book Antiqua" w:hAnsi="Book Antiqua" w:cs="Times New Roman"/>
          <w:b/>
          <w:sz w:val="24"/>
          <w:szCs w:val="24"/>
          <w:lang w:val="sq-AL"/>
        </w:rPr>
        <w:t>Ecuria e procesit t</w:t>
      </w:r>
      <w:r w:rsidR="00A669EA" w:rsidRPr="00014D00">
        <w:rPr>
          <w:rFonts w:ascii="Book Antiqua" w:hAnsi="Book Antiqua" w:cs="Times New Roman"/>
          <w:b/>
          <w:sz w:val="24"/>
          <w:szCs w:val="24"/>
          <w:lang w:val="sq-AL"/>
        </w:rPr>
        <w:t>ë</w:t>
      </w:r>
      <w:r w:rsidRPr="00014D00">
        <w:rPr>
          <w:rFonts w:ascii="Book Antiqua" w:hAnsi="Book Antiqua" w:cs="Times New Roman"/>
          <w:b/>
          <w:sz w:val="24"/>
          <w:szCs w:val="24"/>
          <w:lang w:val="sq-AL"/>
        </w:rPr>
        <w:t xml:space="preserve"> konsultimit</w:t>
      </w:r>
    </w:p>
    <w:p w:rsidR="00552D70" w:rsidRPr="00014D00" w:rsidRDefault="00552D70" w:rsidP="00552D70">
      <w:pPr>
        <w:jc w:val="both"/>
        <w:rPr>
          <w:rFonts w:ascii="Book Antiqua" w:hAnsi="Book Antiqua" w:cs="Times New Roman"/>
          <w:sz w:val="24"/>
          <w:szCs w:val="24"/>
          <w:lang w:val="sq-AL"/>
        </w:rPr>
      </w:pPr>
      <w:r w:rsidRPr="00014D00">
        <w:rPr>
          <w:rFonts w:ascii="Book Antiqua" w:hAnsi="Book Antiqua" w:cs="Times New Roman"/>
          <w:sz w:val="24"/>
          <w:szCs w:val="24"/>
          <w:lang w:val="sq-AL"/>
        </w:rPr>
        <w:t>Konsultimet p</w:t>
      </w:r>
      <w:r w:rsidR="00184910" w:rsidRPr="00014D00">
        <w:rPr>
          <w:rFonts w:ascii="Book Antiqua" w:hAnsi="Book Antiqua" w:cs="Times New Roman"/>
          <w:sz w:val="24"/>
          <w:szCs w:val="24"/>
          <w:lang w:val="sq-AL"/>
        </w:rPr>
        <w:t>ë</w:t>
      </w:r>
      <w:r w:rsidRPr="00014D00">
        <w:rPr>
          <w:rFonts w:ascii="Book Antiqua" w:hAnsi="Book Antiqua" w:cs="Times New Roman"/>
          <w:sz w:val="24"/>
          <w:szCs w:val="24"/>
          <w:lang w:val="sq-AL"/>
        </w:rPr>
        <w:t xml:space="preserve">r hartimin e </w:t>
      </w:r>
      <w:r w:rsidR="00322FF5" w:rsidRPr="00014D00">
        <w:rPr>
          <w:rFonts w:ascii="Book Antiqua" w:hAnsi="Book Antiqua" w:cs="Times New Roman"/>
          <w:sz w:val="24"/>
          <w:szCs w:val="24"/>
          <w:lang w:val="sq-AL"/>
        </w:rPr>
        <w:t>PRE</w:t>
      </w:r>
      <w:r w:rsidR="00560B16" w:rsidRPr="00014D00">
        <w:rPr>
          <w:rFonts w:ascii="Book Antiqua" w:hAnsi="Book Antiqua" w:cs="Times New Roman"/>
          <w:sz w:val="24"/>
          <w:szCs w:val="24"/>
          <w:lang w:val="sq-AL"/>
        </w:rPr>
        <w:t xml:space="preserve"> 2018-2020 </w:t>
      </w:r>
      <w:r w:rsidRPr="00014D00">
        <w:rPr>
          <w:rFonts w:ascii="Book Antiqua" w:hAnsi="Book Antiqua" w:cs="Times New Roman"/>
          <w:sz w:val="24"/>
          <w:szCs w:val="24"/>
          <w:lang w:val="sq-AL"/>
        </w:rPr>
        <w:t>kan</w:t>
      </w:r>
      <w:r w:rsidR="00184910" w:rsidRPr="00014D00">
        <w:rPr>
          <w:rFonts w:ascii="Book Antiqua" w:hAnsi="Book Antiqua" w:cs="Times New Roman"/>
          <w:sz w:val="24"/>
          <w:szCs w:val="24"/>
          <w:lang w:val="sq-AL"/>
        </w:rPr>
        <w:t>ë</w:t>
      </w:r>
      <w:r w:rsidRPr="00014D00">
        <w:rPr>
          <w:rFonts w:ascii="Book Antiqua" w:hAnsi="Book Antiqua" w:cs="Times New Roman"/>
          <w:sz w:val="24"/>
          <w:szCs w:val="24"/>
          <w:lang w:val="sq-AL"/>
        </w:rPr>
        <w:t xml:space="preserve"> nisur q</w:t>
      </w:r>
      <w:r w:rsidR="00184910" w:rsidRPr="00014D00">
        <w:rPr>
          <w:rFonts w:ascii="Book Antiqua" w:hAnsi="Book Antiqua" w:cs="Times New Roman"/>
          <w:sz w:val="24"/>
          <w:szCs w:val="24"/>
          <w:lang w:val="sq-AL"/>
        </w:rPr>
        <w:t>ë</w:t>
      </w:r>
      <w:r w:rsidRPr="00014D00">
        <w:rPr>
          <w:rFonts w:ascii="Book Antiqua" w:hAnsi="Book Antiqua" w:cs="Times New Roman"/>
          <w:sz w:val="24"/>
          <w:szCs w:val="24"/>
          <w:lang w:val="sq-AL"/>
        </w:rPr>
        <w:t xml:space="preserve"> nga faza e planifikimit. N</w:t>
      </w:r>
      <w:r w:rsidR="00184910" w:rsidRPr="00014D00">
        <w:rPr>
          <w:rFonts w:ascii="Book Antiqua" w:hAnsi="Book Antiqua" w:cs="Times New Roman"/>
          <w:sz w:val="24"/>
          <w:szCs w:val="24"/>
          <w:lang w:val="sq-AL"/>
        </w:rPr>
        <w:t>ë</w:t>
      </w:r>
      <w:r w:rsidR="00322FF5" w:rsidRPr="00014D00">
        <w:rPr>
          <w:rFonts w:ascii="Book Antiqua" w:hAnsi="Book Antiqua" w:cs="Times New Roman"/>
          <w:sz w:val="24"/>
          <w:szCs w:val="24"/>
          <w:lang w:val="sq-AL"/>
        </w:rPr>
        <w:t xml:space="preserve"> muajt shtator/tetor 2017 ZPS </w:t>
      </w:r>
      <w:r w:rsidRPr="00014D00">
        <w:rPr>
          <w:rFonts w:ascii="Book Antiqua" w:hAnsi="Book Antiqua" w:cs="Times New Roman"/>
          <w:sz w:val="24"/>
          <w:szCs w:val="24"/>
          <w:lang w:val="sq-AL"/>
        </w:rPr>
        <w:t xml:space="preserve">ka zhvilluar takime individuale me </w:t>
      </w:r>
      <w:r w:rsidR="00322FF5" w:rsidRPr="00014D00">
        <w:rPr>
          <w:rFonts w:ascii="Book Antiqua" w:hAnsi="Book Antiqua" w:cs="Times New Roman"/>
          <w:sz w:val="24"/>
          <w:szCs w:val="24"/>
          <w:lang w:val="sq-AL"/>
        </w:rPr>
        <w:t>koordinatorët e fushave përkatëse nga Ministritë e Linjës, n</w:t>
      </w:r>
      <w:r w:rsidRPr="00014D00">
        <w:rPr>
          <w:rFonts w:ascii="Book Antiqua" w:hAnsi="Book Antiqua" w:cs="Times New Roman"/>
          <w:sz w:val="24"/>
          <w:szCs w:val="24"/>
          <w:lang w:val="sq-AL"/>
        </w:rPr>
        <w:t>d</w:t>
      </w:r>
      <w:r w:rsidR="00184910" w:rsidRPr="00014D00">
        <w:rPr>
          <w:rFonts w:ascii="Book Antiqua" w:hAnsi="Book Antiqua" w:cs="Times New Roman"/>
          <w:sz w:val="24"/>
          <w:szCs w:val="24"/>
          <w:lang w:val="sq-AL"/>
        </w:rPr>
        <w:t>ë</w:t>
      </w:r>
      <w:r w:rsidRPr="00014D00">
        <w:rPr>
          <w:rFonts w:ascii="Book Antiqua" w:hAnsi="Book Antiqua" w:cs="Times New Roman"/>
          <w:sz w:val="24"/>
          <w:szCs w:val="24"/>
          <w:lang w:val="sq-AL"/>
        </w:rPr>
        <w:t>rsa gjat</w:t>
      </w:r>
      <w:r w:rsidR="00184910" w:rsidRPr="00014D00">
        <w:rPr>
          <w:rFonts w:ascii="Book Antiqua" w:hAnsi="Book Antiqua" w:cs="Times New Roman"/>
          <w:sz w:val="24"/>
          <w:szCs w:val="24"/>
          <w:lang w:val="sq-AL"/>
        </w:rPr>
        <w:t>ë</w:t>
      </w:r>
      <w:r w:rsidRPr="00014D00">
        <w:rPr>
          <w:rFonts w:ascii="Book Antiqua" w:hAnsi="Book Antiqua" w:cs="Times New Roman"/>
          <w:sz w:val="24"/>
          <w:szCs w:val="24"/>
          <w:lang w:val="sq-AL"/>
        </w:rPr>
        <w:t xml:space="preserve"> hartimit t</w:t>
      </w:r>
      <w:r w:rsidR="00184910" w:rsidRPr="00014D00">
        <w:rPr>
          <w:rFonts w:ascii="Book Antiqua" w:hAnsi="Book Antiqua" w:cs="Times New Roman"/>
          <w:sz w:val="24"/>
          <w:szCs w:val="24"/>
          <w:lang w:val="sq-AL"/>
        </w:rPr>
        <w:t>ë</w:t>
      </w:r>
      <w:r w:rsidRPr="00014D00">
        <w:rPr>
          <w:rFonts w:ascii="Book Antiqua" w:hAnsi="Book Antiqua" w:cs="Times New Roman"/>
          <w:sz w:val="24"/>
          <w:szCs w:val="24"/>
          <w:lang w:val="sq-AL"/>
        </w:rPr>
        <w:t xml:space="preserve"> dokumentit jan</w:t>
      </w:r>
      <w:r w:rsidR="00184910" w:rsidRPr="00014D00">
        <w:rPr>
          <w:rFonts w:ascii="Book Antiqua" w:hAnsi="Book Antiqua" w:cs="Times New Roman"/>
          <w:sz w:val="24"/>
          <w:szCs w:val="24"/>
          <w:lang w:val="sq-AL"/>
        </w:rPr>
        <w:t>ë</w:t>
      </w:r>
      <w:r w:rsidR="00322FF5" w:rsidRPr="00014D00">
        <w:rPr>
          <w:rFonts w:ascii="Book Antiqua" w:hAnsi="Book Antiqua" w:cs="Times New Roman"/>
          <w:sz w:val="24"/>
          <w:szCs w:val="24"/>
          <w:lang w:val="sq-AL"/>
        </w:rPr>
        <w:t xml:space="preserve"> mbajtur </w:t>
      </w:r>
      <w:proofErr w:type="spellStart"/>
      <w:r w:rsidR="00322FF5" w:rsidRPr="00014D00">
        <w:rPr>
          <w:rFonts w:ascii="Book Antiqua" w:hAnsi="Book Antiqua" w:cs="Times New Roman"/>
          <w:sz w:val="24"/>
          <w:szCs w:val="24"/>
          <w:lang w:val="sq-AL"/>
        </w:rPr>
        <w:t>disa</w:t>
      </w:r>
      <w:r w:rsidR="00294277" w:rsidRPr="00014D00">
        <w:rPr>
          <w:rFonts w:ascii="Book Antiqua" w:hAnsi="Book Antiqua" w:cs="Times New Roman"/>
          <w:sz w:val="24"/>
          <w:szCs w:val="24"/>
          <w:lang w:val="sq-AL"/>
        </w:rPr>
        <w:t>pun</w:t>
      </w:r>
      <w:r w:rsidR="00184910" w:rsidRPr="00014D00">
        <w:rPr>
          <w:rFonts w:ascii="Book Antiqua" w:hAnsi="Book Antiqua" w:cs="Times New Roman"/>
          <w:sz w:val="24"/>
          <w:szCs w:val="24"/>
          <w:lang w:val="sq-AL"/>
        </w:rPr>
        <w:t>ë</w:t>
      </w:r>
      <w:r w:rsidR="00294277" w:rsidRPr="00014D00">
        <w:rPr>
          <w:rFonts w:ascii="Book Antiqua" w:hAnsi="Book Antiqua" w:cs="Times New Roman"/>
          <w:sz w:val="24"/>
          <w:szCs w:val="24"/>
          <w:lang w:val="sq-AL"/>
        </w:rPr>
        <w:t>tori</w:t>
      </w:r>
      <w:r w:rsidR="00322FF5" w:rsidRPr="00014D00">
        <w:rPr>
          <w:rFonts w:ascii="Book Antiqua" w:hAnsi="Book Antiqua" w:cs="Times New Roman"/>
          <w:sz w:val="24"/>
          <w:szCs w:val="24"/>
          <w:lang w:val="sq-AL"/>
        </w:rPr>
        <w:t>lidhur</w:t>
      </w:r>
      <w:proofErr w:type="spellEnd"/>
      <w:r w:rsidR="00322FF5" w:rsidRPr="00014D00">
        <w:rPr>
          <w:rFonts w:ascii="Book Antiqua" w:hAnsi="Book Antiqua" w:cs="Times New Roman"/>
          <w:sz w:val="24"/>
          <w:szCs w:val="24"/>
          <w:lang w:val="sq-AL"/>
        </w:rPr>
        <w:t xml:space="preserve"> me hartimin e masave të PRE 2018-2020 si dhe monitorimin dhe raportimin e tyre. </w:t>
      </w:r>
      <w:r w:rsidRPr="00014D00">
        <w:rPr>
          <w:rFonts w:ascii="Book Antiqua" w:hAnsi="Book Antiqua" w:cs="Times New Roman"/>
          <w:sz w:val="24"/>
          <w:szCs w:val="24"/>
          <w:lang w:val="sq-AL"/>
        </w:rPr>
        <w:t>N</w:t>
      </w:r>
      <w:r w:rsidR="00184910" w:rsidRPr="00014D00">
        <w:rPr>
          <w:rFonts w:ascii="Book Antiqua" w:hAnsi="Book Antiqua" w:cs="Times New Roman"/>
          <w:sz w:val="24"/>
          <w:szCs w:val="24"/>
          <w:lang w:val="sq-AL"/>
        </w:rPr>
        <w:t>ë</w:t>
      </w:r>
      <w:r w:rsidRPr="00014D00">
        <w:rPr>
          <w:rFonts w:ascii="Book Antiqua" w:hAnsi="Book Antiqua" w:cs="Times New Roman"/>
          <w:sz w:val="24"/>
          <w:szCs w:val="24"/>
          <w:lang w:val="sq-AL"/>
        </w:rPr>
        <w:t xml:space="preserve"> k</w:t>
      </w:r>
      <w:r w:rsidR="00184910" w:rsidRPr="00014D00">
        <w:rPr>
          <w:rFonts w:ascii="Book Antiqua" w:hAnsi="Book Antiqua" w:cs="Times New Roman"/>
          <w:sz w:val="24"/>
          <w:szCs w:val="24"/>
          <w:lang w:val="sq-AL"/>
        </w:rPr>
        <w:t>ë</w:t>
      </w:r>
      <w:r w:rsidRPr="00014D00">
        <w:rPr>
          <w:rFonts w:ascii="Book Antiqua" w:hAnsi="Book Antiqua" w:cs="Times New Roman"/>
          <w:sz w:val="24"/>
          <w:szCs w:val="24"/>
          <w:lang w:val="sq-AL"/>
        </w:rPr>
        <w:t>t</w:t>
      </w:r>
      <w:r w:rsidR="00184910" w:rsidRPr="00014D00">
        <w:rPr>
          <w:rFonts w:ascii="Book Antiqua" w:hAnsi="Book Antiqua" w:cs="Times New Roman"/>
          <w:sz w:val="24"/>
          <w:szCs w:val="24"/>
          <w:lang w:val="sq-AL"/>
        </w:rPr>
        <w:t>ë</w:t>
      </w:r>
      <w:r w:rsidRPr="00014D00">
        <w:rPr>
          <w:rFonts w:ascii="Book Antiqua" w:hAnsi="Book Antiqua" w:cs="Times New Roman"/>
          <w:sz w:val="24"/>
          <w:szCs w:val="24"/>
          <w:lang w:val="sq-AL"/>
        </w:rPr>
        <w:t xml:space="preserve"> t</w:t>
      </w:r>
      <w:r w:rsidR="00184910" w:rsidRPr="00014D00">
        <w:rPr>
          <w:rFonts w:ascii="Book Antiqua" w:hAnsi="Book Antiqua" w:cs="Times New Roman"/>
          <w:sz w:val="24"/>
          <w:szCs w:val="24"/>
          <w:lang w:val="sq-AL"/>
        </w:rPr>
        <w:t>ë</w:t>
      </w:r>
      <w:r w:rsidRPr="00014D00">
        <w:rPr>
          <w:rFonts w:ascii="Book Antiqua" w:hAnsi="Book Antiqua" w:cs="Times New Roman"/>
          <w:sz w:val="24"/>
          <w:szCs w:val="24"/>
          <w:lang w:val="sq-AL"/>
        </w:rPr>
        <w:t xml:space="preserve"> fundit, kan</w:t>
      </w:r>
      <w:r w:rsidR="00184910" w:rsidRPr="00014D00">
        <w:rPr>
          <w:rFonts w:ascii="Book Antiqua" w:hAnsi="Book Antiqua" w:cs="Times New Roman"/>
          <w:sz w:val="24"/>
          <w:szCs w:val="24"/>
          <w:lang w:val="sq-AL"/>
        </w:rPr>
        <w:t>ë</w:t>
      </w:r>
      <w:r w:rsidRPr="00014D00">
        <w:rPr>
          <w:rFonts w:ascii="Book Antiqua" w:hAnsi="Book Antiqua" w:cs="Times New Roman"/>
          <w:sz w:val="24"/>
          <w:szCs w:val="24"/>
          <w:lang w:val="sq-AL"/>
        </w:rPr>
        <w:t xml:space="preserve"> qen</w:t>
      </w:r>
      <w:r w:rsidR="00184910" w:rsidRPr="00014D00">
        <w:rPr>
          <w:rFonts w:ascii="Book Antiqua" w:hAnsi="Book Antiqua" w:cs="Times New Roman"/>
          <w:sz w:val="24"/>
          <w:szCs w:val="24"/>
          <w:lang w:val="sq-AL"/>
        </w:rPr>
        <w:t>ë</w:t>
      </w:r>
      <w:r w:rsidRPr="00014D00">
        <w:rPr>
          <w:rFonts w:ascii="Book Antiqua" w:hAnsi="Book Antiqua" w:cs="Times New Roman"/>
          <w:sz w:val="24"/>
          <w:szCs w:val="24"/>
          <w:lang w:val="sq-AL"/>
        </w:rPr>
        <w:t xml:space="preserve"> t</w:t>
      </w:r>
      <w:r w:rsidR="00184910" w:rsidRPr="00014D00">
        <w:rPr>
          <w:rFonts w:ascii="Book Antiqua" w:hAnsi="Book Antiqua" w:cs="Times New Roman"/>
          <w:sz w:val="24"/>
          <w:szCs w:val="24"/>
          <w:lang w:val="sq-AL"/>
        </w:rPr>
        <w:t>ë</w:t>
      </w:r>
      <w:r w:rsidRPr="00014D00">
        <w:rPr>
          <w:rFonts w:ascii="Book Antiqua" w:hAnsi="Book Antiqua" w:cs="Times New Roman"/>
          <w:sz w:val="24"/>
          <w:szCs w:val="24"/>
          <w:lang w:val="sq-AL"/>
        </w:rPr>
        <w:t xml:space="preserve"> pranish</w:t>
      </w:r>
      <w:r w:rsidR="00184910" w:rsidRPr="00014D00">
        <w:rPr>
          <w:rFonts w:ascii="Book Antiqua" w:hAnsi="Book Antiqua" w:cs="Times New Roman"/>
          <w:sz w:val="24"/>
          <w:szCs w:val="24"/>
          <w:lang w:val="sq-AL"/>
        </w:rPr>
        <w:t>ë</w:t>
      </w:r>
      <w:r w:rsidRPr="00014D00">
        <w:rPr>
          <w:rFonts w:ascii="Book Antiqua" w:hAnsi="Book Antiqua" w:cs="Times New Roman"/>
          <w:sz w:val="24"/>
          <w:szCs w:val="24"/>
          <w:lang w:val="sq-AL"/>
        </w:rPr>
        <w:t xml:space="preserve">m edhe </w:t>
      </w:r>
      <w:r w:rsidR="00322FF5" w:rsidRPr="00014D00">
        <w:rPr>
          <w:rFonts w:ascii="Book Antiqua" w:hAnsi="Book Antiqua" w:cs="Times New Roman"/>
          <w:sz w:val="24"/>
          <w:szCs w:val="24"/>
          <w:lang w:val="sq-AL"/>
        </w:rPr>
        <w:t xml:space="preserve">përfaqësues nga Komisioni Evropian dhe OECD. </w:t>
      </w:r>
      <w:r w:rsidR="00294277" w:rsidRPr="00014D00">
        <w:rPr>
          <w:rFonts w:ascii="Book Antiqua" w:hAnsi="Book Antiqua" w:cs="Times New Roman"/>
          <w:sz w:val="24"/>
          <w:szCs w:val="24"/>
          <w:lang w:val="sq-AL"/>
        </w:rPr>
        <w:t>Nd</w:t>
      </w:r>
      <w:r w:rsidR="00184910" w:rsidRPr="00014D00">
        <w:rPr>
          <w:rFonts w:ascii="Book Antiqua" w:hAnsi="Book Antiqua" w:cs="Times New Roman"/>
          <w:sz w:val="24"/>
          <w:szCs w:val="24"/>
          <w:lang w:val="sq-AL"/>
        </w:rPr>
        <w:t>ë</w:t>
      </w:r>
      <w:r w:rsidR="00294277" w:rsidRPr="00014D00">
        <w:rPr>
          <w:rFonts w:ascii="Book Antiqua" w:hAnsi="Book Antiqua" w:cs="Times New Roman"/>
          <w:sz w:val="24"/>
          <w:szCs w:val="24"/>
          <w:lang w:val="sq-AL"/>
        </w:rPr>
        <w:t>rsa m</w:t>
      </w:r>
      <w:r w:rsidR="00184910" w:rsidRPr="00014D00">
        <w:rPr>
          <w:rFonts w:ascii="Book Antiqua" w:hAnsi="Book Antiqua" w:cs="Times New Roman"/>
          <w:sz w:val="24"/>
          <w:szCs w:val="24"/>
          <w:lang w:val="sq-AL"/>
        </w:rPr>
        <w:t>ë</w:t>
      </w:r>
      <w:r w:rsidR="00322FF5" w:rsidRPr="00014D00">
        <w:rPr>
          <w:rFonts w:ascii="Book Antiqua" w:hAnsi="Book Antiqua" w:cs="Times New Roman"/>
          <w:sz w:val="24"/>
          <w:szCs w:val="24"/>
          <w:lang w:val="sq-AL"/>
        </w:rPr>
        <w:t xml:space="preserve"> 04 tetor </w:t>
      </w:r>
      <w:r w:rsidR="00184910" w:rsidRPr="00014D00">
        <w:rPr>
          <w:rFonts w:ascii="Book Antiqua" w:hAnsi="Book Antiqua" w:cs="Times New Roman"/>
          <w:sz w:val="24"/>
          <w:szCs w:val="24"/>
          <w:lang w:val="sq-AL"/>
        </w:rPr>
        <w:t>ë</w:t>
      </w:r>
      <w:r w:rsidR="00294277" w:rsidRPr="00014D00">
        <w:rPr>
          <w:rFonts w:ascii="Book Antiqua" w:hAnsi="Book Antiqua" w:cs="Times New Roman"/>
          <w:sz w:val="24"/>
          <w:szCs w:val="24"/>
          <w:lang w:val="sq-AL"/>
        </w:rPr>
        <w:t>sht</w:t>
      </w:r>
      <w:r w:rsidR="00184910" w:rsidRPr="00014D00">
        <w:rPr>
          <w:rFonts w:ascii="Book Antiqua" w:hAnsi="Book Antiqua" w:cs="Times New Roman"/>
          <w:sz w:val="24"/>
          <w:szCs w:val="24"/>
          <w:lang w:val="sq-AL"/>
        </w:rPr>
        <w:t>ë</w:t>
      </w:r>
      <w:r w:rsidR="00294277" w:rsidRPr="00014D00">
        <w:rPr>
          <w:rFonts w:ascii="Book Antiqua" w:hAnsi="Book Antiqua" w:cs="Times New Roman"/>
          <w:sz w:val="24"/>
          <w:szCs w:val="24"/>
          <w:lang w:val="sq-AL"/>
        </w:rPr>
        <w:t xml:space="preserve"> mbajtur nj</w:t>
      </w:r>
      <w:r w:rsidR="00184910" w:rsidRPr="00014D00">
        <w:rPr>
          <w:rFonts w:ascii="Book Antiqua" w:hAnsi="Book Antiqua" w:cs="Times New Roman"/>
          <w:sz w:val="24"/>
          <w:szCs w:val="24"/>
          <w:lang w:val="sq-AL"/>
        </w:rPr>
        <w:t>ë</w:t>
      </w:r>
      <w:r w:rsidR="00322FF5" w:rsidRPr="00014D00">
        <w:rPr>
          <w:rFonts w:ascii="Book Antiqua" w:hAnsi="Book Antiqua" w:cs="Times New Roman"/>
          <w:sz w:val="24"/>
          <w:szCs w:val="24"/>
          <w:lang w:val="sq-AL"/>
        </w:rPr>
        <w:t xml:space="preserve"> takim i nivelit të lartë të Qeverisë dhe Komisionit Evropian</w:t>
      </w:r>
      <w:r w:rsidR="00294277" w:rsidRPr="00014D00">
        <w:rPr>
          <w:rFonts w:ascii="Book Antiqua" w:hAnsi="Book Antiqua" w:cs="Times New Roman"/>
          <w:sz w:val="24"/>
          <w:szCs w:val="24"/>
          <w:lang w:val="sq-AL"/>
        </w:rPr>
        <w:t xml:space="preserve"> me </w:t>
      </w:r>
      <w:r w:rsidR="002E6577" w:rsidRPr="00014D00">
        <w:rPr>
          <w:rFonts w:ascii="Book Antiqua" w:hAnsi="Book Antiqua" w:cs="Times New Roman"/>
          <w:sz w:val="24"/>
          <w:szCs w:val="24"/>
          <w:lang w:val="sq-AL"/>
        </w:rPr>
        <w:t xml:space="preserve">përfaqësues </w:t>
      </w:r>
      <w:proofErr w:type="spellStart"/>
      <w:r w:rsidR="002E6577" w:rsidRPr="00014D00">
        <w:rPr>
          <w:rFonts w:ascii="Book Antiqua" w:hAnsi="Book Antiqua" w:cs="Times New Roman"/>
          <w:sz w:val="24"/>
          <w:szCs w:val="24"/>
          <w:lang w:val="sq-AL"/>
        </w:rPr>
        <w:t>poashtu</w:t>
      </w:r>
      <w:proofErr w:type="spellEnd"/>
      <w:r w:rsidR="002E6577" w:rsidRPr="00014D00">
        <w:rPr>
          <w:rFonts w:ascii="Book Antiqua" w:hAnsi="Book Antiqua" w:cs="Times New Roman"/>
          <w:sz w:val="24"/>
          <w:szCs w:val="24"/>
          <w:lang w:val="sq-AL"/>
        </w:rPr>
        <w:t xml:space="preserve"> të shoqërisë civile si dhe komunitetit të biznesit</w:t>
      </w:r>
      <w:r w:rsidR="00294277" w:rsidRPr="00014D00">
        <w:rPr>
          <w:rFonts w:ascii="Book Antiqua" w:hAnsi="Book Antiqua" w:cs="Times New Roman"/>
          <w:sz w:val="24"/>
          <w:szCs w:val="24"/>
          <w:lang w:val="sq-AL"/>
        </w:rPr>
        <w:t>.</w:t>
      </w:r>
    </w:p>
    <w:p w:rsidR="00A669EA" w:rsidRPr="00014D00" w:rsidRDefault="008C497C" w:rsidP="00A669EA">
      <w:pPr>
        <w:jc w:val="both"/>
        <w:rPr>
          <w:rFonts w:ascii="Book Antiqua" w:hAnsi="Book Antiqua" w:cs="Times New Roman"/>
          <w:sz w:val="24"/>
          <w:szCs w:val="24"/>
          <w:lang w:val="sq-AL"/>
        </w:rPr>
      </w:pPr>
      <w:r w:rsidRPr="00014D00">
        <w:rPr>
          <w:rFonts w:ascii="Book Antiqua" w:hAnsi="Book Antiqua" w:cs="Times New Roman"/>
          <w:sz w:val="24"/>
          <w:szCs w:val="24"/>
          <w:lang w:val="sq-AL"/>
        </w:rPr>
        <w:t xml:space="preserve">Programi për Reforma Ekonomike </w:t>
      </w:r>
      <w:r w:rsidR="00A669EA" w:rsidRPr="00014D00">
        <w:rPr>
          <w:rFonts w:ascii="Book Antiqua" w:hAnsi="Book Antiqua" w:cs="Times New Roman"/>
          <w:sz w:val="24"/>
          <w:szCs w:val="24"/>
          <w:lang w:val="sq-AL"/>
        </w:rPr>
        <w:t>është publikuar për konsultim me publikun në platfo</w:t>
      </w:r>
      <w:r w:rsidR="00385E8E" w:rsidRPr="00014D00">
        <w:rPr>
          <w:rFonts w:ascii="Book Antiqua" w:hAnsi="Book Antiqua" w:cs="Times New Roman"/>
          <w:sz w:val="24"/>
          <w:szCs w:val="24"/>
          <w:lang w:val="sq-AL"/>
        </w:rPr>
        <w:t>rmën elektronike për konsultime publike</w:t>
      </w:r>
      <w:r w:rsidR="00A669EA" w:rsidRPr="00014D00">
        <w:rPr>
          <w:rFonts w:ascii="Book Antiqua" w:hAnsi="Book Antiqua" w:cs="Times New Roman"/>
          <w:sz w:val="24"/>
          <w:szCs w:val="24"/>
          <w:lang w:val="sq-AL"/>
        </w:rPr>
        <w:t xml:space="preserve"> me datë</w:t>
      </w:r>
      <w:r w:rsidR="0023737E" w:rsidRPr="00014D00">
        <w:rPr>
          <w:rFonts w:ascii="Book Antiqua" w:hAnsi="Book Antiqua" w:cs="Times New Roman"/>
          <w:sz w:val="24"/>
          <w:szCs w:val="24"/>
          <w:lang w:val="sq-AL"/>
        </w:rPr>
        <w:t xml:space="preserve"> 15dhjetor</w:t>
      </w:r>
      <w:r w:rsidR="00A669EA" w:rsidRPr="00014D00">
        <w:rPr>
          <w:rFonts w:ascii="Book Antiqua" w:hAnsi="Book Antiqua" w:cs="Times New Roman"/>
          <w:sz w:val="24"/>
          <w:szCs w:val="24"/>
          <w:lang w:val="sq-AL"/>
        </w:rPr>
        <w:t xml:space="preserve"> 2017 dhe ka qenë </w:t>
      </w:r>
      <w:r w:rsidR="00B63863" w:rsidRPr="00014D00">
        <w:rPr>
          <w:rFonts w:ascii="Book Antiqua" w:hAnsi="Book Antiqua" w:cs="Times New Roman"/>
          <w:sz w:val="24"/>
          <w:szCs w:val="24"/>
          <w:lang w:val="sq-AL"/>
        </w:rPr>
        <w:t>i</w:t>
      </w:r>
      <w:r w:rsidR="00A669EA" w:rsidRPr="00014D00">
        <w:rPr>
          <w:rFonts w:ascii="Book Antiqua" w:hAnsi="Book Antiqua" w:cs="Times New Roman"/>
          <w:sz w:val="24"/>
          <w:szCs w:val="24"/>
          <w:lang w:val="sq-AL"/>
        </w:rPr>
        <w:t xml:space="preserve"> hapur për komente deri me datë </w:t>
      </w:r>
      <w:r w:rsidR="0023737E" w:rsidRPr="00014D00">
        <w:rPr>
          <w:rFonts w:ascii="Book Antiqua" w:hAnsi="Book Antiqua" w:cs="Times New Roman"/>
          <w:sz w:val="24"/>
          <w:szCs w:val="24"/>
          <w:lang w:val="sq-AL"/>
        </w:rPr>
        <w:t>11janar</w:t>
      </w:r>
      <w:r w:rsidR="00A669EA" w:rsidRPr="00014D00">
        <w:rPr>
          <w:rFonts w:ascii="Book Antiqua" w:hAnsi="Book Antiqua" w:cs="Times New Roman"/>
          <w:sz w:val="24"/>
          <w:szCs w:val="24"/>
          <w:lang w:val="sq-AL"/>
        </w:rPr>
        <w:t xml:space="preserve"> 201</w:t>
      </w:r>
      <w:r w:rsidR="0023737E" w:rsidRPr="00014D00">
        <w:rPr>
          <w:rFonts w:ascii="Book Antiqua" w:hAnsi="Book Antiqua" w:cs="Times New Roman"/>
          <w:sz w:val="24"/>
          <w:szCs w:val="24"/>
          <w:lang w:val="sq-AL"/>
        </w:rPr>
        <w:t>8</w:t>
      </w:r>
      <w:r w:rsidR="00A669EA" w:rsidRPr="00014D00">
        <w:rPr>
          <w:rFonts w:ascii="Book Antiqua" w:hAnsi="Book Antiqua" w:cs="Times New Roman"/>
          <w:sz w:val="24"/>
          <w:szCs w:val="24"/>
          <w:lang w:val="sq-AL"/>
        </w:rPr>
        <w:t xml:space="preserve">. Sipas Rregullores për standardet minimale të konsultimit publik, </w:t>
      </w:r>
      <w:r w:rsidR="0023737E" w:rsidRPr="00014D00">
        <w:rPr>
          <w:rFonts w:ascii="Book Antiqua" w:hAnsi="Book Antiqua" w:cs="Times New Roman"/>
          <w:sz w:val="24"/>
          <w:szCs w:val="24"/>
          <w:lang w:val="sq-AL"/>
        </w:rPr>
        <w:t xml:space="preserve">PRE 2018-2022 </w:t>
      </w:r>
      <w:r w:rsidR="00A669EA" w:rsidRPr="00014D00">
        <w:rPr>
          <w:rFonts w:ascii="Book Antiqua" w:hAnsi="Book Antiqua" w:cs="Times New Roman"/>
          <w:sz w:val="24"/>
          <w:szCs w:val="24"/>
          <w:lang w:val="sq-AL"/>
        </w:rPr>
        <w:t xml:space="preserve">është publikuar së bashku me Dokumentin e Konsultimit për </w:t>
      </w:r>
      <w:r w:rsidR="0023737E" w:rsidRPr="00014D00">
        <w:rPr>
          <w:rFonts w:ascii="Book Antiqua" w:hAnsi="Book Antiqua" w:cs="Times New Roman"/>
          <w:sz w:val="24"/>
          <w:szCs w:val="24"/>
          <w:lang w:val="sq-AL"/>
        </w:rPr>
        <w:t>PRE 2018-2020</w:t>
      </w:r>
      <w:r w:rsidR="00385E8E" w:rsidRPr="00014D00">
        <w:rPr>
          <w:rFonts w:ascii="Book Antiqua" w:hAnsi="Book Antiqua" w:cs="Times New Roman"/>
          <w:sz w:val="24"/>
          <w:szCs w:val="24"/>
          <w:lang w:val="sq-AL"/>
        </w:rPr>
        <w:t xml:space="preserve"> cili në formë të shkurtër paraqet </w:t>
      </w:r>
      <w:r w:rsidR="00A669EA" w:rsidRPr="00014D00">
        <w:rPr>
          <w:rFonts w:ascii="Book Antiqua" w:hAnsi="Book Antiqua" w:cs="Times New Roman"/>
          <w:sz w:val="24"/>
          <w:szCs w:val="24"/>
          <w:lang w:val="sq-AL"/>
        </w:rPr>
        <w:t xml:space="preserve">informatat e përmbledhura për </w:t>
      </w:r>
      <w:r w:rsidR="0023737E" w:rsidRPr="00014D00">
        <w:rPr>
          <w:rFonts w:ascii="Book Antiqua" w:hAnsi="Book Antiqua" w:cs="Times New Roman"/>
          <w:sz w:val="24"/>
          <w:szCs w:val="24"/>
          <w:lang w:val="sq-AL"/>
        </w:rPr>
        <w:t>dokument</w:t>
      </w:r>
      <w:r w:rsidR="00385E8E" w:rsidRPr="00014D00">
        <w:rPr>
          <w:rFonts w:ascii="Book Antiqua" w:hAnsi="Book Antiqua" w:cs="Times New Roman"/>
          <w:sz w:val="24"/>
          <w:szCs w:val="24"/>
          <w:lang w:val="sq-AL"/>
        </w:rPr>
        <w:t xml:space="preserve">in, qëllimet </w:t>
      </w:r>
      <w:proofErr w:type="spellStart"/>
      <w:r w:rsidR="00385E8E" w:rsidRPr="00014D00">
        <w:rPr>
          <w:rFonts w:ascii="Book Antiqua" w:hAnsi="Book Antiqua" w:cs="Times New Roman"/>
          <w:sz w:val="24"/>
          <w:szCs w:val="24"/>
          <w:lang w:val="sq-AL"/>
        </w:rPr>
        <w:t>dhe</w:t>
      </w:r>
      <w:r w:rsidR="0023737E" w:rsidRPr="00014D00">
        <w:rPr>
          <w:rFonts w:ascii="Book Antiqua" w:hAnsi="Book Antiqua" w:cs="Times New Roman"/>
          <w:sz w:val="24"/>
          <w:szCs w:val="24"/>
          <w:lang w:val="sq-AL"/>
        </w:rPr>
        <w:t>procesin</w:t>
      </w:r>
      <w:proofErr w:type="spellEnd"/>
      <w:r w:rsidR="0023737E" w:rsidRPr="00014D00">
        <w:rPr>
          <w:rFonts w:ascii="Book Antiqua" w:hAnsi="Book Antiqua" w:cs="Times New Roman"/>
          <w:sz w:val="24"/>
          <w:szCs w:val="24"/>
          <w:lang w:val="sq-AL"/>
        </w:rPr>
        <w:t xml:space="preserve"> e </w:t>
      </w:r>
      <w:r w:rsidR="00385E8E" w:rsidRPr="00014D00">
        <w:rPr>
          <w:rFonts w:ascii="Book Antiqua" w:hAnsi="Book Antiqua" w:cs="Times New Roman"/>
          <w:sz w:val="24"/>
          <w:szCs w:val="24"/>
          <w:lang w:val="sq-AL"/>
        </w:rPr>
        <w:t xml:space="preserve">konsultimeve dhe </w:t>
      </w:r>
      <w:r w:rsidR="0023737E" w:rsidRPr="00014D00">
        <w:rPr>
          <w:rFonts w:ascii="Book Antiqua" w:hAnsi="Book Antiqua" w:cs="Times New Roman"/>
          <w:sz w:val="24"/>
          <w:szCs w:val="24"/>
          <w:lang w:val="sq-AL"/>
        </w:rPr>
        <w:t>finalizimit të</w:t>
      </w:r>
      <w:r w:rsidR="00385E8E" w:rsidRPr="00014D00">
        <w:rPr>
          <w:rFonts w:ascii="Book Antiqua" w:hAnsi="Book Antiqua" w:cs="Times New Roman"/>
          <w:sz w:val="24"/>
          <w:szCs w:val="24"/>
          <w:lang w:val="sq-AL"/>
        </w:rPr>
        <w:t xml:space="preserve"> dokumentit</w:t>
      </w:r>
      <w:r w:rsidR="00B63863" w:rsidRPr="00014D00">
        <w:rPr>
          <w:rFonts w:ascii="Book Antiqua" w:hAnsi="Book Antiqua" w:cs="Times New Roman"/>
          <w:sz w:val="24"/>
          <w:szCs w:val="24"/>
          <w:lang w:val="sq-AL"/>
        </w:rPr>
        <w:t>.</w:t>
      </w:r>
    </w:p>
    <w:p w:rsidR="00322FF5" w:rsidRPr="00014D00" w:rsidRDefault="00322FF5" w:rsidP="00322FF5">
      <w:pPr>
        <w:jc w:val="both"/>
        <w:rPr>
          <w:rFonts w:ascii="Book Antiqua" w:hAnsi="Book Antiqua" w:cs="Times New Roman"/>
          <w:sz w:val="24"/>
          <w:szCs w:val="24"/>
          <w:lang w:val="sq-AL"/>
        </w:rPr>
      </w:pPr>
      <w:r w:rsidRPr="00014D00">
        <w:rPr>
          <w:rFonts w:ascii="Book Antiqua" w:hAnsi="Book Antiqua" w:cs="Times New Roman"/>
          <w:sz w:val="24"/>
          <w:szCs w:val="24"/>
          <w:lang w:val="sq-AL"/>
        </w:rPr>
        <w:t>Pas përmbylljes së procesit të konsultimit, janë analizuar të gjitha kontributet e pranuara dhe mbi bazën e tyre janë bërë plotësim/ndryshimet e duhura në dokument, në mënyrë që versioni përfundimtar t’i dërgohet qeverisë për aprovim dhe duhet dorëzuar tek Komis</w:t>
      </w:r>
      <w:r w:rsidR="004D17D4" w:rsidRPr="00014D00">
        <w:rPr>
          <w:rFonts w:ascii="Book Antiqua" w:hAnsi="Book Antiqua" w:cs="Times New Roman"/>
          <w:sz w:val="24"/>
          <w:szCs w:val="24"/>
          <w:lang w:val="sq-AL"/>
        </w:rPr>
        <w:t>ioni Evropian jo më larg se 31 janar</w:t>
      </w:r>
      <w:r w:rsidRPr="00014D00">
        <w:rPr>
          <w:rFonts w:ascii="Book Antiqua" w:hAnsi="Book Antiqua" w:cs="Times New Roman"/>
          <w:sz w:val="24"/>
          <w:szCs w:val="24"/>
          <w:lang w:val="sq-AL"/>
        </w:rPr>
        <w:t xml:space="preserve"> 2018.</w:t>
      </w:r>
    </w:p>
    <w:p w:rsidR="00F02A9A" w:rsidRPr="00014D00" w:rsidRDefault="00F02A9A" w:rsidP="00A669EA">
      <w:pPr>
        <w:jc w:val="both"/>
        <w:rPr>
          <w:rFonts w:ascii="Book Antiqua" w:hAnsi="Book Antiqua" w:cs="Times New Roman"/>
          <w:sz w:val="24"/>
          <w:szCs w:val="24"/>
          <w:lang w:val="sq-AL"/>
        </w:rPr>
      </w:pPr>
      <w:bookmarkStart w:id="0" w:name="_GoBack"/>
      <w:bookmarkEnd w:id="0"/>
    </w:p>
    <w:tbl>
      <w:tblPr>
        <w:tblStyle w:val="GridTable1Light-Accent51"/>
        <w:tblW w:w="8730" w:type="dxa"/>
        <w:tblInd w:w="18" w:type="dxa"/>
        <w:tblLook w:val="04A0" w:firstRow="1" w:lastRow="0" w:firstColumn="1" w:lastColumn="0" w:noHBand="0" w:noVBand="1"/>
      </w:tblPr>
      <w:tblGrid>
        <w:gridCol w:w="3503"/>
        <w:gridCol w:w="2346"/>
        <w:gridCol w:w="2881"/>
      </w:tblGrid>
      <w:tr w:rsidR="006413D8" w:rsidRPr="00014D00" w:rsidTr="001849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3" w:type="dxa"/>
            <w:shd w:val="clear" w:color="auto" w:fill="FBE4D5" w:themeFill="accent2" w:themeFillTint="33"/>
          </w:tcPr>
          <w:p w:rsidR="006413D8" w:rsidRPr="00014D00" w:rsidRDefault="006413D8" w:rsidP="00D05FE8">
            <w:pPr>
              <w:pStyle w:val="Default"/>
              <w:rPr>
                <w:rFonts w:ascii="Book Antiqua" w:hAnsi="Book Antiqua"/>
                <w:color w:val="auto"/>
                <w:sz w:val="20"/>
                <w:lang w:val="sq-AL"/>
              </w:rPr>
            </w:pPr>
            <w:r w:rsidRPr="00014D00">
              <w:rPr>
                <w:rFonts w:ascii="Book Antiqua" w:hAnsi="Book Antiqua"/>
                <w:color w:val="auto"/>
                <w:sz w:val="20"/>
                <w:lang w:val="sq-AL"/>
              </w:rPr>
              <w:t>Metodat e Konsultimit</w:t>
            </w:r>
          </w:p>
        </w:tc>
        <w:tc>
          <w:tcPr>
            <w:tcW w:w="2346" w:type="dxa"/>
            <w:shd w:val="clear" w:color="auto" w:fill="FBE4D5" w:themeFill="accent2" w:themeFillTint="33"/>
          </w:tcPr>
          <w:p w:rsidR="006413D8" w:rsidRPr="00014D00" w:rsidRDefault="006413D8" w:rsidP="00D05FE8">
            <w:pPr>
              <w:pStyle w:val="Default"/>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0"/>
                <w:lang w:val="sq-AL"/>
              </w:rPr>
            </w:pPr>
            <w:r w:rsidRPr="00014D00">
              <w:rPr>
                <w:rFonts w:ascii="Book Antiqua" w:hAnsi="Book Antiqua"/>
                <w:color w:val="auto"/>
                <w:sz w:val="20"/>
                <w:lang w:val="sq-AL"/>
              </w:rPr>
              <w:t>Datat/kohëzgjatja</w:t>
            </w:r>
          </w:p>
        </w:tc>
        <w:tc>
          <w:tcPr>
            <w:tcW w:w="2881" w:type="dxa"/>
            <w:shd w:val="clear" w:color="auto" w:fill="FBE4D5" w:themeFill="accent2" w:themeFillTint="33"/>
          </w:tcPr>
          <w:p w:rsidR="006413D8" w:rsidRPr="00014D00" w:rsidRDefault="006413D8" w:rsidP="00D05FE8">
            <w:pPr>
              <w:pStyle w:val="Default"/>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0"/>
                <w:lang w:val="sq-AL"/>
              </w:rPr>
            </w:pPr>
            <w:r w:rsidRPr="00014D00">
              <w:rPr>
                <w:rFonts w:ascii="Book Antiqua" w:hAnsi="Book Antiqua"/>
                <w:color w:val="auto"/>
                <w:sz w:val="20"/>
                <w:lang w:val="sq-AL"/>
              </w:rPr>
              <w:t>Numri i pjesëmarrësve/</w:t>
            </w:r>
            <w:proofErr w:type="spellStart"/>
            <w:r w:rsidRPr="00014D00">
              <w:rPr>
                <w:rFonts w:ascii="Book Antiqua" w:hAnsi="Book Antiqua"/>
                <w:color w:val="auto"/>
                <w:sz w:val="20"/>
                <w:lang w:val="sq-AL"/>
              </w:rPr>
              <w:t>kontribuesve</w:t>
            </w:r>
            <w:proofErr w:type="spellEnd"/>
          </w:p>
        </w:tc>
      </w:tr>
      <w:tr w:rsidR="006413D8" w:rsidRPr="00014D00" w:rsidTr="00184910">
        <w:tc>
          <w:tcPr>
            <w:cnfStyle w:val="001000000000" w:firstRow="0" w:lastRow="0" w:firstColumn="1" w:lastColumn="0" w:oddVBand="0" w:evenVBand="0" w:oddHBand="0" w:evenHBand="0" w:firstRowFirstColumn="0" w:firstRowLastColumn="0" w:lastRowFirstColumn="0" w:lastRowLastColumn="0"/>
            <w:tcW w:w="3503" w:type="dxa"/>
            <w:shd w:val="clear" w:color="auto" w:fill="FBE4D5" w:themeFill="accent2" w:themeFillTint="33"/>
          </w:tcPr>
          <w:p w:rsidR="006413D8" w:rsidRPr="00014D00" w:rsidRDefault="006413D8" w:rsidP="006413D8">
            <w:pPr>
              <w:pStyle w:val="Default"/>
              <w:widowControl w:val="0"/>
              <w:numPr>
                <w:ilvl w:val="0"/>
                <w:numId w:val="3"/>
              </w:numPr>
              <w:ind w:left="454"/>
              <w:rPr>
                <w:rFonts w:ascii="Book Antiqua" w:hAnsi="Book Antiqua"/>
                <w:b w:val="0"/>
                <w:color w:val="auto"/>
                <w:sz w:val="21"/>
                <w:lang w:val="sq-AL"/>
              </w:rPr>
            </w:pPr>
            <w:r w:rsidRPr="00014D00">
              <w:rPr>
                <w:rFonts w:ascii="Book Antiqua" w:hAnsi="Book Antiqua"/>
                <w:b w:val="0"/>
                <w:sz w:val="21"/>
                <w:szCs w:val="23"/>
                <w:lang w:val="sq-AL"/>
              </w:rPr>
              <w:t>Publikimi në ueb faqe/Platforma elektronike</w:t>
            </w:r>
          </w:p>
        </w:tc>
        <w:tc>
          <w:tcPr>
            <w:tcW w:w="2346" w:type="dxa"/>
          </w:tcPr>
          <w:p w:rsidR="006413D8" w:rsidRPr="00014D00" w:rsidRDefault="006413D8" w:rsidP="00D05FE8">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r w:rsidRPr="00014D00">
              <w:rPr>
                <w:rFonts w:ascii="Book Antiqua" w:hAnsi="Book Antiqua"/>
                <w:color w:val="auto"/>
                <w:sz w:val="21"/>
                <w:lang w:val="sq-AL"/>
              </w:rPr>
              <w:t xml:space="preserve">15 ditë pune </w:t>
            </w:r>
          </w:p>
        </w:tc>
        <w:tc>
          <w:tcPr>
            <w:tcW w:w="2881" w:type="dxa"/>
          </w:tcPr>
          <w:p w:rsidR="006413D8" w:rsidRPr="00014D00" w:rsidRDefault="00D24DC9" w:rsidP="00D05FE8">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r w:rsidRPr="008C6C55">
              <w:rPr>
                <w:rFonts w:ascii="Book Antiqua" w:hAnsi="Book Antiqua"/>
                <w:color w:val="auto"/>
                <w:sz w:val="21"/>
                <w:lang w:val="sq-AL"/>
              </w:rPr>
              <w:t>3</w:t>
            </w:r>
            <w:r w:rsidR="006413D8" w:rsidRPr="008C6C55">
              <w:rPr>
                <w:rFonts w:ascii="Book Antiqua" w:hAnsi="Book Antiqua"/>
                <w:color w:val="auto"/>
                <w:sz w:val="21"/>
                <w:lang w:val="sq-AL"/>
              </w:rPr>
              <w:t>Kontribues</w:t>
            </w:r>
          </w:p>
        </w:tc>
      </w:tr>
      <w:tr w:rsidR="00D24DC9" w:rsidRPr="00014D00" w:rsidTr="00F35245">
        <w:tc>
          <w:tcPr>
            <w:cnfStyle w:val="001000000000" w:firstRow="0" w:lastRow="0" w:firstColumn="1" w:lastColumn="0" w:oddVBand="0" w:evenVBand="0" w:oddHBand="0" w:evenHBand="0" w:firstRowFirstColumn="0" w:firstRowLastColumn="0" w:lastRowFirstColumn="0" w:lastRowLastColumn="0"/>
            <w:tcW w:w="3503" w:type="dxa"/>
            <w:shd w:val="clear" w:color="auto" w:fill="FBE4D5" w:themeFill="accent2" w:themeFillTint="33"/>
          </w:tcPr>
          <w:p w:rsidR="00D24DC9" w:rsidRPr="00014D00" w:rsidRDefault="00D24DC9" w:rsidP="00D24DC9">
            <w:pPr>
              <w:pStyle w:val="Default"/>
              <w:widowControl w:val="0"/>
              <w:numPr>
                <w:ilvl w:val="0"/>
                <w:numId w:val="3"/>
              </w:numPr>
              <w:rPr>
                <w:rFonts w:ascii="Book Antiqua" w:hAnsi="Book Antiqua"/>
                <w:b w:val="0"/>
                <w:sz w:val="21"/>
                <w:szCs w:val="23"/>
                <w:lang w:val="sq-AL"/>
              </w:rPr>
            </w:pPr>
            <w:r w:rsidRPr="00014D00">
              <w:rPr>
                <w:rFonts w:ascii="Book Antiqua" w:hAnsi="Book Antiqua"/>
                <w:b w:val="0"/>
                <w:sz w:val="21"/>
                <w:szCs w:val="23"/>
                <w:lang w:val="sq-AL"/>
              </w:rPr>
              <w:t xml:space="preserve">Takim i Nivelit të Lartë në mes të </w:t>
            </w:r>
            <w:proofErr w:type="spellStart"/>
            <w:r w:rsidRPr="00014D00">
              <w:rPr>
                <w:rFonts w:ascii="Book Antiqua" w:hAnsi="Book Antiqua"/>
                <w:b w:val="0"/>
                <w:sz w:val="21"/>
                <w:szCs w:val="23"/>
                <w:lang w:val="sq-AL"/>
              </w:rPr>
              <w:t>QeK</w:t>
            </w:r>
            <w:proofErr w:type="spellEnd"/>
            <w:r w:rsidRPr="00014D00">
              <w:rPr>
                <w:rFonts w:ascii="Book Antiqua" w:hAnsi="Book Antiqua"/>
                <w:b w:val="0"/>
                <w:sz w:val="21"/>
                <w:szCs w:val="23"/>
                <w:lang w:val="sq-AL"/>
              </w:rPr>
              <w:t>, KE dhe OSHC</w:t>
            </w:r>
          </w:p>
        </w:tc>
        <w:tc>
          <w:tcPr>
            <w:tcW w:w="2346" w:type="dxa"/>
            <w:shd w:val="clear" w:color="auto" w:fill="auto"/>
          </w:tcPr>
          <w:p w:rsidR="00D24DC9" w:rsidRPr="00014D00" w:rsidRDefault="00D24DC9" w:rsidP="00D24DC9">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r w:rsidRPr="00014D00">
              <w:rPr>
                <w:rFonts w:ascii="Book Antiqua" w:hAnsi="Book Antiqua"/>
                <w:color w:val="auto"/>
                <w:sz w:val="21"/>
                <w:lang w:val="sq-AL"/>
              </w:rPr>
              <w:t>04/09/2017</w:t>
            </w:r>
          </w:p>
        </w:tc>
        <w:tc>
          <w:tcPr>
            <w:tcW w:w="2881" w:type="dxa"/>
            <w:shd w:val="clear" w:color="auto" w:fill="auto"/>
          </w:tcPr>
          <w:p w:rsidR="00D24DC9" w:rsidRPr="00014D00" w:rsidRDefault="00D24DC9" w:rsidP="00D24DC9">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r w:rsidRPr="00014D00">
              <w:rPr>
                <w:rFonts w:ascii="Book Antiqua" w:hAnsi="Book Antiqua"/>
                <w:color w:val="auto"/>
                <w:sz w:val="21"/>
                <w:lang w:val="sq-AL"/>
              </w:rPr>
              <w:t>50 Pjesëmarrës</w:t>
            </w:r>
          </w:p>
        </w:tc>
      </w:tr>
      <w:tr w:rsidR="00C017B5" w:rsidRPr="00014D00" w:rsidTr="00F151F2">
        <w:tc>
          <w:tcPr>
            <w:cnfStyle w:val="001000000000" w:firstRow="0" w:lastRow="0" w:firstColumn="1" w:lastColumn="0" w:oddVBand="0" w:evenVBand="0" w:oddHBand="0" w:evenHBand="0" w:firstRowFirstColumn="0" w:firstRowLastColumn="0" w:lastRowFirstColumn="0" w:lastRowLastColumn="0"/>
            <w:tcW w:w="3503" w:type="dxa"/>
            <w:shd w:val="clear" w:color="auto" w:fill="FBE4D5" w:themeFill="accent2" w:themeFillTint="33"/>
          </w:tcPr>
          <w:p w:rsidR="00C017B5" w:rsidRPr="00014D00" w:rsidRDefault="00C017B5" w:rsidP="00C017B5">
            <w:pPr>
              <w:pStyle w:val="Default"/>
              <w:widowControl w:val="0"/>
              <w:numPr>
                <w:ilvl w:val="0"/>
                <w:numId w:val="3"/>
              </w:numPr>
              <w:ind w:left="454"/>
              <w:rPr>
                <w:rFonts w:ascii="Book Antiqua" w:hAnsi="Book Antiqua"/>
                <w:b w:val="0"/>
                <w:color w:val="auto"/>
                <w:sz w:val="21"/>
                <w:lang w:val="sq-AL"/>
              </w:rPr>
            </w:pPr>
            <w:r w:rsidRPr="00014D00">
              <w:rPr>
                <w:rFonts w:ascii="Book Antiqua" w:hAnsi="Book Antiqua"/>
                <w:b w:val="0"/>
                <w:sz w:val="21"/>
                <w:szCs w:val="23"/>
                <w:lang w:val="sq-AL"/>
              </w:rPr>
              <w:t>Punëtori me koordinatorët e fushave</w:t>
            </w:r>
          </w:p>
          <w:p w:rsidR="00C017B5" w:rsidRPr="00014D00" w:rsidRDefault="00C017B5" w:rsidP="00C017B5">
            <w:pPr>
              <w:pStyle w:val="Default"/>
              <w:widowControl w:val="0"/>
              <w:numPr>
                <w:ilvl w:val="0"/>
                <w:numId w:val="11"/>
              </w:numPr>
              <w:rPr>
                <w:rFonts w:ascii="Book Antiqua" w:hAnsi="Book Antiqua"/>
                <w:b w:val="0"/>
                <w:color w:val="auto"/>
                <w:sz w:val="21"/>
                <w:lang w:val="sq-AL"/>
              </w:rPr>
            </w:pPr>
            <w:r w:rsidRPr="00014D00">
              <w:rPr>
                <w:rFonts w:ascii="Book Antiqua" w:hAnsi="Book Antiqua"/>
                <w:b w:val="0"/>
                <w:sz w:val="21"/>
                <w:szCs w:val="23"/>
                <w:lang w:val="sq-AL"/>
              </w:rPr>
              <w:t xml:space="preserve">ZPS ka organizuar punëtori dyditore me Koordinatorët e fushave të PRE, </w:t>
            </w:r>
            <w:r w:rsidRPr="00014D00">
              <w:rPr>
                <w:rFonts w:ascii="Book Antiqua" w:hAnsi="Book Antiqua"/>
                <w:b w:val="0"/>
                <w:sz w:val="21"/>
                <w:szCs w:val="23"/>
                <w:lang w:val="sq-AL"/>
              </w:rPr>
              <w:lastRenderedPageBreak/>
              <w:t xml:space="preserve">Komisionin Evropian, OECD për PRE 2018-2022. </w:t>
            </w:r>
          </w:p>
        </w:tc>
        <w:tc>
          <w:tcPr>
            <w:tcW w:w="2346" w:type="dxa"/>
            <w:tcBorders>
              <w:bottom w:val="single" w:sz="4" w:space="0" w:color="B4C6E7"/>
            </w:tcBorders>
            <w:shd w:val="clear" w:color="auto" w:fill="auto"/>
          </w:tcPr>
          <w:p w:rsidR="00C017B5" w:rsidRPr="00014D00" w:rsidRDefault="00C017B5" w:rsidP="00C017B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p>
          <w:p w:rsidR="00C017B5" w:rsidRPr="00014D00" w:rsidRDefault="00C017B5" w:rsidP="00C017B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r w:rsidRPr="00014D00">
              <w:rPr>
                <w:rFonts w:ascii="Book Antiqua" w:hAnsi="Book Antiqua"/>
                <w:color w:val="auto"/>
                <w:sz w:val="21"/>
                <w:lang w:val="sq-AL"/>
              </w:rPr>
              <w:t xml:space="preserve">09-10/11/ 2017 </w:t>
            </w:r>
          </w:p>
          <w:p w:rsidR="00C017B5" w:rsidRPr="00014D00" w:rsidRDefault="00C017B5" w:rsidP="00C017B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p>
        </w:tc>
        <w:tc>
          <w:tcPr>
            <w:tcW w:w="2881" w:type="dxa"/>
            <w:tcBorders>
              <w:bottom w:val="single" w:sz="4" w:space="0" w:color="B4C6E7"/>
            </w:tcBorders>
            <w:shd w:val="clear" w:color="auto" w:fill="auto"/>
          </w:tcPr>
          <w:p w:rsidR="00C017B5" w:rsidRPr="00014D00" w:rsidRDefault="00C017B5" w:rsidP="00C017B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p>
          <w:p w:rsidR="00C017B5" w:rsidRPr="00014D00" w:rsidRDefault="00C017B5" w:rsidP="00C017B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r w:rsidRPr="00014D00">
              <w:rPr>
                <w:rFonts w:ascii="Book Antiqua" w:hAnsi="Book Antiqua"/>
                <w:color w:val="auto"/>
                <w:sz w:val="21"/>
                <w:lang w:val="sq-AL"/>
              </w:rPr>
              <w:t>26Pjesëmarrës</w:t>
            </w:r>
          </w:p>
          <w:p w:rsidR="00C017B5" w:rsidRPr="00014D00" w:rsidRDefault="00C017B5" w:rsidP="00C017B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p>
        </w:tc>
      </w:tr>
      <w:tr w:rsidR="009F7075" w:rsidRPr="00014D00" w:rsidTr="00D94AB2">
        <w:tc>
          <w:tcPr>
            <w:cnfStyle w:val="001000000000" w:firstRow="0" w:lastRow="0" w:firstColumn="1" w:lastColumn="0" w:oddVBand="0" w:evenVBand="0" w:oddHBand="0" w:evenHBand="0" w:firstRowFirstColumn="0" w:firstRowLastColumn="0" w:lastRowFirstColumn="0" w:lastRowLastColumn="0"/>
            <w:tcW w:w="3503" w:type="dxa"/>
            <w:shd w:val="clear" w:color="auto" w:fill="FBE4D5" w:themeFill="accent2" w:themeFillTint="33"/>
          </w:tcPr>
          <w:p w:rsidR="009F7075" w:rsidRPr="00014D00" w:rsidRDefault="009F7075" w:rsidP="009F7075">
            <w:pPr>
              <w:pStyle w:val="Default"/>
              <w:widowControl w:val="0"/>
              <w:rPr>
                <w:rFonts w:ascii="Book Antiqua" w:hAnsi="Book Antiqua"/>
                <w:b w:val="0"/>
                <w:sz w:val="21"/>
                <w:szCs w:val="23"/>
                <w:lang w:val="sq-AL"/>
              </w:rPr>
            </w:pPr>
            <w:r w:rsidRPr="00014D00">
              <w:rPr>
                <w:rFonts w:ascii="Book Antiqua" w:hAnsi="Book Antiqua"/>
                <w:b w:val="0"/>
                <w:sz w:val="21"/>
                <w:szCs w:val="23"/>
                <w:lang w:val="sq-AL"/>
              </w:rPr>
              <w:lastRenderedPageBreak/>
              <w:t>Takimet të përbashkëta me Koordinatorët e fushave dhe Ministritë e Linjës:</w:t>
            </w:r>
          </w:p>
          <w:p w:rsidR="009F7075" w:rsidRPr="00014D00" w:rsidRDefault="009F7075" w:rsidP="009F7075">
            <w:pPr>
              <w:pStyle w:val="Default"/>
              <w:widowControl w:val="0"/>
              <w:rPr>
                <w:rFonts w:ascii="Book Antiqua" w:hAnsi="Book Antiqua"/>
                <w:b w:val="0"/>
                <w:sz w:val="21"/>
                <w:szCs w:val="23"/>
                <w:lang w:val="sq-AL"/>
              </w:rPr>
            </w:pPr>
          </w:p>
          <w:p w:rsidR="003A1884" w:rsidRPr="00014D00" w:rsidRDefault="003A1884" w:rsidP="003A1884">
            <w:pPr>
              <w:pStyle w:val="ListParagraph"/>
              <w:numPr>
                <w:ilvl w:val="0"/>
                <w:numId w:val="5"/>
              </w:numPr>
              <w:rPr>
                <w:rFonts w:ascii="Book Antiqua" w:hAnsi="Book Antiqua" w:cs="Times New Roman"/>
                <w:b w:val="0"/>
                <w:color w:val="000000"/>
                <w:sz w:val="21"/>
                <w:szCs w:val="23"/>
                <w:lang w:val="sq-AL"/>
              </w:rPr>
            </w:pPr>
            <w:r w:rsidRPr="00014D00">
              <w:rPr>
                <w:rFonts w:ascii="Book Antiqua" w:hAnsi="Book Antiqua" w:cs="Times New Roman"/>
                <w:b w:val="0"/>
                <w:color w:val="000000"/>
                <w:sz w:val="21"/>
                <w:szCs w:val="23"/>
                <w:lang w:val="sq-AL"/>
              </w:rPr>
              <w:t>Fusha për Menaxhimin e Financave Publike;</w:t>
            </w:r>
          </w:p>
          <w:p w:rsidR="003A1884" w:rsidRPr="00014D00" w:rsidRDefault="003A1884" w:rsidP="003A1884">
            <w:pPr>
              <w:pStyle w:val="ListParagraph"/>
              <w:numPr>
                <w:ilvl w:val="0"/>
                <w:numId w:val="5"/>
              </w:numPr>
              <w:rPr>
                <w:rFonts w:ascii="Book Antiqua" w:hAnsi="Book Antiqua" w:cs="Times New Roman"/>
                <w:b w:val="0"/>
                <w:color w:val="000000"/>
                <w:sz w:val="21"/>
                <w:szCs w:val="23"/>
                <w:lang w:val="sq-AL"/>
              </w:rPr>
            </w:pPr>
            <w:r w:rsidRPr="00014D00">
              <w:rPr>
                <w:rFonts w:ascii="Book Antiqua" w:hAnsi="Book Antiqua" w:cs="Times New Roman"/>
                <w:b w:val="0"/>
                <w:color w:val="000000"/>
                <w:sz w:val="21"/>
                <w:szCs w:val="23"/>
                <w:lang w:val="sq-AL"/>
              </w:rPr>
              <w:t>Fusha për Reformat e ndërlidhura me Tregun;</w:t>
            </w:r>
          </w:p>
          <w:p w:rsidR="009F7075" w:rsidRPr="00014D00" w:rsidRDefault="00CC6AED" w:rsidP="009F7075">
            <w:pPr>
              <w:pStyle w:val="ListParagraph"/>
              <w:numPr>
                <w:ilvl w:val="0"/>
                <w:numId w:val="5"/>
              </w:numPr>
              <w:rPr>
                <w:rFonts w:ascii="Book Antiqua" w:hAnsi="Book Antiqua" w:cs="Times New Roman"/>
                <w:b w:val="0"/>
                <w:color w:val="000000"/>
                <w:sz w:val="21"/>
                <w:szCs w:val="23"/>
                <w:lang w:val="sq-AL"/>
              </w:rPr>
            </w:pPr>
            <w:r w:rsidRPr="00014D00">
              <w:rPr>
                <w:rFonts w:ascii="Book Antiqua" w:hAnsi="Book Antiqua" w:cs="Times New Roman"/>
                <w:b w:val="0"/>
                <w:color w:val="000000"/>
                <w:sz w:val="21"/>
                <w:szCs w:val="23"/>
                <w:lang w:val="sq-AL"/>
              </w:rPr>
              <w:t>Fusha</w:t>
            </w:r>
            <w:r w:rsidR="009F7075" w:rsidRPr="00014D00">
              <w:rPr>
                <w:rFonts w:ascii="Book Antiqua" w:hAnsi="Book Antiqua" w:cs="Times New Roman"/>
                <w:b w:val="0"/>
                <w:color w:val="000000"/>
                <w:sz w:val="21"/>
                <w:szCs w:val="23"/>
                <w:lang w:val="sq-AL"/>
              </w:rPr>
              <w:t xml:space="preserve"> për </w:t>
            </w:r>
            <w:proofErr w:type="spellStart"/>
            <w:r w:rsidRPr="00014D00">
              <w:rPr>
                <w:rFonts w:ascii="Book Antiqua" w:hAnsi="Book Antiqua" w:cs="Times New Roman"/>
                <w:b w:val="0"/>
                <w:color w:val="000000"/>
                <w:sz w:val="21"/>
                <w:szCs w:val="23"/>
                <w:lang w:val="sq-AL"/>
              </w:rPr>
              <w:t>Reformeën</w:t>
            </w:r>
            <w:proofErr w:type="spellEnd"/>
            <w:r w:rsidRPr="00014D00">
              <w:rPr>
                <w:rFonts w:ascii="Book Antiqua" w:hAnsi="Book Antiqua" w:cs="Times New Roman"/>
                <w:b w:val="0"/>
                <w:color w:val="000000"/>
                <w:sz w:val="21"/>
                <w:szCs w:val="23"/>
                <w:lang w:val="sq-AL"/>
              </w:rPr>
              <w:t xml:space="preserve"> e Tregut të Energjisë dhe Transportit</w:t>
            </w:r>
            <w:r w:rsidR="009F7075" w:rsidRPr="00014D00">
              <w:rPr>
                <w:rFonts w:ascii="Book Antiqua" w:hAnsi="Book Antiqua" w:cs="Times New Roman"/>
                <w:b w:val="0"/>
                <w:color w:val="000000"/>
                <w:sz w:val="21"/>
                <w:szCs w:val="23"/>
                <w:lang w:val="sq-AL"/>
              </w:rPr>
              <w:t xml:space="preserve">; </w:t>
            </w:r>
          </w:p>
          <w:p w:rsidR="003A1884" w:rsidRPr="00014D00" w:rsidRDefault="003A1884" w:rsidP="009F7075">
            <w:pPr>
              <w:pStyle w:val="ListParagraph"/>
              <w:numPr>
                <w:ilvl w:val="0"/>
                <w:numId w:val="5"/>
              </w:numPr>
              <w:rPr>
                <w:rFonts w:ascii="Book Antiqua" w:hAnsi="Book Antiqua" w:cs="Times New Roman"/>
                <w:b w:val="0"/>
                <w:color w:val="000000"/>
                <w:sz w:val="21"/>
                <w:szCs w:val="23"/>
                <w:lang w:val="sq-AL"/>
              </w:rPr>
            </w:pPr>
            <w:r w:rsidRPr="00014D00">
              <w:rPr>
                <w:rFonts w:ascii="Book Antiqua" w:hAnsi="Book Antiqua" w:cs="Times New Roman"/>
                <w:b w:val="0"/>
                <w:color w:val="000000"/>
                <w:sz w:val="21"/>
                <w:szCs w:val="23"/>
                <w:lang w:val="sq-AL"/>
              </w:rPr>
              <w:t xml:space="preserve">Fusha Inovacioni, Hulumtimi dhe Zhvillimi (IHZH) dhe Ekonomia Digjitale &amp; Edukimi dhe </w:t>
            </w:r>
            <w:proofErr w:type="spellStart"/>
            <w:r w:rsidRPr="00014D00">
              <w:rPr>
                <w:rFonts w:ascii="Book Antiqua" w:hAnsi="Book Antiqua" w:cs="Times New Roman"/>
                <w:b w:val="0"/>
                <w:color w:val="000000"/>
                <w:sz w:val="21"/>
                <w:szCs w:val="23"/>
                <w:lang w:val="sq-AL"/>
              </w:rPr>
              <w:t>Shkathësitë</w:t>
            </w:r>
            <w:proofErr w:type="spellEnd"/>
            <w:r w:rsidRPr="00014D00">
              <w:rPr>
                <w:rFonts w:ascii="Book Antiqua" w:hAnsi="Book Antiqua" w:cs="Times New Roman"/>
                <w:b w:val="0"/>
                <w:color w:val="000000"/>
                <w:sz w:val="21"/>
                <w:szCs w:val="23"/>
                <w:lang w:val="sq-AL"/>
              </w:rPr>
              <w:t>.</w:t>
            </w:r>
          </w:p>
          <w:p w:rsidR="009F7075" w:rsidRPr="00014D00" w:rsidRDefault="00CC6AED" w:rsidP="009F7075">
            <w:pPr>
              <w:pStyle w:val="ListParagraph"/>
              <w:numPr>
                <w:ilvl w:val="0"/>
                <w:numId w:val="5"/>
              </w:numPr>
              <w:rPr>
                <w:rFonts w:ascii="Book Antiqua" w:hAnsi="Book Antiqua" w:cs="Times New Roman"/>
                <w:b w:val="0"/>
                <w:color w:val="000000"/>
                <w:sz w:val="21"/>
                <w:szCs w:val="23"/>
                <w:lang w:val="sq-AL"/>
              </w:rPr>
            </w:pPr>
            <w:r w:rsidRPr="00014D00">
              <w:rPr>
                <w:rFonts w:ascii="Book Antiqua" w:hAnsi="Book Antiqua" w:cs="Times New Roman"/>
                <w:b w:val="0"/>
                <w:color w:val="000000"/>
                <w:sz w:val="21"/>
                <w:szCs w:val="23"/>
                <w:lang w:val="sq-AL"/>
              </w:rPr>
              <w:t>Fusha Tregu i Punës</w:t>
            </w:r>
            <w:r w:rsidR="009F7075" w:rsidRPr="00014D00">
              <w:rPr>
                <w:rFonts w:ascii="Book Antiqua" w:hAnsi="Book Antiqua" w:cs="Times New Roman"/>
                <w:b w:val="0"/>
                <w:color w:val="000000"/>
                <w:sz w:val="21"/>
                <w:szCs w:val="23"/>
                <w:lang w:val="sq-AL"/>
              </w:rPr>
              <w:t xml:space="preserve">; </w:t>
            </w:r>
            <w:r w:rsidRPr="00014D00">
              <w:rPr>
                <w:rFonts w:ascii="Book Antiqua" w:hAnsi="Book Antiqua" w:cs="Times New Roman"/>
                <w:b w:val="0"/>
                <w:color w:val="000000"/>
                <w:sz w:val="21"/>
                <w:szCs w:val="23"/>
                <w:lang w:val="sq-AL"/>
              </w:rPr>
              <w:t>dhe Përfshirja Sociale</w:t>
            </w:r>
            <w:r w:rsidR="009F7075" w:rsidRPr="00014D00">
              <w:rPr>
                <w:rFonts w:ascii="Book Antiqua" w:hAnsi="Book Antiqua" w:cs="Times New Roman"/>
                <w:b w:val="0"/>
                <w:color w:val="000000"/>
                <w:sz w:val="21"/>
                <w:szCs w:val="23"/>
                <w:lang w:val="sq-AL"/>
              </w:rPr>
              <w:t xml:space="preserve">, </w:t>
            </w:r>
            <w:r w:rsidRPr="00014D00">
              <w:rPr>
                <w:rFonts w:ascii="Book Antiqua" w:hAnsi="Book Antiqua" w:cs="Times New Roman"/>
                <w:b w:val="0"/>
                <w:color w:val="000000"/>
                <w:sz w:val="21"/>
                <w:szCs w:val="23"/>
                <w:lang w:val="sq-AL"/>
              </w:rPr>
              <w:t>Ulja e varfërisë dhe mundësitë e barabarta</w:t>
            </w:r>
            <w:r w:rsidR="009F7075" w:rsidRPr="00014D00">
              <w:rPr>
                <w:rFonts w:ascii="Book Antiqua" w:hAnsi="Book Antiqua" w:cs="Times New Roman"/>
                <w:b w:val="0"/>
                <w:color w:val="000000"/>
                <w:sz w:val="21"/>
                <w:szCs w:val="23"/>
                <w:lang w:val="sq-AL"/>
              </w:rPr>
              <w:t>.</w:t>
            </w:r>
          </w:p>
          <w:p w:rsidR="009F7075" w:rsidRPr="00014D00" w:rsidRDefault="00CC6AED" w:rsidP="00CC6AED">
            <w:pPr>
              <w:pStyle w:val="ListParagraph"/>
              <w:numPr>
                <w:ilvl w:val="0"/>
                <w:numId w:val="5"/>
              </w:numPr>
              <w:rPr>
                <w:rFonts w:ascii="Book Antiqua" w:hAnsi="Book Antiqua" w:cs="Times New Roman"/>
                <w:b w:val="0"/>
                <w:color w:val="000000"/>
                <w:sz w:val="21"/>
                <w:szCs w:val="23"/>
                <w:lang w:val="sq-AL"/>
              </w:rPr>
            </w:pPr>
            <w:r w:rsidRPr="00014D00">
              <w:rPr>
                <w:rFonts w:ascii="Book Antiqua" w:hAnsi="Book Antiqua" w:cs="Times New Roman"/>
                <w:b w:val="0"/>
                <w:color w:val="000000"/>
                <w:sz w:val="21"/>
                <w:szCs w:val="23"/>
                <w:lang w:val="sq-AL"/>
              </w:rPr>
              <w:t xml:space="preserve">Fusha Inovacioni, Hulumtimi dhe Zhvillimi (IHZH) dhe Ekonomia Digjitale &amp; Edukimi dhe </w:t>
            </w:r>
            <w:proofErr w:type="spellStart"/>
            <w:r w:rsidRPr="00014D00">
              <w:rPr>
                <w:rFonts w:ascii="Book Antiqua" w:hAnsi="Book Antiqua" w:cs="Times New Roman"/>
                <w:b w:val="0"/>
                <w:color w:val="000000"/>
                <w:sz w:val="21"/>
                <w:szCs w:val="23"/>
                <w:lang w:val="sq-AL"/>
              </w:rPr>
              <w:t>Shkathësitë</w:t>
            </w:r>
            <w:proofErr w:type="spellEnd"/>
            <w:r w:rsidR="009F7075" w:rsidRPr="00014D00">
              <w:rPr>
                <w:rFonts w:ascii="Book Antiqua" w:hAnsi="Book Antiqua" w:cs="Times New Roman"/>
                <w:b w:val="0"/>
                <w:color w:val="000000"/>
                <w:sz w:val="21"/>
                <w:szCs w:val="23"/>
                <w:lang w:val="sq-AL"/>
              </w:rPr>
              <w:t>.</w:t>
            </w:r>
          </w:p>
        </w:tc>
        <w:tc>
          <w:tcPr>
            <w:tcW w:w="2346" w:type="dxa"/>
            <w:shd w:val="clear" w:color="auto" w:fill="auto"/>
          </w:tcPr>
          <w:p w:rsidR="009F7075" w:rsidRPr="00014D00" w:rsidRDefault="009F7075"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p>
          <w:p w:rsidR="009F7075" w:rsidRPr="00014D00" w:rsidRDefault="009F7075"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p>
          <w:p w:rsidR="003A1884" w:rsidRPr="00014D00" w:rsidRDefault="003A1884" w:rsidP="009F7075">
            <w:pPr>
              <w:pStyle w:val="Default"/>
              <w:cnfStyle w:val="000000000000" w:firstRow="0" w:lastRow="0" w:firstColumn="0" w:lastColumn="0" w:oddVBand="0" w:evenVBand="0" w:oddHBand="0" w:evenHBand="0" w:firstRowFirstColumn="0" w:firstRowLastColumn="0" w:lastRowFirstColumn="0" w:lastRowLastColumn="0"/>
              <w:rPr>
                <w:lang w:val="sq-AL"/>
              </w:rPr>
            </w:pPr>
          </w:p>
          <w:p w:rsidR="00B354CB" w:rsidRPr="00014D00" w:rsidRDefault="00B354CB" w:rsidP="009F7075">
            <w:pPr>
              <w:pStyle w:val="Default"/>
              <w:cnfStyle w:val="000000000000" w:firstRow="0" w:lastRow="0" w:firstColumn="0" w:lastColumn="0" w:oddVBand="0" w:evenVBand="0" w:oddHBand="0" w:evenHBand="0" w:firstRowFirstColumn="0" w:firstRowLastColumn="0" w:lastRowFirstColumn="0" w:lastRowLastColumn="0"/>
              <w:rPr>
                <w:lang w:val="sq-AL"/>
              </w:rPr>
            </w:pPr>
          </w:p>
          <w:p w:rsidR="009F7075" w:rsidRPr="00014D00" w:rsidRDefault="009F7075"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r w:rsidRPr="00014D00">
              <w:rPr>
                <w:lang w:val="sq-AL"/>
              </w:rPr>
              <w:t xml:space="preserve">11.09. </w:t>
            </w:r>
            <w:r w:rsidRPr="00014D00">
              <w:rPr>
                <w:rFonts w:ascii="Book Antiqua" w:hAnsi="Book Antiqua"/>
                <w:color w:val="auto"/>
                <w:sz w:val="21"/>
                <w:lang w:val="sq-AL"/>
              </w:rPr>
              <w:t>2017</w:t>
            </w:r>
          </w:p>
          <w:p w:rsidR="009F7075" w:rsidRPr="00014D00" w:rsidRDefault="009F7075"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bCs/>
                <w:sz w:val="21"/>
                <w:szCs w:val="23"/>
                <w:lang w:val="sq-AL"/>
              </w:rPr>
            </w:pPr>
          </w:p>
          <w:p w:rsidR="009F7075" w:rsidRPr="00014D00" w:rsidRDefault="009F7075"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bCs/>
                <w:sz w:val="21"/>
                <w:szCs w:val="23"/>
                <w:lang w:val="sq-AL"/>
              </w:rPr>
            </w:pPr>
          </w:p>
          <w:p w:rsidR="009F7075" w:rsidRPr="00014D00" w:rsidRDefault="009F7075"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r w:rsidRPr="00014D00">
              <w:rPr>
                <w:rFonts w:ascii="Book Antiqua" w:hAnsi="Book Antiqua"/>
                <w:color w:val="auto"/>
                <w:sz w:val="21"/>
                <w:lang w:val="sq-AL"/>
              </w:rPr>
              <w:t>11.10.2017</w:t>
            </w:r>
          </w:p>
          <w:p w:rsidR="009F7075" w:rsidRPr="00014D00" w:rsidRDefault="009F7075"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bCs/>
                <w:sz w:val="21"/>
                <w:szCs w:val="23"/>
                <w:lang w:val="sq-AL"/>
              </w:rPr>
            </w:pPr>
          </w:p>
          <w:p w:rsidR="009F7075" w:rsidRPr="00014D00" w:rsidRDefault="009F7075"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p>
          <w:p w:rsidR="009F7075" w:rsidRPr="00014D00" w:rsidRDefault="009F7075"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bCs/>
                <w:sz w:val="21"/>
                <w:szCs w:val="23"/>
                <w:lang w:val="sq-AL"/>
              </w:rPr>
            </w:pPr>
            <w:r w:rsidRPr="00014D00">
              <w:rPr>
                <w:rFonts w:ascii="Book Antiqua" w:hAnsi="Book Antiqua"/>
                <w:color w:val="auto"/>
                <w:sz w:val="21"/>
                <w:lang w:val="sq-AL"/>
              </w:rPr>
              <w:t>12.10.2017</w:t>
            </w:r>
          </w:p>
          <w:p w:rsidR="009F7075" w:rsidRPr="00014D00" w:rsidRDefault="009F7075"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bCs/>
                <w:sz w:val="21"/>
                <w:szCs w:val="23"/>
                <w:lang w:val="sq-AL"/>
              </w:rPr>
            </w:pPr>
          </w:p>
          <w:p w:rsidR="009F7075" w:rsidRPr="00014D00" w:rsidRDefault="009F7075"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bCs/>
                <w:sz w:val="21"/>
                <w:szCs w:val="23"/>
                <w:lang w:val="sq-AL"/>
              </w:rPr>
            </w:pPr>
          </w:p>
          <w:p w:rsidR="009F7075" w:rsidRPr="00014D00" w:rsidRDefault="009F7075"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bCs/>
                <w:sz w:val="21"/>
                <w:szCs w:val="23"/>
                <w:lang w:val="sq-AL"/>
              </w:rPr>
            </w:pPr>
            <w:r w:rsidRPr="00014D00">
              <w:rPr>
                <w:rFonts w:ascii="Book Antiqua" w:hAnsi="Book Antiqua"/>
                <w:bCs/>
                <w:sz w:val="21"/>
                <w:szCs w:val="23"/>
                <w:lang w:val="sq-AL"/>
              </w:rPr>
              <w:t>13.10.2017</w:t>
            </w:r>
          </w:p>
          <w:p w:rsidR="009F7075" w:rsidRPr="00014D00" w:rsidRDefault="009F7075"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bCs/>
                <w:sz w:val="21"/>
                <w:szCs w:val="23"/>
                <w:lang w:val="sq-AL"/>
              </w:rPr>
            </w:pPr>
          </w:p>
          <w:p w:rsidR="009F7075" w:rsidRPr="00014D00" w:rsidRDefault="009F7075"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bCs/>
                <w:sz w:val="21"/>
                <w:szCs w:val="23"/>
                <w:lang w:val="sq-AL"/>
              </w:rPr>
            </w:pPr>
          </w:p>
          <w:p w:rsidR="009F7075" w:rsidRPr="00014D00" w:rsidRDefault="009F7075"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bCs/>
                <w:sz w:val="21"/>
                <w:szCs w:val="23"/>
                <w:lang w:val="sq-AL"/>
              </w:rPr>
            </w:pPr>
          </w:p>
          <w:p w:rsidR="00B354CB" w:rsidRPr="00014D00" w:rsidRDefault="00B354CB"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bCs/>
                <w:sz w:val="21"/>
                <w:szCs w:val="23"/>
                <w:lang w:val="sq-AL"/>
              </w:rPr>
            </w:pPr>
          </w:p>
          <w:p w:rsidR="00B354CB" w:rsidRPr="00014D00" w:rsidRDefault="00B354CB"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bCs/>
                <w:sz w:val="21"/>
                <w:szCs w:val="23"/>
                <w:lang w:val="sq-AL"/>
              </w:rPr>
            </w:pPr>
          </w:p>
          <w:p w:rsidR="00B354CB" w:rsidRPr="00014D00" w:rsidRDefault="00B354CB"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bCs/>
                <w:sz w:val="21"/>
                <w:szCs w:val="23"/>
                <w:lang w:val="sq-AL"/>
              </w:rPr>
            </w:pPr>
          </w:p>
          <w:p w:rsidR="009F7075" w:rsidRPr="00014D00" w:rsidRDefault="009F7075"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bCs/>
                <w:sz w:val="21"/>
                <w:szCs w:val="23"/>
                <w:lang w:val="sq-AL"/>
              </w:rPr>
            </w:pPr>
            <w:r w:rsidRPr="00014D00">
              <w:rPr>
                <w:rFonts w:ascii="Book Antiqua" w:hAnsi="Book Antiqua"/>
                <w:bCs/>
                <w:sz w:val="21"/>
                <w:szCs w:val="23"/>
                <w:lang w:val="sq-AL"/>
              </w:rPr>
              <w:t>13.10. 2017</w:t>
            </w:r>
          </w:p>
          <w:p w:rsidR="009F7075" w:rsidRPr="00014D00" w:rsidRDefault="009F7075"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bCs/>
                <w:sz w:val="21"/>
                <w:szCs w:val="23"/>
                <w:lang w:val="sq-AL"/>
              </w:rPr>
            </w:pPr>
          </w:p>
          <w:p w:rsidR="009F7075" w:rsidRPr="00014D00" w:rsidRDefault="009F7075"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bCs/>
                <w:sz w:val="21"/>
                <w:szCs w:val="23"/>
                <w:lang w:val="sq-AL"/>
              </w:rPr>
            </w:pPr>
          </w:p>
          <w:p w:rsidR="009F7075" w:rsidRPr="00014D00" w:rsidRDefault="009F7075"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bCs/>
                <w:sz w:val="21"/>
                <w:szCs w:val="23"/>
                <w:lang w:val="sq-AL"/>
              </w:rPr>
            </w:pPr>
          </w:p>
          <w:p w:rsidR="00B354CB" w:rsidRPr="00014D00" w:rsidRDefault="00B354CB"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bCs/>
                <w:sz w:val="21"/>
                <w:szCs w:val="23"/>
                <w:lang w:val="sq-AL"/>
              </w:rPr>
            </w:pPr>
          </w:p>
          <w:p w:rsidR="00B354CB" w:rsidRPr="00014D00" w:rsidRDefault="00B354CB"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bCs/>
                <w:sz w:val="21"/>
                <w:szCs w:val="23"/>
                <w:lang w:val="sq-AL"/>
              </w:rPr>
            </w:pPr>
          </w:p>
          <w:p w:rsidR="00B354CB" w:rsidRPr="00014D00" w:rsidRDefault="00B354CB"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bCs/>
                <w:sz w:val="21"/>
                <w:szCs w:val="23"/>
                <w:lang w:val="sq-AL"/>
              </w:rPr>
            </w:pPr>
          </w:p>
          <w:p w:rsidR="009F7075" w:rsidRPr="00014D00" w:rsidRDefault="009F7075"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r w:rsidRPr="00014D00">
              <w:rPr>
                <w:rFonts w:ascii="Book Antiqua" w:hAnsi="Book Antiqua"/>
                <w:bCs/>
                <w:sz w:val="21"/>
                <w:szCs w:val="23"/>
                <w:lang w:val="sq-AL"/>
              </w:rPr>
              <w:t>13.10.2017</w:t>
            </w:r>
          </w:p>
        </w:tc>
        <w:tc>
          <w:tcPr>
            <w:tcW w:w="2881" w:type="dxa"/>
            <w:shd w:val="clear" w:color="auto" w:fill="auto"/>
          </w:tcPr>
          <w:p w:rsidR="009F7075" w:rsidRPr="00014D00" w:rsidRDefault="009F7075"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p>
          <w:p w:rsidR="009F7075" w:rsidRPr="00014D00" w:rsidRDefault="009F7075"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p>
          <w:p w:rsidR="003A1884" w:rsidRPr="00014D00" w:rsidRDefault="003A1884"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p>
          <w:p w:rsidR="00B354CB" w:rsidRPr="00014D00" w:rsidRDefault="00B354CB"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p>
          <w:p w:rsidR="009F7075" w:rsidRPr="00014D00" w:rsidRDefault="009F7075"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r w:rsidRPr="00014D00">
              <w:rPr>
                <w:rFonts w:ascii="Book Antiqua" w:hAnsi="Book Antiqua"/>
                <w:color w:val="auto"/>
                <w:sz w:val="21"/>
                <w:lang w:val="sq-AL"/>
              </w:rPr>
              <w:t>4 Pjesëmarrës</w:t>
            </w:r>
          </w:p>
          <w:p w:rsidR="009F7075" w:rsidRPr="00014D00" w:rsidRDefault="009F7075"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p>
          <w:p w:rsidR="009F7075" w:rsidRPr="00014D00" w:rsidRDefault="009F7075"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p>
          <w:p w:rsidR="009F7075" w:rsidRPr="00014D00" w:rsidRDefault="009F7075"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r w:rsidRPr="00014D00">
              <w:rPr>
                <w:rFonts w:ascii="Book Antiqua" w:hAnsi="Book Antiqua"/>
                <w:color w:val="auto"/>
                <w:sz w:val="21"/>
                <w:lang w:val="sq-AL"/>
              </w:rPr>
              <w:t>7 Pjesëmarrës</w:t>
            </w:r>
          </w:p>
          <w:p w:rsidR="009F7075" w:rsidRPr="00014D00" w:rsidRDefault="009F7075"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p>
          <w:p w:rsidR="009F7075" w:rsidRPr="00014D00" w:rsidRDefault="009F7075"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p>
          <w:p w:rsidR="009F7075" w:rsidRPr="00014D00" w:rsidRDefault="009F7075"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r w:rsidRPr="00014D00">
              <w:rPr>
                <w:rFonts w:ascii="Book Antiqua" w:hAnsi="Book Antiqua"/>
                <w:color w:val="auto"/>
                <w:sz w:val="21"/>
                <w:lang w:val="sq-AL"/>
              </w:rPr>
              <w:t>8 Pjesëmarrës</w:t>
            </w:r>
          </w:p>
          <w:p w:rsidR="009F7075" w:rsidRPr="00014D00" w:rsidRDefault="009F7075"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p>
          <w:p w:rsidR="009F7075" w:rsidRPr="00014D00" w:rsidRDefault="009F7075"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p>
          <w:p w:rsidR="009F7075" w:rsidRPr="00014D00" w:rsidRDefault="009F7075"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r w:rsidRPr="00014D00">
              <w:rPr>
                <w:rFonts w:ascii="Book Antiqua" w:hAnsi="Book Antiqua"/>
                <w:color w:val="auto"/>
                <w:sz w:val="21"/>
                <w:lang w:val="sq-AL"/>
              </w:rPr>
              <w:t>11 Pjesëmarrës</w:t>
            </w:r>
          </w:p>
          <w:p w:rsidR="009F7075" w:rsidRPr="00014D00" w:rsidRDefault="009F7075"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p>
          <w:p w:rsidR="009F7075" w:rsidRPr="00014D00" w:rsidRDefault="009F7075"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p>
          <w:p w:rsidR="009F7075" w:rsidRPr="00014D00" w:rsidRDefault="009F7075"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p>
          <w:p w:rsidR="009F7075" w:rsidRPr="00014D00" w:rsidRDefault="009F7075"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p>
          <w:p w:rsidR="00B354CB" w:rsidRPr="00014D00" w:rsidRDefault="00B354CB"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p>
          <w:p w:rsidR="00B354CB" w:rsidRPr="00014D00" w:rsidRDefault="00B354CB"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p>
          <w:p w:rsidR="009F7075" w:rsidRPr="00014D00" w:rsidRDefault="009F7075"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r w:rsidRPr="00014D00">
              <w:rPr>
                <w:rFonts w:ascii="Book Antiqua" w:hAnsi="Book Antiqua"/>
                <w:color w:val="auto"/>
                <w:sz w:val="21"/>
                <w:lang w:val="sq-AL"/>
              </w:rPr>
              <w:t>7 Pjesëmarrës</w:t>
            </w:r>
          </w:p>
          <w:p w:rsidR="009F7075" w:rsidRPr="00014D00" w:rsidRDefault="009F7075"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p>
          <w:p w:rsidR="009F7075" w:rsidRPr="00014D00" w:rsidRDefault="009F7075"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p>
          <w:p w:rsidR="00B354CB" w:rsidRPr="00014D00" w:rsidRDefault="00B354CB"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p>
          <w:p w:rsidR="00B354CB" w:rsidRPr="00014D00" w:rsidRDefault="00B354CB"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p>
          <w:p w:rsidR="00B354CB" w:rsidRPr="00014D00" w:rsidRDefault="00B354CB"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p>
          <w:p w:rsidR="009F7075" w:rsidRPr="00014D00" w:rsidRDefault="009F7075"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r w:rsidRPr="00014D00">
              <w:rPr>
                <w:rFonts w:ascii="Book Antiqua" w:hAnsi="Book Antiqua"/>
                <w:color w:val="auto"/>
                <w:sz w:val="21"/>
                <w:lang w:val="sq-AL"/>
              </w:rPr>
              <w:t>11 Pjesëmarrës</w:t>
            </w:r>
          </w:p>
        </w:tc>
      </w:tr>
      <w:tr w:rsidR="009F7075" w:rsidRPr="00014D00" w:rsidTr="000520B4">
        <w:tc>
          <w:tcPr>
            <w:cnfStyle w:val="001000000000" w:firstRow="0" w:lastRow="0" w:firstColumn="1" w:lastColumn="0" w:oddVBand="0" w:evenVBand="0" w:oddHBand="0" w:evenHBand="0" w:firstRowFirstColumn="0" w:firstRowLastColumn="0" w:lastRowFirstColumn="0" w:lastRowLastColumn="0"/>
            <w:tcW w:w="3503" w:type="dxa"/>
            <w:shd w:val="clear" w:color="auto" w:fill="FBE4D5" w:themeFill="accent2" w:themeFillTint="33"/>
          </w:tcPr>
          <w:p w:rsidR="009F7075" w:rsidRPr="00014D00" w:rsidRDefault="009F7075" w:rsidP="009F7075">
            <w:pPr>
              <w:pStyle w:val="Default"/>
              <w:widowControl w:val="0"/>
              <w:numPr>
                <w:ilvl w:val="0"/>
                <w:numId w:val="3"/>
              </w:numPr>
              <w:ind w:left="454"/>
              <w:rPr>
                <w:rFonts w:ascii="Book Antiqua" w:hAnsi="Book Antiqua"/>
                <w:sz w:val="21"/>
                <w:szCs w:val="23"/>
                <w:lang w:val="sq-AL"/>
              </w:rPr>
            </w:pPr>
            <w:r w:rsidRPr="00014D00">
              <w:rPr>
                <w:rFonts w:ascii="Book Antiqua" w:hAnsi="Book Antiqua"/>
                <w:b w:val="0"/>
                <w:sz w:val="21"/>
                <w:szCs w:val="23"/>
                <w:lang w:val="sq-AL"/>
              </w:rPr>
              <w:t xml:space="preserve">Punëtori për prezantimin e draftit të PRE 2018-2020 ME shoqërinë civile, Oda Ekonomike, </w:t>
            </w:r>
            <w:proofErr w:type="spellStart"/>
            <w:r w:rsidRPr="00014D00">
              <w:rPr>
                <w:rFonts w:ascii="Book Antiqua" w:hAnsi="Book Antiqua"/>
                <w:b w:val="0"/>
                <w:sz w:val="21"/>
                <w:szCs w:val="23"/>
                <w:lang w:val="sq-AL"/>
              </w:rPr>
              <w:t>etj</w:t>
            </w:r>
            <w:proofErr w:type="spellEnd"/>
          </w:p>
        </w:tc>
        <w:tc>
          <w:tcPr>
            <w:tcW w:w="2346" w:type="dxa"/>
            <w:shd w:val="clear" w:color="auto" w:fill="auto"/>
          </w:tcPr>
          <w:p w:rsidR="009F7075" w:rsidRPr="00014D00" w:rsidRDefault="009F7075"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r w:rsidRPr="00014D00">
              <w:rPr>
                <w:rFonts w:ascii="Book Antiqua" w:hAnsi="Book Antiqua"/>
                <w:color w:val="auto"/>
                <w:sz w:val="21"/>
                <w:lang w:val="sq-AL"/>
              </w:rPr>
              <w:t>15.01.2018</w:t>
            </w:r>
          </w:p>
        </w:tc>
        <w:tc>
          <w:tcPr>
            <w:tcW w:w="2881" w:type="dxa"/>
            <w:shd w:val="clear" w:color="auto" w:fill="auto"/>
          </w:tcPr>
          <w:p w:rsidR="009F7075" w:rsidRPr="00014D00" w:rsidRDefault="009F7075" w:rsidP="009F707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r w:rsidRPr="00014D00">
              <w:rPr>
                <w:rFonts w:ascii="Book Antiqua" w:hAnsi="Book Antiqua"/>
                <w:color w:val="auto"/>
                <w:sz w:val="21"/>
                <w:lang w:val="sq-AL"/>
              </w:rPr>
              <w:t>55 Pjesëmarrës</w:t>
            </w:r>
          </w:p>
        </w:tc>
      </w:tr>
    </w:tbl>
    <w:p w:rsidR="00DB4CB8" w:rsidRPr="00014D00" w:rsidRDefault="00DB4CB8" w:rsidP="00184910">
      <w:pPr>
        <w:jc w:val="center"/>
        <w:rPr>
          <w:rFonts w:ascii="Book Antiqua" w:hAnsi="Book Antiqua"/>
          <w:b/>
          <w:lang w:val="sq-AL"/>
        </w:rPr>
      </w:pPr>
    </w:p>
    <w:p w:rsidR="00184910" w:rsidRPr="00014D00" w:rsidRDefault="00184910" w:rsidP="00184910">
      <w:pPr>
        <w:jc w:val="center"/>
        <w:rPr>
          <w:rFonts w:ascii="Book Antiqua" w:hAnsi="Book Antiqua"/>
          <w:b/>
          <w:lang w:val="sq-AL"/>
        </w:rPr>
      </w:pPr>
      <w:r w:rsidRPr="00014D00">
        <w:rPr>
          <w:rFonts w:ascii="Book Antiqua" w:hAnsi="Book Antiqua"/>
          <w:b/>
          <w:lang w:val="sq-AL"/>
        </w:rPr>
        <w:t>Përmbledhje e  kontributeve të pranuara gjatë procesit të konsultimit</w:t>
      </w:r>
    </w:p>
    <w:p w:rsidR="00184910" w:rsidRPr="00014D00" w:rsidRDefault="00425AB8" w:rsidP="00184910">
      <w:pPr>
        <w:jc w:val="both"/>
        <w:rPr>
          <w:rFonts w:ascii="Book Antiqua" w:hAnsi="Book Antiqua"/>
          <w:lang w:val="sq-AL"/>
        </w:rPr>
      </w:pPr>
      <w:r w:rsidRPr="00014D00">
        <w:rPr>
          <w:rFonts w:ascii="Book Antiqua" w:hAnsi="Book Antiqua"/>
          <w:lang w:val="sq-AL"/>
        </w:rPr>
        <w:t xml:space="preserve">Kontributet për Programin për Reformën Ekonomike 2018-2020 </w:t>
      </w:r>
      <w:r w:rsidR="0068144C" w:rsidRPr="00014D00">
        <w:rPr>
          <w:rFonts w:ascii="Book Antiqua" w:hAnsi="Book Antiqua"/>
          <w:lang w:val="sq-AL"/>
        </w:rPr>
        <w:t>jan</w:t>
      </w:r>
      <w:r w:rsidR="002C0D8A" w:rsidRPr="00014D00">
        <w:rPr>
          <w:rFonts w:ascii="Book Antiqua" w:hAnsi="Book Antiqua"/>
          <w:lang w:val="sq-AL"/>
        </w:rPr>
        <w:t>ë</w:t>
      </w:r>
      <w:r w:rsidR="0068144C" w:rsidRPr="00014D00">
        <w:rPr>
          <w:rFonts w:ascii="Book Antiqua" w:hAnsi="Book Antiqua"/>
          <w:lang w:val="sq-AL"/>
        </w:rPr>
        <w:t xml:space="preserve"> dh</w:t>
      </w:r>
      <w:r w:rsidR="002C0D8A" w:rsidRPr="00014D00">
        <w:rPr>
          <w:rFonts w:ascii="Book Antiqua" w:hAnsi="Book Antiqua"/>
          <w:lang w:val="sq-AL"/>
        </w:rPr>
        <w:t>ë</w:t>
      </w:r>
      <w:r w:rsidR="0068144C" w:rsidRPr="00014D00">
        <w:rPr>
          <w:rFonts w:ascii="Book Antiqua" w:hAnsi="Book Antiqua"/>
          <w:lang w:val="sq-AL"/>
        </w:rPr>
        <w:t>n</w:t>
      </w:r>
      <w:r w:rsidR="002C0D8A" w:rsidRPr="00014D00">
        <w:rPr>
          <w:rFonts w:ascii="Book Antiqua" w:hAnsi="Book Antiqua"/>
          <w:lang w:val="sq-AL"/>
        </w:rPr>
        <w:t>ë</w:t>
      </w:r>
      <w:r w:rsidR="0068144C" w:rsidRPr="00014D00">
        <w:rPr>
          <w:rFonts w:ascii="Book Antiqua" w:hAnsi="Book Antiqua"/>
          <w:lang w:val="sq-AL"/>
        </w:rPr>
        <w:t xml:space="preserve"> kryesisht gjat</w:t>
      </w:r>
      <w:r w:rsidR="002C0D8A" w:rsidRPr="00014D00">
        <w:rPr>
          <w:rFonts w:ascii="Book Antiqua" w:hAnsi="Book Antiqua"/>
          <w:lang w:val="sq-AL"/>
        </w:rPr>
        <w:t>ë</w:t>
      </w:r>
      <w:r w:rsidR="0068144C" w:rsidRPr="00014D00">
        <w:rPr>
          <w:rFonts w:ascii="Book Antiqua" w:hAnsi="Book Antiqua"/>
          <w:lang w:val="sq-AL"/>
        </w:rPr>
        <w:t xml:space="preserve"> pun</w:t>
      </w:r>
      <w:r w:rsidR="002C0D8A" w:rsidRPr="00014D00">
        <w:rPr>
          <w:rFonts w:ascii="Book Antiqua" w:hAnsi="Book Antiqua"/>
          <w:lang w:val="sq-AL"/>
        </w:rPr>
        <w:t>ë</w:t>
      </w:r>
      <w:r w:rsidR="0068144C" w:rsidRPr="00014D00">
        <w:rPr>
          <w:rFonts w:ascii="Book Antiqua" w:hAnsi="Book Antiqua"/>
          <w:lang w:val="sq-AL"/>
        </w:rPr>
        <w:t>torive t</w:t>
      </w:r>
      <w:r w:rsidR="002C0D8A" w:rsidRPr="00014D00">
        <w:rPr>
          <w:rFonts w:ascii="Book Antiqua" w:hAnsi="Book Antiqua"/>
          <w:lang w:val="sq-AL"/>
        </w:rPr>
        <w:t>ë</w:t>
      </w:r>
      <w:r w:rsidR="0068144C" w:rsidRPr="00014D00">
        <w:rPr>
          <w:rFonts w:ascii="Book Antiqua" w:hAnsi="Book Antiqua"/>
          <w:lang w:val="sq-AL"/>
        </w:rPr>
        <w:t xml:space="preserve"> mbajtura me </w:t>
      </w:r>
      <w:r w:rsidRPr="00014D00">
        <w:rPr>
          <w:rFonts w:ascii="Book Antiqua" w:hAnsi="Book Antiqua"/>
          <w:lang w:val="sq-AL"/>
        </w:rPr>
        <w:t xml:space="preserve">përfaqësues të Qeverisë, organizatat e shoqërisë civile dhe komunitetit të biznesit. </w:t>
      </w:r>
      <w:r w:rsidR="00AB602A" w:rsidRPr="00014D00">
        <w:rPr>
          <w:rFonts w:ascii="Book Antiqua" w:hAnsi="Book Antiqua"/>
          <w:lang w:val="sq-AL"/>
        </w:rPr>
        <w:t>P</w:t>
      </w:r>
      <w:r w:rsidR="002C0D8A" w:rsidRPr="00014D00">
        <w:rPr>
          <w:rFonts w:ascii="Book Antiqua" w:hAnsi="Book Antiqua"/>
          <w:lang w:val="sq-AL"/>
        </w:rPr>
        <w:t>ë</w:t>
      </w:r>
      <w:r w:rsidR="00AB602A" w:rsidRPr="00014D00">
        <w:rPr>
          <w:rFonts w:ascii="Book Antiqua" w:hAnsi="Book Antiqua"/>
          <w:lang w:val="sq-AL"/>
        </w:rPr>
        <w:t>rveç k</w:t>
      </w:r>
      <w:r w:rsidR="002C0D8A" w:rsidRPr="00014D00">
        <w:rPr>
          <w:rFonts w:ascii="Book Antiqua" w:hAnsi="Book Antiqua"/>
          <w:lang w:val="sq-AL"/>
        </w:rPr>
        <w:t>ë</w:t>
      </w:r>
      <w:r w:rsidR="00AB602A" w:rsidRPr="00014D00">
        <w:rPr>
          <w:rFonts w:ascii="Book Antiqua" w:hAnsi="Book Antiqua"/>
          <w:lang w:val="sq-AL"/>
        </w:rPr>
        <w:t>saj, kontribute t</w:t>
      </w:r>
      <w:r w:rsidR="002C0D8A" w:rsidRPr="00014D00">
        <w:rPr>
          <w:rFonts w:ascii="Book Antiqua" w:hAnsi="Book Antiqua"/>
          <w:lang w:val="sq-AL"/>
        </w:rPr>
        <w:t>ë</w:t>
      </w:r>
      <w:r w:rsidR="00AB602A" w:rsidRPr="00014D00">
        <w:rPr>
          <w:rFonts w:ascii="Book Antiqua" w:hAnsi="Book Antiqua"/>
          <w:lang w:val="sq-AL"/>
        </w:rPr>
        <w:t xml:space="preserve"> çmuara jan</w:t>
      </w:r>
      <w:r w:rsidR="002C0D8A" w:rsidRPr="00014D00">
        <w:rPr>
          <w:rFonts w:ascii="Book Antiqua" w:hAnsi="Book Antiqua"/>
          <w:lang w:val="sq-AL"/>
        </w:rPr>
        <w:t>ë</w:t>
      </w:r>
      <w:r w:rsidR="00AB602A" w:rsidRPr="00014D00">
        <w:rPr>
          <w:rFonts w:ascii="Book Antiqua" w:hAnsi="Book Antiqua"/>
          <w:lang w:val="sq-AL"/>
        </w:rPr>
        <w:t xml:space="preserve"> dh</w:t>
      </w:r>
      <w:r w:rsidR="002C0D8A" w:rsidRPr="00014D00">
        <w:rPr>
          <w:rFonts w:ascii="Book Antiqua" w:hAnsi="Book Antiqua"/>
          <w:lang w:val="sq-AL"/>
        </w:rPr>
        <w:t>ë</w:t>
      </w:r>
      <w:r w:rsidR="00AB602A" w:rsidRPr="00014D00">
        <w:rPr>
          <w:rFonts w:ascii="Book Antiqua" w:hAnsi="Book Antiqua"/>
          <w:lang w:val="sq-AL"/>
        </w:rPr>
        <w:t>n</w:t>
      </w:r>
      <w:r w:rsidR="002C0D8A" w:rsidRPr="00014D00">
        <w:rPr>
          <w:rFonts w:ascii="Book Antiqua" w:hAnsi="Book Antiqua"/>
          <w:lang w:val="sq-AL"/>
        </w:rPr>
        <w:t>ë</w:t>
      </w:r>
      <w:r w:rsidR="00AB602A" w:rsidRPr="00014D00">
        <w:rPr>
          <w:rFonts w:ascii="Book Antiqua" w:hAnsi="Book Antiqua"/>
          <w:lang w:val="sq-AL"/>
        </w:rPr>
        <w:t xml:space="preserve"> edhe gjat</w:t>
      </w:r>
      <w:r w:rsidR="002C0D8A" w:rsidRPr="00014D00">
        <w:rPr>
          <w:rFonts w:ascii="Book Antiqua" w:hAnsi="Book Antiqua"/>
          <w:lang w:val="sq-AL"/>
        </w:rPr>
        <w:t>ë</w:t>
      </w:r>
      <w:r w:rsidR="00AB602A" w:rsidRPr="00014D00">
        <w:rPr>
          <w:rFonts w:ascii="Book Antiqua" w:hAnsi="Book Antiqua"/>
          <w:lang w:val="sq-AL"/>
        </w:rPr>
        <w:t xml:space="preserve"> takimeve individuale me pal</w:t>
      </w:r>
      <w:r w:rsidR="002C0D8A" w:rsidRPr="00014D00">
        <w:rPr>
          <w:rFonts w:ascii="Book Antiqua" w:hAnsi="Book Antiqua"/>
          <w:lang w:val="sq-AL"/>
        </w:rPr>
        <w:t>ë</w:t>
      </w:r>
      <w:r w:rsidR="00AB602A" w:rsidRPr="00014D00">
        <w:rPr>
          <w:rFonts w:ascii="Book Antiqua" w:hAnsi="Book Antiqua"/>
          <w:lang w:val="sq-AL"/>
        </w:rPr>
        <w:t>t e interesit, si d</w:t>
      </w:r>
      <w:r w:rsidRPr="00014D00">
        <w:rPr>
          <w:rFonts w:ascii="Book Antiqua" w:hAnsi="Book Antiqua"/>
          <w:lang w:val="sq-AL"/>
        </w:rPr>
        <w:t xml:space="preserve">he komunikimit me shkrim. </w:t>
      </w:r>
      <w:proofErr w:type="spellStart"/>
      <w:r w:rsidRPr="00014D00">
        <w:rPr>
          <w:rFonts w:ascii="Book Antiqua" w:hAnsi="Book Antiqua"/>
          <w:lang w:val="sq-AL"/>
        </w:rPr>
        <w:t>Poashtu</w:t>
      </w:r>
      <w:proofErr w:type="spellEnd"/>
      <w:r w:rsidRPr="00014D00">
        <w:rPr>
          <w:rFonts w:ascii="Book Antiqua" w:hAnsi="Book Antiqua"/>
          <w:lang w:val="sq-AL"/>
        </w:rPr>
        <w:t xml:space="preserve">, </w:t>
      </w:r>
      <w:r w:rsidR="00184910" w:rsidRPr="00014D00">
        <w:rPr>
          <w:rFonts w:ascii="Book Antiqua" w:hAnsi="Book Antiqua"/>
          <w:lang w:val="sq-AL"/>
        </w:rPr>
        <w:t xml:space="preserve">ka pasur kontribute përmes platformës </w:t>
      </w:r>
      <w:proofErr w:type="spellStart"/>
      <w:r w:rsidR="00184910" w:rsidRPr="00014D00">
        <w:rPr>
          <w:rFonts w:ascii="Book Antiqua" w:hAnsi="Book Antiqua"/>
          <w:lang w:val="sq-AL"/>
        </w:rPr>
        <w:t>online</w:t>
      </w:r>
      <w:proofErr w:type="spellEnd"/>
      <w:r w:rsidR="00184910" w:rsidRPr="00014D00">
        <w:rPr>
          <w:rFonts w:ascii="Book Antiqua" w:hAnsi="Book Antiqua"/>
          <w:lang w:val="sq-AL"/>
        </w:rPr>
        <w:t xml:space="preserve"> të konsultimeve publike. </w:t>
      </w:r>
    </w:p>
    <w:p w:rsidR="00184910" w:rsidRPr="00014D00" w:rsidRDefault="00184910" w:rsidP="00184910">
      <w:pPr>
        <w:jc w:val="both"/>
        <w:rPr>
          <w:rFonts w:ascii="Book Antiqua" w:hAnsi="Book Antiqua"/>
          <w:lang w:val="sq-AL"/>
        </w:rPr>
      </w:pPr>
    </w:p>
    <w:p w:rsidR="00184910" w:rsidRPr="00014D00" w:rsidRDefault="00184910" w:rsidP="00184910">
      <w:pPr>
        <w:jc w:val="center"/>
        <w:rPr>
          <w:rFonts w:ascii="Book Antiqua" w:hAnsi="Book Antiqua"/>
          <w:b/>
          <w:lang w:val="sq-AL"/>
        </w:rPr>
      </w:pPr>
      <w:r w:rsidRPr="00014D00">
        <w:rPr>
          <w:rFonts w:ascii="Book Antiqua" w:hAnsi="Book Antiqua"/>
          <w:b/>
          <w:lang w:val="sq-AL"/>
        </w:rPr>
        <w:lastRenderedPageBreak/>
        <w:t>Çështje tjera</w:t>
      </w:r>
    </w:p>
    <w:p w:rsidR="00425AB8" w:rsidRPr="00014D00" w:rsidRDefault="00184910" w:rsidP="00184910">
      <w:pPr>
        <w:jc w:val="both"/>
        <w:rPr>
          <w:rFonts w:ascii="Book Antiqua" w:hAnsi="Book Antiqua"/>
          <w:lang w:val="sq-AL"/>
        </w:rPr>
      </w:pPr>
      <w:r w:rsidRPr="00014D00">
        <w:rPr>
          <w:rFonts w:ascii="Book Antiqua" w:hAnsi="Book Antiqua"/>
          <w:lang w:val="sq-AL"/>
        </w:rPr>
        <w:t>Të gjitha kontributet e pranuara janë shqyrtuar veç e veç</w:t>
      </w:r>
      <w:r w:rsidR="00AB602A" w:rsidRPr="00014D00">
        <w:rPr>
          <w:rFonts w:ascii="Book Antiqua" w:hAnsi="Book Antiqua"/>
          <w:lang w:val="sq-AL"/>
        </w:rPr>
        <w:t xml:space="preserve"> nga Zyra p</w:t>
      </w:r>
      <w:r w:rsidR="002C0D8A" w:rsidRPr="00014D00">
        <w:rPr>
          <w:rFonts w:ascii="Book Antiqua" w:hAnsi="Book Antiqua"/>
          <w:lang w:val="sq-AL"/>
        </w:rPr>
        <w:t>ë</w:t>
      </w:r>
      <w:r w:rsidR="00AB602A" w:rsidRPr="00014D00">
        <w:rPr>
          <w:rFonts w:ascii="Book Antiqua" w:hAnsi="Book Antiqua"/>
          <w:lang w:val="sq-AL"/>
        </w:rPr>
        <w:t xml:space="preserve">r </w:t>
      </w:r>
      <w:r w:rsidR="0023737E" w:rsidRPr="00014D00">
        <w:rPr>
          <w:rFonts w:ascii="Book Antiqua" w:hAnsi="Book Antiqua"/>
          <w:lang w:val="sq-AL"/>
        </w:rPr>
        <w:t xml:space="preserve">Planifikim Strategjik </w:t>
      </w:r>
      <w:r w:rsidR="00AB602A" w:rsidRPr="00014D00">
        <w:rPr>
          <w:rFonts w:ascii="Book Antiqua" w:hAnsi="Book Antiqua"/>
          <w:lang w:val="sq-AL"/>
        </w:rPr>
        <w:t>n</w:t>
      </w:r>
      <w:r w:rsidR="002C0D8A" w:rsidRPr="00014D00">
        <w:rPr>
          <w:rFonts w:ascii="Book Antiqua" w:hAnsi="Book Antiqua"/>
          <w:lang w:val="sq-AL"/>
        </w:rPr>
        <w:t>ë</w:t>
      </w:r>
      <w:r w:rsidR="00AB602A" w:rsidRPr="00014D00">
        <w:rPr>
          <w:rFonts w:ascii="Book Antiqua" w:hAnsi="Book Antiqua"/>
          <w:lang w:val="sq-AL"/>
        </w:rPr>
        <w:t xml:space="preserve"> Zyr</w:t>
      </w:r>
      <w:r w:rsidR="002C0D8A" w:rsidRPr="00014D00">
        <w:rPr>
          <w:rFonts w:ascii="Book Antiqua" w:hAnsi="Book Antiqua"/>
          <w:lang w:val="sq-AL"/>
        </w:rPr>
        <w:t>ë</w:t>
      </w:r>
      <w:r w:rsidR="0023737E" w:rsidRPr="00014D00">
        <w:rPr>
          <w:rFonts w:ascii="Book Antiqua" w:hAnsi="Book Antiqua"/>
          <w:lang w:val="sq-AL"/>
        </w:rPr>
        <w:t xml:space="preserve">n e Kryeministrit. </w:t>
      </w:r>
      <w:r w:rsidR="00AB602A" w:rsidRPr="00014D00">
        <w:rPr>
          <w:rFonts w:ascii="Book Antiqua" w:hAnsi="Book Antiqua"/>
          <w:lang w:val="sq-AL"/>
        </w:rPr>
        <w:t xml:space="preserve">Raporti i </w:t>
      </w:r>
      <w:r w:rsidRPr="00014D00">
        <w:rPr>
          <w:rFonts w:ascii="Book Antiqua" w:hAnsi="Book Antiqua"/>
          <w:lang w:val="sq-AL"/>
        </w:rPr>
        <w:t xml:space="preserve"> detajuar për komentet e pranuara, </w:t>
      </w:r>
      <w:proofErr w:type="spellStart"/>
      <w:r w:rsidRPr="00014D00">
        <w:rPr>
          <w:rFonts w:ascii="Book Antiqua" w:hAnsi="Book Antiqua"/>
          <w:lang w:val="sq-AL"/>
        </w:rPr>
        <w:t>kontribuesit</w:t>
      </w:r>
      <w:proofErr w:type="spellEnd"/>
      <w:r w:rsidRPr="00014D00">
        <w:rPr>
          <w:rFonts w:ascii="Book Antiqua" w:hAnsi="Book Antiqua"/>
          <w:lang w:val="sq-AL"/>
        </w:rPr>
        <w:t xml:space="preserve"> dhe statusin e kontributeve janë paraqitur në formë të plotë ne shtojcën nr. 1 të këtij raporti.   </w:t>
      </w:r>
    </w:p>
    <w:p w:rsidR="00184910" w:rsidRPr="00014D00" w:rsidRDefault="00184910" w:rsidP="00184910">
      <w:pPr>
        <w:jc w:val="both"/>
        <w:rPr>
          <w:rFonts w:ascii="Book Antiqua" w:hAnsi="Book Antiqua"/>
          <w:lang w:val="sq-AL"/>
        </w:rPr>
      </w:pPr>
    </w:p>
    <w:p w:rsidR="00184910" w:rsidRPr="00014D00" w:rsidRDefault="00184910" w:rsidP="00184910">
      <w:pPr>
        <w:jc w:val="center"/>
        <w:rPr>
          <w:rFonts w:ascii="Book Antiqua" w:hAnsi="Book Antiqua"/>
          <w:b/>
          <w:lang w:val="sq-AL"/>
        </w:rPr>
      </w:pPr>
      <w:r w:rsidRPr="00014D00">
        <w:rPr>
          <w:rFonts w:ascii="Book Antiqua" w:hAnsi="Book Antiqua"/>
          <w:b/>
          <w:lang w:val="sq-AL"/>
        </w:rPr>
        <w:t>Hapat e ardhshëm</w:t>
      </w:r>
    </w:p>
    <w:p w:rsidR="002C0D8A" w:rsidRPr="00014D00" w:rsidRDefault="0023737E" w:rsidP="00E8551D">
      <w:pPr>
        <w:jc w:val="both"/>
        <w:rPr>
          <w:lang w:val="sq-AL"/>
        </w:rPr>
      </w:pPr>
      <w:r w:rsidRPr="00014D00">
        <w:rPr>
          <w:rFonts w:ascii="Book Antiqua" w:hAnsi="Book Antiqua"/>
          <w:lang w:val="sq-AL"/>
        </w:rPr>
        <w:t xml:space="preserve">Programi për Reformën Ekonomike 2018-2020 </w:t>
      </w:r>
      <w:r w:rsidR="00184910" w:rsidRPr="00014D00">
        <w:rPr>
          <w:rFonts w:ascii="Book Antiqua" w:hAnsi="Book Antiqua"/>
          <w:lang w:val="sq-AL"/>
        </w:rPr>
        <w:t>është finalizuar dhe procedohet për miratim në Qever</w:t>
      </w:r>
      <w:r w:rsidR="00AB602A" w:rsidRPr="00014D00">
        <w:rPr>
          <w:rFonts w:ascii="Book Antiqua" w:hAnsi="Book Antiqua"/>
          <w:lang w:val="sq-AL"/>
        </w:rPr>
        <w:t>i</w:t>
      </w:r>
      <w:r w:rsidRPr="00014D00">
        <w:rPr>
          <w:rFonts w:ascii="Book Antiqua" w:hAnsi="Book Antiqua"/>
          <w:lang w:val="sq-AL"/>
        </w:rPr>
        <w:t>në e Kosovës</w:t>
      </w:r>
      <w:r w:rsidR="00AB602A" w:rsidRPr="00014D00">
        <w:rPr>
          <w:rFonts w:ascii="Book Antiqua" w:hAnsi="Book Antiqua"/>
          <w:lang w:val="sq-AL"/>
        </w:rPr>
        <w:t xml:space="preserve">. </w:t>
      </w:r>
    </w:p>
    <w:p w:rsidR="002C0D8A" w:rsidRPr="00014D00" w:rsidRDefault="002C0D8A" w:rsidP="00EC2D18">
      <w:pPr>
        <w:rPr>
          <w:lang w:val="sq-AL"/>
        </w:rPr>
        <w:sectPr w:rsidR="002C0D8A" w:rsidRPr="00014D00" w:rsidSect="00503BEA">
          <w:footerReference w:type="even" r:id="rId8"/>
          <w:footerReference w:type="default" r:id="rId9"/>
          <w:pgSz w:w="12240" w:h="15840" w:code="1"/>
          <w:pgMar w:top="1440" w:right="1440" w:bottom="1440" w:left="1440" w:header="720" w:footer="720" w:gutter="0"/>
          <w:cols w:space="720"/>
          <w:docGrid w:linePitch="360"/>
        </w:sectPr>
      </w:pPr>
    </w:p>
    <w:p w:rsidR="00DB4F39" w:rsidRPr="00014D00" w:rsidRDefault="00DB4F39" w:rsidP="00EC2D18">
      <w:pPr>
        <w:rPr>
          <w:lang w:val="sq-AL"/>
        </w:rPr>
      </w:pPr>
      <w:r w:rsidRPr="00014D00">
        <w:rPr>
          <w:lang w:val="sq-AL"/>
        </w:rPr>
        <w:lastRenderedPageBreak/>
        <w:t xml:space="preserve">Shtojca – tabela e detajuar me informatat për </w:t>
      </w:r>
      <w:proofErr w:type="spellStart"/>
      <w:r w:rsidRPr="00014D00">
        <w:rPr>
          <w:lang w:val="sq-AL"/>
        </w:rPr>
        <w:t>kontribuesit</w:t>
      </w:r>
      <w:proofErr w:type="spellEnd"/>
      <w:r w:rsidRPr="00014D00">
        <w:rPr>
          <w:lang w:val="sq-AL"/>
        </w:rPr>
        <w:t>, arsyetimet për përgjigje</w:t>
      </w:r>
      <w:r w:rsidR="00EC2D18" w:rsidRPr="00014D00">
        <w:rPr>
          <w:lang w:val="sq-AL"/>
        </w:rPr>
        <w:t>t e pranuara dhe të refuzuara</w:t>
      </w:r>
    </w:p>
    <w:tbl>
      <w:tblPr>
        <w:tblW w:w="1476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1350"/>
        <w:gridCol w:w="4163"/>
        <w:gridCol w:w="1463"/>
        <w:gridCol w:w="1350"/>
        <w:gridCol w:w="6434"/>
      </w:tblGrid>
      <w:tr w:rsidR="00DB4F39" w:rsidRPr="00014D00" w:rsidTr="00D05FE8">
        <w:trPr>
          <w:trHeight w:val="341"/>
        </w:trPr>
        <w:tc>
          <w:tcPr>
            <w:tcW w:w="8326" w:type="dxa"/>
            <w:gridSpan w:val="4"/>
            <w:shd w:val="clear" w:color="auto" w:fill="DEEAF6" w:themeFill="accent1" w:themeFillTint="33"/>
          </w:tcPr>
          <w:p w:rsidR="00DB4F39" w:rsidRPr="00014D00" w:rsidRDefault="00EE17D6" w:rsidP="00D05FE8">
            <w:pPr>
              <w:rPr>
                <w:rFonts w:ascii="Times New Roman" w:hAnsi="Times New Roman" w:cs="Times New Roman"/>
                <w:b/>
                <w:sz w:val="20"/>
                <w:szCs w:val="20"/>
                <w:lang w:val="sq-AL"/>
              </w:rPr>
            </w:pPr>
            <w:r w:rsidRPr="00014D00">
              <w:rPr>
                <w:rFonts w:ascii="Times New Roman" w:hAnsi="Times New Roman" w:cs="Times New Roman"/>
                <w:b/>
                <w:sz w:val="20"/>
                <w:szCs w:val="20"/>
                <w:lang w:val="sq-AL"/>
              </w:rPr>
              <w:t>Programi për Reforma Ekonomike 2018-2020</w:t>
            </w:r>
          </w:p>
          <w:p w:rsidR="00DB4F39" w:rsidRPr="00014D00" w:rsidRDefault="00DB4F39" w:rsidP="00EC2D18">
            <w:pPr>
              <w:rPr>
                <w:rFonts w:ascii="Times New Roman" w:hAnsi="Times New Roman" w:cs="Times New Roman"/>
                <w:b/>
                <w:sz w:val="20"/>
                <w:szCs w:val="20"/>
                <w:lang w:val="sq-AL"/>
              </w:rPr>
            </w:pPr>
            <w:r w:rsidRPr="00014D00">
              <w:rPr>
                <w:rFonts w:ascii="Times New Roman" w:hAnsi="Times New Roman" w:cs="Times New Roman"/>
                <w:b/>
                <w:sz w:val="20"/>
                <w:szCs w:val="20"/>
                <w:lang w:val="sq-AL"/>
              </w:rPr>
              <w:t xml:space="preserve">TEMAT E KONSULTIMIT DHE SHQYRTIMI </w:t>
            </w:r>
            <w:r w:rsidR="00EC2D18" w:rsidRPr="00014D00">
              <w:rPr>
                <w:rFonts w:ascii="Times New Roman" w:hAnsi="Times New Roman" w:cs="Times New Roman"/>
                <w:b/>
                <w:sz w:val="20"/>
                <w:szCs w:val="20"/>
                <w:lang w:val="sq-AL"/>
              </w:rPr>
              <w:t>I</w:t>
            </w:r>
            <w:r w:rsidRPr="00014D00">
              <w:rPr>
                <w:rFonts w:ascii="Times New Roman" w:hAnsi="Times New Roman" w:cs="Times New Roman"/>
                <w:b/>
                <w:sz w:val="20"/>
                <w:szCs w:val="20"/>
                <w:lang w:val="sq-AL"/>
              </w:rPr>
              <w:t xml:space="preserve"> OPCIONEVE</w:t>
            </w:r>
          </w:p>
        </w:tc>
        <w:tc>
          <w:tcPr>
            <w:tcW w:w="6434" w:type="dxa"/>
            <w:shd w:val="clear" w:color="auto" w:fill="DEEAF6" w:themeFill="accent1" w:themeFillTint="33"/>
          </w:tcPr>
          <w:p w:rsidR="00DB4F39" w:rsidRPr="00014D00" w:rsidRDefault="00DB4F39" w:rsidP="00D05FE8">
            <w:pPr>
              <w:rPr>
                <w:rFonts w:ascii="Times New Roman" w:hAnsi="Times New Roman" w:cs="Times New Roman"/>
                <w:b/>
                <w:sz w:val="20"/>
                <w:szCs w:val="20"/>
                <w:lang w:val="sq-AL"/>
              </w:rPr>
            </w:pPr>
          </w:p>
        </w:tc>
      </w:tr>
      <w:tr w:rsidR="00DB4F39" w:rsidRPr="00014D00" w:rsidTr="00D05FE8">
        <w:trPr>
          <w:trHeight w:val="341"/>
        </w:trPr>
        <w:tc>
          <w:tcPr>
            <w:tcW w:w="8326" w:type="dxa"/>
            <w:gridSpan w:val="4"/>
            <w:shd w:val="clear" w:color="auto" w:fill="DEEAF6" w:themeFill="accent1" w:themeFillTint="33"/>
          </w:tcPr>
          <w:p w:rsidR="00DB4F39" w:rsidRPr="00014D00" w:rsidRDefault="00DB4F39" w:rsidP="00D05FE8">
            <w:pPr>
              <w:rPr>
                <w:rFonts w:ascii="Times New Roman" w:hAnsi="Times New Roman" w:cs="Times New Roman"/>
                <w:b/>
                <w:sz w:val="20"/>
                <w:szCs w:val="20"/>
                <w:lang w:val="sq-AL"/>
              </w:rPr>
            </w:pPr>
            <w:r w:rsidRPr="00014D00">
              <w:rPr>
                <w:rFonts w:ascii="Times New Roman" w:hAnsi="Times New Roman" w:cs="Times New Roman"/>
                <w:b/>
                <w:sz w:val="20"/>
                <w:szCs w:val="20"/>
                <w:lang w:val="sq-AL"/>
              </w:rPr>
              <w:t xml:space="preserve">Komente te përgjithshme </w:t>
            </w:r>
          </w:p>
          <w:p w:rsidR="00EC2D18" w:rsidRPr="00014D00" w:rsidRDefault="00BA6E3C" w:rsidP="00600D5D">
            <w:pPr>
              <w:numPr>
                <w:ilvl w:val="0"/>
                <w:numId w:val="6"/>
              </w:numPr>
              <w:spacing w:after="0" w:line="240" w:lineRule="auto"/>
              <w:jc w:val="both"/>
              <w:rPr>
                <w:rFonts w:ascii="Times New Roman" w:hAnsi="Times New Roman" w:cs="Times New Roman"/>
                <w:sz w:val="20"/>
                <w:szCs w:val="20"/>
                <w:lang w:val="sq-AL"/>
              </w:rPr>
            </w:pPr>
            <w:r w:rsidRPr="00014D00">
              <w:rPr>
                <w:rFonts w:ascii="Times New Roman" w:hAnsi="Times New Roman" w:cs="Times New Roman"/>
                <w:b/>
                <w:sz w:val="20"/>
                <w:szCs w:val="20"/>
                <w:lang w:val="sq-AL"/>
              </w:rPr>
              <w:t xml:space="preserve">Instituti për Studime të Avancuara </w:t>
            </w:r>
            <w:r w:rsidR="00600D5D" w:rsidRPr="00014D00">
              <w:rPr>
                <w:rFonts w:ascii="Times New Roman" w:hAnsi="Times New Roman" w:cs="Times New Roman"/>
                <w:b/>
                <w:sz w:val="20"/>
                <w:szCs w:val="20"/>
                <w:lang w:val="sq-AL"/>
              </w:rPr>
              <w:t>GAP</w:t>
            </w:r>
            <w:r w:rsidR="00600D5D" w:rsidRPr="00014D00">
              <w:rPr>
                <w:rFonts w:ascii="Times New Roman" w:hAnsi="Times New Roman" w:cs="Times New Roman"/>
                <w:sz w:val="20"/>
                <w:szCs w:val="20"/>
                <w:lang w:val="sq-AL"/>
              </w:rPr>
              <w:t xml:space="preserve"> - Në përgjithësi "Programi i Reformave Ekonomike 2018-2020" duhet të jetë më specifik në veprime dhe objektivat që synon t'i arrijë. Në shumë pika ky program është jo real, nuk ka mbështetje në Ligjin për Buxhetin e Republikës së Kosovës 2018 dhe për shkak se është i pa specifikuar është vështirë i matshëm.  Në raste Programi është edhe kundërthënës, sikurse njëherë prezanton qasjen në financa nga ndërmarrjet si fushë ku kanë ndodhur përmirësime (faqe 3), mirëpo më vonë e prezanton atë si njërin nga dy problemet kryesore më të cilat përballen ndërmarrjet në Kosovë (faqe 27).  Gjithashtu, shumë kritika të Raportit të Progresit nuk janë adresuar me masa adekuate. Gjithashtu, ajo çka vërehet në të gjitha PRE-të e </w:t>
            </w:r>
            <w:proofErr w:type="spellStart"/>
            <w:r w:rsidR="00600D5D" w:rsidRPr="00014D00">
              <w:rPr>
                <w:rFonts w:ascii="Times New Roman" w:hAnsi="Times New Roman" w:cs="Times New Roman"/>
                <w:sz w:val="20"/>
                <w:szCs w:val="20"/>
                <w:lang w:val="sq-AL"/>
              </w:rPr>
              <w:t>gjerëtanishme</w:t>
            </w:r>
            <w:proofErr w:type="spellEnd"/>
            <w:r w:rsidR="00600D5D" w:rsidRPr="00014D00">
              <w:rPr>
                <w:rFonts w:ascii="Times New Roman" w:hAnsi="Times New Roman" w:cs="Times New Roman"/>
                <w:sz w:val="20"/>
                <w:szCs w:val="20"/>
                <w:lang w:val="sq-AL"/>
              </w:rPr>
              <w:t xml:space="preserve"> është fokusi në përmbushjen e aktiviteteve, por të cilat nuk janë të ndërlidhura mirë me qëllimin final se çka synohet të arrihet. Shembull për këtë është themelimi i Agjencisë së Punësimit në Republikën e Kosovës (APRK), e cila është paraparë me PRE të mëhershme dhe me ARE. Funksionalizimi i APRK ende nuk ka </w:t>
            </w:r>
            <w:proofErr w:type="spellStart"/>
            <w:r w:rsidR="00600D5D" w:rsidRPr="00014D00">
              <w:rPr>
                <w:rFonts w:ascii="Times New Roman" w:hAnsi="Times New Roman" w:cs="Times New Roman"/>
                <w:sz w:val="20"/>
                <w:szCs w:val="20"/>
                <w:lang w:val="sq-AL"/>
              </w:rPr>
              <w:t>përfudnuar</w:t>
            </w:r>
            <w:proofErr w:type="spellEnd"/>
            <w:r w:rsidR="00600D5D" w:rsidRPr="00014D00">
              <w:rPr>
                <w:rFonts w:ascii="Times New Roman" w:hAnsi="Times New Roman" w:cs="Times New Roman"/>
                <w:sz w:val="20"/>
                <w:szCs w:val="20"/>
                <w:lang w:val="sq-AL"/>
              </w:rPr>
              <w:t xml:space="preserve"> (nuk janë hartuar të gjitha </w:t>
            </w:r>
            <w:proofErr w:type="spellStart"/>
            <w:r w:rsidR="00600D5D" w:rsidRPr="00014D00">
              <w:rPr>
                <w:rFonts w:ascii="Times New Roman" w:hAnsi="Times New Roman" w:cs="Times New Roman"/>
                <w:sz w:val="20"/>
                <w:szCs w:val="20"/>
                <w:lang w:val="sq-AL"/>
              </w:rPr>
              <w:t>aketet</w:t>
            </w:r>
            <w:proofErr w:type="spellEnd"/>
            <w:r w:rsidR="00600D5D" w:rsidRPr="00014D00">
              <w:rPr>
                <w:rFonts w:ascii="Times New Roman" w:hAnsi="Times New Roman" w:cs="Times New Roman"/>
                <w:sz w:val="20"/>
                <w:szCs w:val="20"/>
                <w:lang w:val="sq-AL"/>
              </w:rPr>
              <w:t xml:space="preserve"> nënligjore dhe nuk është kompletuar Bordi; po ashtu ende APRK është në fazën e akomodimit në </w:t>
            </w:r>
            <w:proofErr w:type="spellStart"/>
            <w:r w:rsidR="00600D5D" w:rsidRPr="00014D00">
              <w:rPr>
                <w:rFonts w:ascii="Times New Roman" w:hAnsi="Times New Roman" w:cs="Times New Roman"/>
                <w:sz w:val="20"/>
                <w:szCs w:val="20"/>
                <w:lang w:val="sq-AL"/>
              </w:rPr>
              <w:t>zyret</w:t>
            </w:r>
            <w:proofErr w:type="spellEnd"/>
            <w:r w:rsidR="00600D5D" w:rsidRPr="00014D00">
              <w:rPr>
                <w:rFonts w:ascii="Times New Roman" w:hAnsi="Times New Roman" w:cs="Times New Roman"/>
                <w:sz w:val="20"/>
                <w:szCs w:val="20"/>
                <w:lang w:val="sq-AL"/>
              </w:rPr>
              <w:t xml:space="preserve"> e reja). Por më e rëndësishmja, mbetet e paqartë se çka do të ndërrojë realisht në punësim dhe aftësim profesional fakti se APRK do të ketë autonomi më të madhe nga MPMS se sa ish Departamenti i Punës dhe Punësimit? APRK do të ketë të </w:t>
            </w:r>
            <w:proofErr w:type="spellStart"/>
            <w:r w:rsidR="00600D5D" w:rsidRPr="00014D00">
              <w:rPr>
                <w:rFonts w:ascii="Times New Roman" w:hAnsi="Times New Roman" w:cs="Times New Roman"/>
                <w:sz w:val="20"/>
                <w:szCs w:val="20"/>
                <w:lang w:val="sq-AL"/>
              </w:rPr>
              <w:t>njejtën</w:t>
            </w:r>
            <w:proofErr w:type="spellEnd"/>
            <w:r w:rsidR="00600D5D" w:rsidRPr="00014D00">
              <w:rPr>
                <w:rFonts w:ascii="Times New Roman" w:hAnsi="Times New Roman" w:cs="Times New Roman"/>
                <w:sz w:val="20"/>
                <w:szCs w:val="20"/>
                <w:lang w:val="sq-AL"/>
              </w:rPr>
              <w:t xml:space="preserve"> strukturë, të njëjtin staf, të njëjtin buxhet dhe të njëjtat kurse të aftësimit.</w:t>
            </w:r>
          </w:p>
          <w:p w:rsidR="00251C4F" w:rsidRPr="00014D00" w:rsidRDefault="00251C4F" w:rsidP="00251C4F">
            <w:pPr>
              <w:numPr>
                <w:ilvl w:val="0"/>
                <w:numId w:val="6"/>
              </w:numPr>
              <w:spacing w:after="0" w:line="240" w:lineRule="auto"/>
              <w:jc w:val="both"/>
              <w:rPr>
                <w:rFonts w:ascii="Times New Roman" w:hAnsi="Times New Roman" w:cs="Times New Roman"/>
                <w:sz w:val="20"/>
                <w:szCs w:val="20"/>
                <w:lang w:val="sq-AL"/>
              </w:rPr>
            </w:pPr>
            <w:r w:rsidRPr="00014D00">
              <w:rPr>
                <w:rFonts w:ascii="Times New Roman" w:hAnsi="Times New Roman" w:cs="Times New Roman"/>
                <w:b/>
                <w:sz w:val="20"/>
                <w:szCs w:val="20"/>
                <w:lang w:val="sq-AL"/>
              </w:rPr>
              <w:t>Ambasada Gjermane</w:t>
            </w:r>
            <w:r w:rsidRPr="00014D00">
              <w:rPr>
                <w:rFonts w:ascii="Times New Roman" w:hAnsi="Times New Roman" w:cs="Times New Roman"/>
                <w:sz w:val="20"/>
                <w:szCs w:val="20"/>
                <w:lang w:val="sq-AL"/>
              </w:rPr>
              <w:t xml:space="preserve"> - Shërbimet mjedisore janë njohur si një pengesë në zhvillim (f.4). Për fat të keq, nuk ka masa të </w:t>
            </w:r>
            <w:r w:rsidR="005674AE" w:rsidRPr="00014D00">
              <w:rPr>
                <w:rFonts w:ascii="Times New Roman" w:hAnsi="Times New Roman" w:cs="Times New Roman"/>
                <w:sz w:val="20"/>
                <w:szCs w:val="20"/>
                <w:lang w:val="sq-AL"/>
              </w:rPr>
              <w:t xml:space="preserve">planifikuara </w:t>
            </w:r>
            <w:r w:rsidRPr="00014D00">
              <w:rPr>
                <w:rFonts w:ascii="Times New Roman" w:hAnsi="Times New Roman" w:cs="Times New Roman"/>
                <w:sz w:val="20"/>
                <w:szCs w:val="20"/>
                <w:lang w:val="sq-AL"/>
              </w:rPr>
              <w:t xml:space="preserve">për të përmirësuar infrastrukturën mjedisore për trajtimin e ujërave të zeza, menaxhimin e mbetjeve të ngurta etj. Megjithatë, kjo është çelësi për përafrimin </w:t>
            </w:r>
            <w:r w:rsidR="00014D00" w:rsidRPr="00014D00">
              <w:rPr>
                <w:rFonts w:ascii="Times New Roman" w:hAnsi="Times New Roman" w:cs="Times New Roman"/>
                <w:sz w:val="20"/>
                <w:szCs w:val="20"/>
                <w:lang w:val="sq-AL"/>
              </w:rPr>
              <w:t>me BE-n</w:t>
            </w:r>
            <w:r w:rsidRPr="00014D00">
              <w:rPr>
                <w:rFonts w:ascii="Times New Roman" w:hAnsi="Times New Roman" w:cs="Times New Roman"/>
                <w:sz w:val="20"/>
                <w:szCs w:val="20"/>
                <w:lang w:val="sq-AL"/>
              </w:rPr>
              <w:t>ë. Kosova ka nevojë për një zhvillim të balancuar ekonomikisht, social dhe mjedisor. Thjeshtimi i përgjithshëm i legjislacionit, reduktimi i mospërputhjeve dhe reforma e sistemit të inspektimit (masat 8 dhe 11) janë të rëndësishme. Megji</w:t>
            </w:r>
            <w:r w:rsidR="00014D00" w:rsidRPr="00014D00">
              <w:rPr>
                <w:rFonts w:ascii="Times New Roman" w:hAnsi="Times New Roman" w:cs="Times New Roman"/>
                <w:sz w:val="20"/>
                <w:szCs w:val="20"/>
                <w:lang w:val="sq-AL"/>
              </w:rPr>
              <w:t>thatë, do të vlerësohej nëse PRE</w:t>
            </w:r>
            <w:r w:rsidRPr="00014D00">
              <w:rPr>
                <w:rFonts w:ascii="Times New Roman" w:hAnsi="Times New Roman" w:cs="Times New Roman"/>
                <w:sz w:val="20"/>
                <w:szCs w:val="20"/>
                <w:lang w:val="sq-AL"/>
              </w:rPr>
              <w:t xml:space="preserve"> do të deklaronte në mënyrë eksplicite se politikat dhe ligjet duhet të jenë në përputhje me fondet dhe kapacitetet financiare të nevojshme për zbatimin e strategjive, për të kontrolluar zbatimin e ligjeve dhe për të siguruar zbatimin e tyre.</w:t>
            </w:r>
          </w:p>
          <w:p w:rsidR="00251C4F" w:rsidRPr="00014D00" w:rsidRDefault="00251C4F" w:rsidP="00251C4F">
            <w:pPr>
              <w:numPr>
                <w:ilvl w:val="0"/>
                <w:numId w:val="6"/>
              </w:numPr>
              <w:spacing w:after="0" w:line="240" w:lineRule="auto"/>
              <w:jc w:val="both"/>
              <w:rPr>
                <w:rFonts w:ascii="Times New Roman" w:hAnsi="Times New Roman" w:cs="Times New Roman"/>
                <w:sz w:val="20"/>
                <w:szCs w:val="20"/>
                <w:lang w:val="sq-AL"/>
              </w:rPr>
            </w:pPr>
            <w:r w:rsidRPr="00014D00">
              <w:rPr>
                <w:rFonts w:ascii="Times New Roman" w:hAnsi="Times New Roman" w:cs="Times New Roman"/>
                <w:b/>
                <w:sz w:val="20"/>
                <w:szCs w:val="20"/>
                <w:lang w:val="sq-AL"/>
              </w:rPr>
              <w:t>Ambasada Britanike në Prishtinë</w:t>
            </w:r>
            <w:r w:rsidR="00DA4CE0" w:rsidRPr="00014D00">
              <w:rPr>
                <w:rFonts w:ascii="Times New Roman" w:hAnsi="Times New Roman" w:cs="Times New Roman"/>
                <w:sz w:val="20"/>
                <w:szCs w:val="20"/>
                <w:lang w:val="sq-AL"/>
              </w:rPr>
              <w:t>, ka përgëzuar</w:t>
            </w:r>
            <w:r w:rsidRPr="00014D00">
              <w:rPr>
                <w:rFonts w:ascii="Times New Roman" w:hAnsi="Times New Roman" w:cs="Times New Roman"/>
                <w:sz w:val="20"/>
                <w:szCs w:val="20"/>
                <w:lang w:val="sq-AL"/>
              </w:rPr>
              <w:t xml:space="preserve"> Zyrën </w:t>
            </w:r>
            <w:r w:rsidR="00DA4CE0" w:rsidRPr="00014D00">
              <w:rPr>
                <w:rFonts w:ascii="Times New Roman" w:hAnsi="Times New Roman" w:cs="Times New Roman"/>
                <w:sz w:val="20"/>
                <w:szCs w:val="20"/>
                <w:lang w:val="sq-AL"/>
              </w:rPr>
              <w:t>për Planifikim</w:t>
            </w:r>
            <w:r w:rsidRPr="00014D00">
              <w:rPr>
                <w:rFonts w:ascii="Times New Roman" w:hAnsi="Times New Roman" w:cs="Times New Roman"/>
                <w:sz w:val="20"/>
                <w:szCs w:val="20"/>
                <w:lang w:val="sq-AL"/>
              </w:rPr>
              <w:t xml:space="preserve"> Strategjik dhe Departamentin e Politikave Ekonomike dhe Publike në kuadër të Ministrisë së Financave për </w:t>
            </w:r>
            <w:r w:rsidR="00DA4CE0" w:rsidRPr="00014D00">
              <w:rPr>
                <w:rFonts w:ascii="Times New Roman" w:hAnsi="Times New Roman" w:cs="Times New Roman"/>
                <w:sz w:val="20"/>
                <w:szCs w:val="20"/>
                <w:lang w:val="sq-AL"/>
              </w:rPr>
              <w:t xml:space="preserve">zhvillimin e një programi të reformave ekonomike të </w:t>
            </w:r>
            <w:r w:rsidRPr="00014D00">
              <w:rPr>
                <w:rFonts w:ascii="Times New Roman" w:hAnsi="Times New Roman" w:cs="Times New Roman"/>
                <w:sz w:val="20"/>
                <w:szCs w:val="20"/>
                <w:lang w:val="sq-AL"/>
              </w:rPr>
              <w:t>detajuar dhe objektiv.</w:t>
            </w:r>
          </w:p>
          <w:p w:rsidR="007B58C1" w:rsidRPr="00014D00" w:rsidRDefault="007B58C1" w:rsidP="00251C4F">
            <w:pPr>
              <w:spacing w:after="0" w:line="240" w:lineRule="auto"/>
              <w:ind w:left="720"/>
              <w:jc w:val="both"/>
              <w:rPr>
                <w:rFonts w:ascii="Times New Roman" w:hAnsi="Times New Roman" w:cs="Times New Roman"/>
                <w:sz w:val="20"/>
                <w:szCs w:val="20"/>
                <w:lang w:val="sq-AL"/>
              </w:rPr>
            </w:pPr>
          </w:p>
        </w:tc>
        <w:tc>
          <w:tcPr>
            <w:tcW w:w="6434" w:type="dxa"/>
            <w:shd w:val="clear" w:color="auto" w:fill="DEEAF6" w:themeFill="accent1" w:themeFillTint="33"/>
          </w:tcPr>
          <w:p w:rsidR="00DB4F39" w:rsidRPr="00014D00" w:rsidRDefault="00DB4F39" w:rsidP="00D05FE8">
            <w:pPr>
              <w:rPr>
                <w:rFonts w:ascii="Times New Roman" w:hAnsi="Times New Roman" w:cs="Times New Roman"/>
                <w:b/>
                <w:sz w:val="20"/>
                <w:szCs w:val="20"/>
                <w:lang w:val="sq-AL"/>
              </w:rPr>
            </w:pPr>
          </w:p>
        </w:tc>
      </w:tr>
      <w:tr w:rsidR="00DB4F39" w:rsidRPr="00014D00" w:rsidTr="007C794E">
        <w:trPr>
          <w:trHeight w:val="620"/>
        </w:trPr>
        <w:tc>
          <w:tcPr>
            <w:tcW w:w="1350" w:type="dxa"/>
            <w:shd w:val="clear" w:color="auto" w:fill="DEEAF6" w:themeFill="accent1" w:themeFillTint="33"/>
          </w:tcPr>
          <w:p w:rsidR="00DB4F39" w:rsidRPr="00014D00" w:rsidRDefault="00DB4F39" w:rsidP="00D05FE8">
            <w:pPr>
              <w:rPr>
                <w:rFonts w:ascii="Times New Roman" w:hAnsi="Times New Roman" w:cs="Times New Roman"/>
                <w:b/>
                <w:sz w:val="20"/>
                <w:szCs w:val="20"/>
                <w:lang w:val="sq-AL"/>
              </w:rPr>
            </w:pPr>
          </w:p>
        </w:tc>
        <w:tc>
          <w:tcPr>
            <w:tcW w:w="4163" w:type="dxa"/>
            <w:shd w:val="clear" w:color="auto" w:fill="DEEAF6" w:themeFill="accent1" w:themeFillTint="33"/>
          </w:tcPr>
          <w:p w:rsidR="00DB4F39" w:rsidRPr="00014D00" w:rsidRDefault="00DB4F39" w:rsidP="00D05FE8">
            <w:pPr>
              <w:rPr>
                <w:rFonts w:ascii="Times New Roman" w:hAnsi="Times New Roman" w:cs="Times New Roman"/>
                <w:b/>
                <w:sz w:val="20"/>
                <w:szCs w:val="20"/>
                <w:lang w:val="sq-AL"/>
              </w:rPr>
            </w:pPr>
            <w:r w:rsidRPr="00014D00">
              <w:rPr>
                <w:rFonts w:ascii="Times New Roman" w:hAnsi="Times New Roman" w:cs="Times New Roman"/>
                <w:b/>
                <w:sz w:val="20"/>
                <w:szCs w:val="20"/>
                <w:lang w:val="sq-AL"/>
              </w:rPr>
              <w:t>Komentet</w:t>
            </w:r>
          </w:p>
        </w:tc>
        <w:tc>
          <w:tcPr>
            <w:tcW w:w="1463" w:type="dxa"/>
            <w:shd w:val="clear" w:color="auto" w:fill="DEEAF6" w:themeFill="accent1" w:themeFillTint="33"/>
          </w:tcPr>
          <w:p w:rsidR="00DB4F39" w:rsidRPr="00014D00" w:rsidRDefault="00DB4F39" w:rsidP="00D05FE8">
            <w:pPr>
              <w:rPr>
                <w:rFonts w:ascii="Times New Roman" w:hAnsi="Times New Roman" w:cs="Times New Roman"/>
                <w:b/>
                <w:sz w:val="20"/>
                <w:szCs w:val="20"/>
                <w:lang w:val="sq-AL"/>
              </w:rPr>
            </w:pPr>
            <w:r w:rsidRPr="00014D00">
              <w:rPr>
                <w:rFonts w:ascii="Times New Roman" w:hAnsi="Times New Roman" w:cs="Times New Roman"/>
                <w:b/>
                <w:sz w:val="20"/>
                <w:szCs w:val="20"/>
                <w:lang w:val="sq-AL"/>
              </w:rPr>
              <w:t>Kush ka komentuar</w:t>
            </w:r>
          </w:p>
        </w:tc>
        <w:tc>
          <w:tcPr>
            <w:tcW w:w="1350" w:type="dxa"/>
            <w:shd w:val="clear" w:color="auto" w:fill="DEEAF6" w:themeFill="accent1" w:themeFillTint="33"/>
          </w:tcPr>
          <w:p w:rsidR="00DB4F39" w:rsidRPr="00014D00" w:rsidRDefault="00DB4F39" w:rsidP="00D05FE8">
            <w:pPr>
              <w:rPr>
                <w:rFonts w:ascii="Times New Roman" w:hAnsi="Times New Roman" w:cs="Times New Roman"/>
                <w:b/>
                <w:sz w:val="20"/>
                <w:szCs w:val="20"/>
                <w:lang w:val="sq-AL"/>
              </w:rPr>
            </w:pPr>
            <w:r w:rsidRPr="00014D00">
              <w:rPr>
                <w:rFonts w:ascii="Times New Roman" w:hAnsi="Times New Roman" w:cs="Times New Roman"/>
                <w:b/>
                <w:sz w:val="20"/>
                <w:szCs w:val="20"/>
                <w:lang w:val="sq-AL"/>
              </w:rPr>
              <w:t>Statusi i Komenteve</w:t>
            </w:r>
          </w:p>
          <w:p w:rsidR="00DB4F39" w:rsidRPr="00014D00" w:rsidRDefault="00DB4F39" w:rsidP="00D05FE8">
            <w:pPr>
              <w:rPr>
                <w:rFonts w:ascii="Times New Roman" w:hAnsi="Times New Roman" w:cs="Times New Roman"/>
                <w:b/>
                <w:sz w:val="20"/>
                <w:szCs w:val="20"/>
                <w:lang w:val="sq-AL"/>
              </w:rPr>
            </w:pPr>
            <w:r w:rsidRPr="00014D00">
              <w:rPr>
                <w:rFonts w:ascii="Times New Roman" w:hAnsi="Times New Roman" w:cs="Times New Roman"/>
                <w:b/>
                <w:sz w:val="20"/>
                <w:szCs w:val="20"/>
                <w:lang w:val="sq-AL"/>
              </w:rPr>
              <w:t xml:space="preserve">- pranuar, pjesërisht pranuar, nuk është pranuar </w:t>
            </w:r>
          </w:p>
        </w:tc>
        <w:tc>
          <w:tcPr>
            <w:tcW w:w="6434" w:type="dxa"/>
            <w:shd w:val="clear" w:color="auto" w:fill="DEEAF6" w:themeFill="accent1" w:themeFillTint="33"/>
          </w:tcPr>
          <w:p w:rsidR="00DB4F39" w:rsidRPr="00014D00" w:rsidRDefault="00DB4F39" w:rsidP="00D05FE8">
            <w:pPr>
              <w:rPr>
                <w:rFonts w:ascii="Times New Roman" w:hAnsi="Times New Roman" w:cs="Times New Roman"/>
                <w:b/>
                <w:sz w:val="20"/>
                <w:szCs w:val="20"/>
                <w:lang w:val="sq-AL"/>
              </w:rPr>
            </w:pPr>
            <w:r w:rsidRPr="00014D00">
              <w:rPr>
                <w:rFonts w:ascii="Times New Roman" w:hAnsi="Times New Roman" w:cs="Times New Roman"/>
                <w:b/>
                <w:sz w:val="20"/>
                <w:szCs w:val="20"/>
                <w:lang w:val="sq-AL"/>
              </w:rPr>
              <w:t>Komente (komentimi për  pranimin pjesërisht dhe mos pranimit te komenteve është i detyrueshëm)</w:t>
            </w:r>
          </w:p>
        </w:tc>
      </w:tr>
      <w:tr w:rsidR="00DB4F39" w:rsidRPr="00014D00" w:rsidTr="007C794E">
        <w:trPr>
          <w:trHeight w:val="1025"/>
        </w:trPr>
        <w:tc>
          <w:tcPr>
            <w:tcW w:w="1350" w:type="dxa"/>
            <w:shd w:val="clear" w:color="auto" w:fill="DEEAF6" w:themeFill="accent1" w:themeFillTint="33"/>
          </w:tcPr>
          <w:p w:rsidR="00DB4F39" w:rsidRPr="00014D00" w:rsidRDefault="00DC4BDA" w:rsidP="00DC4BDA">
            <w:pPr>
              <w:rPr>
                <w:rFonts w:ascii="Times New Roman" w:hAnsi="Times New Roman" w:cs="Times New Roman"/>
                <w:sz w:val="20"/>
                <w:szCs w:val="20"/>
                <w:lang w:val="sq-AL"/>
              </w:rPr>
            </w:pPr>
            <w:r w:rsidRPr="00014D00">
              <w:rPr>
                <w:rFonts w:ascii="Times New Roman" w:hAnsi="Times New Roman" w:cs="Times New Roman"/>
                <w:sz w:val="20"/>
                <w:szCs w:val="20"/>
                <w:lang w:val="sq-AL"/>
              </w:rPr>
              <w:t xml:space="preserve">Fusha </w:t>
            </w:r>
            <w:proofErr w:type="spellStart"/>
            <w:r w:rsidRPr="00014D00">
              <w:rPr>
                <w:rFonts w:ascii="Times New Roman" w:hAnsi="Times New Roman" w:cs="Times New Roman"/>
                <w:sz w:val="20"/>
                <w:szCs w:val="20"/>
                <w:lang w:val="sq-AL"/>
              </w:rPr>
              <w:t>Prioritare</w:t>
            </w:r>
            <w:proofErr w:type="spellEnd"/>
            <w:r w:rsidRPr="00014D00">
              <w:rPr>
                <w:rFonts w:ascii="Times New Roman" w:hAnsi="Times New Roman" w:cs="Times New Roman"/>
                <w:sz w:val="20"/>
                <w:szCs w:val="20"/>
                <w:lang w:val="sq-AL"/>
              </w:rPr>
              <w:t xml:space="preserve"> #1: Menaxhimi i Financave Publike. Masa #1: Përmirësimi i prokurimit publik nëpërmjet aplikimit të prokurimit elektronik</w:t>
            </w:r>
          </w:p>
        </w:tc>
        <w:tc>
          <w:tcPr>
            <w:tcW w:w="4163" w:type="dxa"/>
            <w:shd w:val="clear" w:color="auto" w:fill="DEEAF6" w:themeFill="accent1" w:themeFillTint="33"/>
          </w:tcPr>
          <w:p w:rsidR="00DC4BDA" w:rsidRPr="00014D00" w:rsidRDefault="00D05FE8" w:rsidP="00DC4BDA">
            <w:pPr>
              <w:jc w:val="both"/>
              <w:rPr>
                <w:rFonts w:ascii="Times New Roman" w:hAnsi="Times New Roman" w:cs="Times New Roman"/>
                <w:bCs/>
                <w:sz w:val="20"/>
                <w:szCs w:val="20"/>
                <w:lang w:val="sq-AL"/>
              </w:rPr>
            </w:pPr>
            <w:r w:rsidRPr="00014D00">
              <w:rPr>
                <w:rFonts w:ascii="Times New Roman" w:hAnsi="Times New Roman" w:cs="Times New Roman"/>
                <w:bCs/>
                <w:sz w:val="20"/>
                <w:szCs w:val="20"/>
                <w:lang w:val="sq-AL"/>
              </w:rPr>
              <w:t>1.</w:t>
            </w:r>
            <w:r w:rsidR="00DC4BDA" w:rsidRPr="00014D00">
              <w:rPr>
                <w:rFonts w:ascii="Times New Roman" w:hAnsi="Times New Roman" w:cs="Times New Roman"/>
                <w:bCs/>
                <w:sz w:val="20"/>
                <w:szCs w:val="20"/>
                <w:lang w:val="sq-AL"/>
              </w:rPr>
              <w:t>Krahas planifikimit për zbatimin e prokurimit elektronik në të gjitha organizatat buxhetore është e rëndësishme që të adresohen dhe problemet tjera kyçe në fushën e prokurimit të cilat ndikojnë në menaxhimin e mirë të financave publike. Sipas raportit të fundit të Auditorit të Përgjithshëm, në vazhdimësi vërehet planifikim i dobët në pjesën e prokurimit, qoftë në zhvillimin e procedurave të prokurim</w:t>
            </w:r>
            <w:r w:rsidR="001A46CE" w:rsidRPr="00014D00">
              <w:rPr>
                <w:rFonts w:ascii="Times New Roman" w:hAnsi="Times New Roman" w:cs="Times New Roman"/>
                <w:bCs/>
                <w:sz w:val="20"/>
                <w:szCs w:val="20"/>
                <w:lang w:val="sq-AL"/>
              </w:rPr>
              <w:t>it apo menaxhimin e kontratave.</w:t>
            </w:r>
            <w:r w:rsidR="00DC4BDA" w:rsidRPr="00014D00">
              <w:rPr>
                <w:rFonts w:ascii="Times New Roman" w:hAnsi="Times New Roman" w:cs="Times New Roman"/>
                <w:bCs/>
                <w:sz w:val="20"/>
                <w:szCs w:val="20"/>
                <w:lang w:val="sq-AL"/>
              </w:rPr>
              <w:t xml:space="preserve"> Tendenca për kryerjen e pagesave ndaj operatorëve para përfundimit të punëve dhe mos monitorimin e projekteve kapitale, që sipas raportit të </w:t>
            </w:r>
            <w:proofErr w:type="spellStart"/>
            <w:r w:rsidR="00DC4BDA" w:rsidRPr="00014D00">
              <w:rPr>
                <w:rFonts w:ascii="Times New Roman" w:hAnsi="Times New Roman" w:cs="Times New Roman"/>
                <w:bCs/>
                <w:sz w:val="20"/>
                <w:szCs w:val="20"/>
                <w:lang w:val="sq-AL"/>
              </w:rPr>
              <w:t>auditimit</w:t>
            </w:r>
            <w:proofErr w:type="spellEnd"/>
            <w:r w:rsidR="00DC4BDA" w:rsidRPr="00014D00">
              <w:rPr>
                <w:rFonts w:ascii="Times New Roman" w:hAnsi="Times New Roman" w:cs="Times New Roman"/>
                <w:bCs/>
                <w:sz w:val="20"/>
                <w:szCs w:val="20"/>
                <w:lang w:val="sq-AL"/>
              </w:rPr>
              <w:t xml:space="preserve"> në disa raste nuk përfundohen fare nga operatorët, tregon për menaxhim jo adekuat të financave publike. Masa në fjalë duhet të parashoh hapa për përmirësimin e planifikimit dhe ndaljen e fenomenit të parapagesave të cilat e dëmtojnë buxhetin e Kosovës.  </w:t>
            </w:r>
          </w:p>
          <w:p w:rsidR="00DC4BDA" w:rsidRPr="00014D00" w:rsidRDefault="00DC4BDA" w:rsidP="00DC4BDA">
            <w:pPr>
              <w:jc w:val="both"/>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 Problemet me Menaxhimin e Financave Publike kanë të bëjnë edhe me aspekte tjera të menaxhimit dhe transparencës. Edhe më tej nuk ekziston një </w:t>
            </w:r>
            <w:proofErr w:type="spellStart"/>
            <w:r w:rsidRPr="00014D00">
              <w:rPr>
                <w:rFonts w:ascii="Times New Roman" w:hAnsi="Times New Roman" w:cs="Times New Roman"/>
                <w:bCs/>
                <w:sz w:val="20"/>
                <w:szCs w:val="20"/>
                <w:lang w:val="sq-AL"/>
              </w:rPr>
              <w:t>rregullativë</w:t>
            </w:r>
            <w:proofErr w:type="spellEnd"/>
            <w:r w:rsidRPr="00014D00">
              <w:rPr>
                <w:rFonts w:ascii="Times New Roman" w:hAnsi="Times New Roman" w:cs="Times New Roman"/>
                <w:bCs/>
                <w:sz w:val="20"/>
                <w:szCs w:val="20"/>
                <w:lang w:val="sq-AL"/>
              </w:rPr>
              <w:t xml:space="preserve"> e qartë financiare për ndarjen e subvencioneve nga ana e organizatave buxhetore, e cila do të eliminonte mundësitë për keqpërdorime me subvencione; fushë kjo në të cilën Auditori i Përgjithshë</w:t>
            </w:r>
            <w:r w:rsidR="001A46CE" w:rsidRPr="00014D00">
              <w:rPr>
                <w:rFonts w:ascii="Times New Roman" w:hAnsi="Times New Roman" w:cs="Times New Roman"/>
                <w:bCs/>
                <w:sz w:val="20"/>
                <w:szCs w:val="20"/>
                <w:lang w:val="sq-AL"/>
              </w:rPr>
              <w:t>m gjen shkelje të mëdha çdo vit</w:t>
            </w:r>
            <w:r w:rsidRPr="00014D00">
              <w:rPr>
                <w:rFonts w:ascii="Times New Roman" w:hAnsi="Times New Roman" w:cs="Times New Roman"/>
                <w:bCs/>
                <w:sz w:val="20"/>
                <w:szCs w:val="20"/>
                <w:lang w:val="sq-AL"/>
              </w:rPr>
              <w:t xml:space="preserve">; </w:t>
            </w:r>
          </w:p>
          <w:p w:rsidR="00DB4F39" w:rsidRPr="00014D00" w:rsidRDefault="00DC4BDA" w:rsidP="00DC4BDA">
            <w:pPr>
              <w:jc w:val="both"/>
              <w:rPr>
                <w:rFonts w:ascii="Times New Roman" w:hAnsi="Times New Roman" w:cs="Times New Roman"/>
                <w:bCs/>
                <w:sz w:val="20"/>
                <w:szCs w:val="20"/>
                <w:lang w:val="sq-AL"/>
              </w:rPr>
            </w:pPr>
            <w:r w:rsidRPr="00014D00">
              <w:rPr>
                <w:rFonts w:ascii="Times New Roman" w:hAnsi="Times New Roman" w:cs="Times New Roman"/>
                <w:bCs/>
                <w:sz w:val="20"/>
                <w:szCs w:val="20"/>
                <w:lang w:val="sq-AL"/>
              </w:rPr>
              <w:lastRenderedPageBreak/>
              <w:t xml:space="preserve"> Me qëllim të rritjes së kontrollit në menaxhimin e financave publike, nevojitet transparencë më e madhe buxhetore. Publikimi i raporteve financiare nga të gjitha institucionet qendrore dhe lokale, sidomos të atyre që obligohen t’i publikojnë sipas ligjeve dhe udhëzimeve administrative në fuqi, do të                                     mundësonte kontroll më të madh nga publiku, si masë për uljen e praktikave </w:t>
            </w:r>
            <w:proofErr w:type="spellStart"/>
            <w:r w:rsidRPr="00014D00">
              <w:rPr>
                <w:rFonts w:ascii="Times New Roman" w:hAnsi="Times New Roman" w:cs="Times New Roman"/>
                <w:bCs/>
                <w:sz w:val="20"/>
                <w:szCs w:val="20"/>
                <w:lang w:val="sq-AL"/>
              </w:rPr>
              <w:t>korruptive</w:t>
            </w:r>
            <w:proofErr w:type="spellEnd"/>
            <w:r w:rsidRPr="00014D00">
              <w:rPr>
                <w:rFonts w:ascii="Times New Roman" w:hAnsi="Times New Roman" w:cs="Times New Roman"/>
                <w:bCs/>
                <w:sz w:val="20"/>
                <w:szCs w:val="20"/>
                <w:lang w:val="sq-AL"/>
              </w:rPr>
              <w:t>;</w:t>
            </w:r>
          </w:p>
        </w:tc>
        <w:tc>
          <w:tcPr>
            <w:tcW w:w="1463" w:type="dxa"/>
            <w:shd w:val="clear" w:color="auto" w:fill="DEEAF6" w:themeFill="accent1" w:themeFillTint="33"/>
          </w:tcPr>
          <w:p w:rsidR="00D05FE8" w:rsidRPr="00014D00" w:rsidRDefault="00DC4BDA" w:rsidP="00D05FE8">
            <w:pPr>
              <w:pStyle w:val="NoSpacing"/>
              <w:spacing w:line="276" w:lineRule="auto"/>
            </w:pPr>
            <w:r w:rsidRPr="00014D00">
              <w:lastRenderedPageBreak/>
              <w:t>GAP</w:t>
            </w:r>
          </w:p>
        </w:tc>
        <w:tc>
          <w:tcPr>
            <w:tcW w:w="1350" w:type="dxa"/>
            <w:shd w:val="clear" w:color="auto" w:fill="DEEAF6" w:themeFill="accent1" w:themeFillTint="33"/>
          </w:tcPr>
          <w:p w:rsidR="00DB4F39" w:rsidRPr="00014D00" w:rsidRDefault="00DB4F39" w:rsidP="00D05FE8">
            <w:pPr>
              <w:rPr>
                <w:rFonts w:ascii="Times New Roman" w:hAnsi="Times New Roman" w:cs="Times New Roman"/>
                <w:bCs/>
                <w:sz w:val="20"/>
                <w:szCs w:val="20"/>
                <w:lang w:val="sq-AL"/>
              </w:rPr>
            </w:pPr>
          </w:p>
        </w:tc>
        <w:tc>
          <w:tcPr>
            <w:tcW w:w="6434" w:type="dxa"/>
            <w:shd w:val="clear" w:color="auto" w:fill="DEEAF6" w:themeFill="accent1" w:themeFillTint="33"/>
          </w:tcPr>
          <w:p w:rsidR="00CF2E3A" w:rsidRPr="00014D00" w:rsidRDefault="00CF2E3A" w:rsidP="00D05FE8">
            <w:pPr>
              <w:jc w:val="both"/>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Të gjitha këto </w:t>
            </w:r>
            <w:proofErr w:type="spellStart"/>
            <w:r w:rsidRPr="00014D00">
              <w:rPr>
                <w:rFonts w:ascii="Times New Roman" w:hAnsi="Times New Roman" w:cs="Times New Roman"/>
                <w:bCs/>
                <w:sz w:val="20"/>
                <w:szCs w:val="20"/>
                <w:lang w:val="sq-AL"/>
              </w:rPr>
              <w:t>qështje</w:t>
            </w:r>
            <w:proofErr w:type="spellEnd"/>
            <w:r w:rsidRPr="00014D00">
              <w:rPr>
                <w:rFonts w:ascii="Times New Roman" w:hAnsi="Times New Roman" w:cs="Times New Roman"/>
                <w:bCs/>
                <w:sz w:val="20"/>
                <w:szCs w:val="20"/>
                <w:lang w:val="sq-AL"/>
              </w:rPr>
              <w:t xml:space="preserve"> </w:t>
            </w:r>
            <w:r w:rsidR="002A3584" w:rsidRPr="00014D00">
              <w:rPr>
                <w:rFonts w:ascii="Times New Roman" w:hAnsi="Times New Roman" w:cs="Times New Roman"/>
                <w:bCs/>
                <w:sz w:val="20"/>
                <w:szCs w:val="20"/>
                <w:lang w:val="sq-AL"/>
              </w:rPr>
              <w:t xml:space="preserve">të ngritura </w:t>
            </w:r>
            <w:r w:rsidRPr="00014D00">
              <w:rPr>
                <w:rFonts w:ascii="Times New Roman" w:hAnsi="Times New Roman" w:cs="Times New Roman"/>
                <w:bCs/>
                <w:sz w:val="20"/>
                <w:szCs w:val="20"/>
                <w:lang w:val="sq-AL"/>
              </w:rPr>
              <w:t xml:space="preserve">janë të qëndrueshme dhe janë të adresuara përmes Strategjisë për Reforma të Menaxhimit të </w:t>
            </w:r>
            <w:proofErr w:type="spellStart"/>
            <w:r w:rsidRPr="00014D00">
              <w:rPr>
                <w:rFonts w:ascii="Times New Roman" w:hAnsi="Times New Roman" w:cs="Times New Roman"/>
                <w:bCs/>
                <w:sz w:val="20"/>
                <w:szCs w:val="20"/>
                <w:lang w:val="sq-AL"/>
              </w:rPr>
              <w:t>Finnancave</w:t>
            </w:r>
            <w:proofErr w:type="spellEnd"/>
            <w:r w:rsidRPr="00014D00">
              <w:rPr>
                <w:rFonts w:ascii="Times New Roman" w:hAnsi="Times New Roman" w:cs="Times New Roman"/>
                <w:bCs/>
                <w:sz w:val="20"/>
                <w:szCs w:val="20"/>
                <w:lang w:val="sq-AL"/>
              </w:rPr>
              <w:t xml:space="preserve"> Publike. Kjo masë e PRE është vendosur në 2016 me që</w:t>
            </w:r>
            <w:r w:rsidR="00354CFB">
              <w:rPr>
                <w:rFonts w:ascii="Times New Roman" w:hAnsi="Times New Roman" w:cs="Times New Roman"/>
                <w:bCs/>
                <w:sz w:val="20"/>
                <w:szCs w:val="20"/>
                <w:lang w:val="sq-AL"/>
              </w:rPr>
              <w:t>llim në fokusimin në prokurim m</w:t>
            </w:r>
            <w:r w:rsidRPr="00014D00">
              <w:rPr>
                <w:rFonts w:ascii="Times New Roman" w:hAnsi="Times New Roman" w:cs="Times New Roman"/>
                <w:bCs/>
                <w:sz w:val="20"/>
                <w:szCs w:val="20"/>
                <w:lang w:val="sq-AL"/>
              </w:rPr>
              <w:t xml:space="preserve">eqë konsiderohet të ketë efekt në </w:t>
            </w:r>
            <w:proofErr w:type="spellStart"/>
            <w:r w:rsidRPr="00014D00">
              <w:rPr>
                <w:rFonts w:ascii="Times New Roman" w:hAnsi="Times New Roman" w:cs="Times New Roman"/>
                <w:bCs/>
                <w:sz w:val="20"/>
                <w:szCs w:val="20"/>
                <w:lang w:val="sq-AL"/>
              </w:rPr>
              <w:t>konkurrueshmëri</w:t>
            </w:r>
            <w:proofErr w:type="spellEnd"/>
            <w:r w:rsidRPr="00014D00">
              <w:rPr>
                <w:rFonts w:ascii="Times New Roman" w:hAnsi="Times New Roman" w:cs="Times New Roman"/>
                <w:bCs/>
                <w:sz w:val="20"/>
                <w:szCs w:val="20"/>
                <w:lang w:val="sq-AL"/>
              </w:rPr>
              <w:t xml:space="preserve"> dhe transparencë. Në </w:t>
            </w:r>
            <w:r w:rsidR="00354CFB">
              <w:rPr>
                <w:rFonts w:ascii="Times New Roman" w:hAnsi="Times New Roman" w:cs="Times New Roman"/>
                <w:bCs/>
                <w:sz w:val="20"/>
                <w:szCs w:val="20"/>
                <w:lang w:val="sq-AL"/>
              </w:rPr>
              <w:t>m</w:t>
            </w:r>
            <w:r w:rsidRPr="00014D00">
              <w:rPr>
                <w:rFonts w:ascii="Times New Roman" w:hAnsi="Times New Roman" w:cs="Times New Roman"/>
                <w:bCs/>
                <w:sz w:val="20"/>
                <w:szCs w:val="20"/>
                <w:lang w:val="sq-AL"/>
              </w:rPr>
              <w:t xml:space="preserve">omentin kur kjo masë </w:t>
            </w:r>
            <w:proofErr w:type="spellStart"/>
            <w:r w:rsidRPr="00014D00">
              <w:rPr>
                <w:rFonts w:ascii="Times New Roman" w:hAnsi="Times New Roman" w:cs="Times New Roman"/>
                <w:bCs/>
                <w:sz w:val="20"/>
                <w:szCs w:val="20"/>
                <w:lang w:val="sq-AL"/>
              </w:rPr>
              <w:t>zbatohhet</w:t>
            </w:r>
            <w:proofErr w:type="spellEnd"/>
            <w:r w:rsidRPr="00014D00">
              <w:rPr>
                <w:rFonts w:ascii="Times New Roman" w:hAnsi="Times New Roman" w:cs="Times New Roman"/>
                <w:bCs/>
                <w:sz w:val="20"/>
                <w:szCs w:val="20"/>
                <w:lang w:val="sq-AL"/>
              </w:rPr>
              <w:t xml:space="preserve"> atëherë masë e re që ndërlidhet me MFP do të vendoset në kuadër të PRE. </w:t>
            </w:r>
          </w:p>
        </w:tc>
      </w:tr>
      <w:tr w:rsidR="00F436BF" w:rsidRPr="00014D00" w:rsidTr="007C794E">
        <w:trPr>
          <w:trHeight w:val="1025"/>
        </w:trPr>
        <w:tc>
          <w:tcPr>
            <w:tcW w:w="1350" w:type="dxa"/>
            <w:shd w:val="clear" w:color="auto" w:fill="DEEAF6" w:themeFill="accent1" w:themeFillTint="33"/>
          </w:tcPr>
          <w:p w:rsidR="00F436BF" w:rsidRPr="00014D00" w:rsidRDefault="00F436BF" w:rsidP="00DC4BDA">
            <w:pPr>
              <w:rPr>
                <w:rFonts w:ascii="Times New Roman" w:hAnsi="Times New Roman" w:cs="Times New Roman"/>
                <w:sz w:val="20"/>
                <w:szCs w:val="20"/>
                <w:lang w:val="sq-AL"/>
              </w:rPr>
            </w:pPr>
            <w:r w:rsidRPr="00014D00">
              <w:rPr>
                <w:rFonts w:ascii="Times New Roman" w:hAnsi="Times New Roman" w:cs="Times New Roman"/>
                <w:sz w:val="20"/>
                <w:szCs w:val="20"/>
                <w:lang w:val="sq-AL"/>
              </w:rPr>
              <w:lastRenderedPageBreak/>
              <w:t xml:space="preserve">Fusha </w:t>
            </w:r>
            <w:proofErr w:type="spellStart"/>
            <w:r w:rsidRPr="00014D00">
              <w:rPr>
                <w:rFonts w:ascii="Times New Roman" w:hAnsi="Times New Roman" w:cs="Times New Roman"/>
                <w:sz w:val="20"/>
                <w:szCs w:val="20"/>
                <w:lang w:val="sq-AL"/>
              </w:rPr>
              <w:t>Prioritare</w:t>
            </w:r>
            <w:proofErr w:type="spellEnd"/>
            <w:r w:rsidRPr="00014D00">
              <w:rPr>
                <w:rFonts w:ascii="Times New Roman" w:hAnsi="Times New Roman" w:cs="Times New Roman"/>
                <w:sz w:val="20"/>
                <w:szCs w:val="20"/>
                <w:lang w:val="sq-AL"/>
              </w:rPr>
              <w:t xml:space="preserve"> #2: Reforma e tregut të energjisë dhe transportit. Masa #2: Ulja e konsumit të energjisë nëpërmjet masave të </w:t>
            </w:r>
            <w:proofErr w:type="spellStart"/>
            <w:r w:rsidRPr="00014D00">
              <w:rPr>
                <w:rFonts w:ascii="Times New Roman" w:hAnsi="Times New Roman" w:cs="Times New Roman"/>
                <w:sz w:val="20"/>
                <w:szCs w:val="20"/>
                <w:lang w:val="sq-AL"/>
              </w:rPr>
              <w:t>efiçiencës</w:t>
            </w:r>
            <w:proofErr w:type="spellEnd"/>
            <w:r w:rsidRPr="00014D00">
              <w:rPr>
                <w:rFonts w:ascii="Times New Roman" w:hAnsi="Times New Roman" w:cs="Times New Roman"/>
                <w:sz w:val="20"/>
                <w:szCs w:val="20"/>
                <w:lang w:val="sq-AL"/>
              </w:rPr>
              <w:t xml:space="preserve"> së energjisë.</w:t>
            </w:r>
          </w:p>
        </w:tc>
        <w:tc>
          <w:tcPr>
            <w:tcW w:w="4163" w:type="dxa"/>
            <w:shd w:val="clear" w:color="auto" w:fill="DEEAF6" w:themeFill="accent1" w:themeFillTint="33"/>
          </w:tcPr>
          <w:p w:rsidR="00F436BF" w:rsidRPr="00014D00" w:rsidRDefault="00F436BF" w:rsidP="00F436BF">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Pjesë e kësaj mase duhet të jetë edhe rritja e kapaciteteve njerëzore për Agjencinë për </w:t>
            </w:r>
            <w:proofErr w:type="spellStart"/>
            <w:r w:rsidRPr="00014D00">
              <w:rPr>
                <w:rFonts w:ascii="Times New Roman" w:hAnsi="Times New Roman" w:cs="Times New Roman"/>
                <w:bCs/>
                <w:sz w:val="20"/>
                <w:szCs w:val="20"/>
                <w:lang w:val="sq-AL"/>
              </w:rPr>
              <w:t>Efiçiencë</w:t>
            </w:r>
            <w:proofErr w:type="spellEnd"/>
            <w:r w:rsidRPr="00014D00">
              <w:rPr>
                <w:rFonts w:ascii="Times New Roman" w:hAnsi="Times New Roman" w:cs="Times New Roman"/>
                <w:bCs/>
                <w:sz w:val="20"/>
                <w:szCs w:val="20"/>
                <w:lang w:val="sq-AL"/>
              </w:rPr>
              <w:t xml:space="preserve"> të Energjisë, siç edhe rekomandohet në Raportet vjetor</w:t>
            </w:r>
            <w:r w:rsidR="001A46CE" w:rsidRPr="00014D00">
              <w:rPr>
                <w:rFonts w:ascii="Times New Roman" w:hAnsi="Times New Roman" w:cs="Times New Roman"/>
                <w:bCs/>
                <w:sz w:val="20"/>
                <w:szCs w:val="20"/>
                <w:lang w:val="sq-AL"/>
              </w:rPr>
              <w:t>e të Progresit nga viti 2015.</w:t>
            </w:r>
          </w:p>
          <w:p w:rsidR="00F436BF" w:rsidRPr="00014D00" w:rsidRDefault="00F436BF" w:rsidP="00DC4BDA">
            <w:pPr>
              <w:jc w:val="both"/>
              <w:rPr>
                <w:rFonts w:ascii="Times New Roman" w:hAnsi="Times New Roman" w:cs="Times New Roman"/>
                <w:bCs/>
                <w:sz w:val="20"/>
                <w:szCs w:val="20"/>
                <w:lang w:val="sq-AL"/>
              </w:rPr>
            </w:pPr>
          </w:p>
        </w:tc>
        <w:tc>
          <w:tcPr>
            <w:tcW w:w="1463" w:type="dxa"/>
            <w:shd w:val="clear" w:color="auto" w:fill="DEEAF6" w:themeFill="accent1" w:themeFillTint="33"/>
          </w:tcPr>
          <w:p w:rsidR="00F436BF" w:rsidRPr="00014D00" w:rsidRDefault="00F436BF" w:rsidP="00D05FE8">
            <w:pPr>
              <w:pStyle w:val="NoSpacing"/>
              <w:spacing w:line="276" w:lineRule="auto"/>
            </w:pPr>
            <w:r w:rsidRPr="00014D00">
              <w:t>GAP</w:t>
            </w:r>
          </w:p>
        </w:tc>
        <w:tc>
          <w:tcPr>
            <w:tcW w:w="1350" w:type="dxa"/>
            <w:shd w:val="clear" w:color="auto" w:fill="DEEAF6" w:themeFill="accent1" w:themeFillTint="33"/>
          </w:tcPr>
          <w:p w:rsidR="00F436BF" w:rsidRPr="00014D00" w:rsidRDefault="00F436BF" w:rsidP="00D05FE8">
            <w:pPr>
              <w:rPr>
                <w:rFonts w:ascii="Times New Roman" w:hAnsi="Times New Roman" w:cs="Times New Roman"/>
                <w:bCs/>
                <w:sz w:val="20"/>
                <w:szCs w:val="20"/>
                <w:lang w:val="sq-AL"/>
              </w:rPr>
            </w:pPr>
          </w:p>
        </w:tc>
        <w:tc>
          <w:tcPr>
            <w:tcW w:w="6434" w:type="dxa"/>
            <w:shd w:val="clear" w:color="auto" w:fill="DEEAF6" w:themeFill="accent1" w:themeFillTint="33"/>
          </w:tcPr>
          <w:p w:rsidR="00F436BF" w:rsidRPr="00014D00" w:rsidRDefault="00D4473E" w:rsidP="00300496">
            <w:pPr>
              <w:jc w:val="both"/>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Kjo </w:t>
            </w:r>
            <w:proofErr w:type="spellStart"/>
            <w:r w:rsidRPr="00014D00">
              <w:rPr>
                <w:rFonts w:ascii="Times New Roman" w:hAnsi="Times New Roman" w:cs="Times New Roman"/>
                <w:bCs/>
                <w:sz w:val="20"/>
                <w:szCs w:val="20"/>
                <w:lang w:val="sq-AL"/>
              </w:rPr>
              <w:t>qështje</w:t>
            </w:r>
            <w:proofErr w:type="spellEnd"/>
            <w:r w:rsidRPr="00014D00">
              <w:rPr>
                <w:rFonts w:ascii="Times New Roman" w:hAnsi="Times New Roman" w:cs="Times New Roman"/>
                <w:bCs/>
                <w:sz w:val="20"/>
                <w:szCs w:val="20"/>
                <w:lang w:val="sq-AL"/>
              </w:rPr>
              <w:t xml:space="preserve"> do të adresohet përmes Ligjit p</w:t>
            </w:r>
            <w:r w:rsidR="00300496" w:rsidRPr="00014D00">
              <w:rPr>
                <w:rFonts w:ascii="Times New Roman" w:hAnsi="Times New Roman" w:cs="Times New Roman"/>
                <w:bCs/>
                <w:sz w:val="20"/>
                <w:szCs w:val="20"/>
                <w:lang w:val="sq-AL"/>
              </w:rPr>
              <w:t xml:space="preserve">ër </w:t>
            </w:r>
            <w:proofErr w:type="spellStart"/>
            <w:r w:rsidR="00300496" w:rsidRPr="00014D00">
              <w:rPr>
                <w:rFonts w:ascii="Times New Roman" w:hAnsi="Times New Roman" w:cs="Times New Roman"/>
                <w:bCs/>
                <w:sz w:val="20"/>
                <w:szCs w:val="20"/>
                <w:lang w:val="sq-AL"/>
              </w:rPr>
              <w:t>Eficie</w:t>
            </w:r>
            <w:r w:rsidRPr="00014D00">
              <w:rPr>
                <w:rFonts w:ascii="Times New Roman" w:hAnsi="Times New Roman" w:cs="Times New Roman"/>
                <w:bCs/>
                <w:sz w:val="20"/>
                <w:szCs w:val="20"/>
                <w:lang w:val="sq-AL"/>
              </w:rPr>
              <w:t>ncë</w:t>
            </w:r>
            <w:proofErr w:type="spellEnd"/>
            <w:r w:rsidRPr="00014D00">
              <w:rPr>
                <w:rFonts w:ascii="Times New Roman" w:hAnsi="Times New Roman" w:cs="Times New Roman"/>
                <w:bCs/>
                <w:sz w:val="20"/>
                <w:szCs w:val="20"/>
                <w:lang w:val="sq-AL"/>
              </w:rPr>
              <w:t xml:space="preserve"> të Energjisë i cili planifikohet të hartohet në kuadër të k</w:t>
            </w:r>
            <w:r w:rsidR="00300496" w:rsidRPr="00014D00">
              <w:rPr>
                <w:rFonts w:ascii="Times New Roman" w:hAnsi="Times New Roman" w:cs="Times New Roman"/>
                <w:bCs/>
                <w:sz w:val="20"/>
                <w:szCs w:val="20"/>
                <w:lang w:val="sq-AL"/>
              </w:rPr>
              <w:t>ësaj mase</w:t>
            </w:r>
            <w:r w:rsidRPr="00014D00">
              <w:rPr>
                <w:rFonts w:ascii="Times New Roman" w:hAnsi="Times New Roman" w:cs="Times New Roman"/>
                <w:bCs/>
                <w:sz w:val="20"/>
                <w:szCs w:val="20"/>
                <w:lang w:val="sq-AL"/>
              </w:rPr>
              <w:t>.</w:t>
            </w:r>
            <w:r w:rsidR="00300496" w:rsidRPr="00014D00">
              <w:rPr>
                <w:rFonts w:ascii="Times New Roman" w:hAnsi="Times New Roman" w:cs="Times New Roman"/>
                <w:bCs/>
                <w:sz w:val="20"/>
                <w:szCs w:val="20"/>
                <w:lang w:val="sq-AL"/>
              </w:rPr>
              <w:t xml:space="preserve"> </w:t>
            </w:r>
            <w:proofErr w:type="spellStart"/>
            <w:r w:rsidR="00300496" w:rsidRPr="00014D00">
              <w:rPr>
                <w:rFonts w:ascii="Times New Roman" w:hAnsi="Times New Roman" w:cs="Times New Roman"/>
                <w:bCs/>
                <w:sz w:val="20"/>
                <w:szCs w:val="20"/>
                <w:lang w:val="sq-AL"/>
              </w:rPr>
              <w:t>Agjencioni</w:t>
            </w:r>
            <w:proofErr w:type="spellEnd"/>
            <w:r w:rsidR="00300496" w:rsidRPr="00014D00">
              <w:rPr>
                <w:rFonts w:ascii="Times New Roman" w:hAnsi="Times New Roman" w:cs="Times New Roman"/>
                <w:bCs/>
                <w:sz w:val="20"/>
                <w:szCs w:val="20"/>
                <w:lang w:val="sq-AL"/>
              </w:rPr>
              <w:t xml:space="preserve"> për </w:t>
            </w:r>
            <w:proofErr w:type="spellStart"/>
            <w:r w:rsidR="00300496" w:rsidRPr="00014D00">
              <w:rPr>
                <w:rFonts w:ascii="Times New Roman" w:hAnsi="Times New Roman" w:cs="Times New Roman"/>
                <w:bCs/>
                <w:sz w:val="20"/>
                <w:szCs w:val="20"/>
                <w:lang w:val="sq-AL"/>
              </w:rPr>
              <w:t>Efiçiencë</w:t>
            </w:r>
            <w:proofErr w:type="spellEnd"/>
            <w:r w:rsidR="00300496" w:rsidRPr="00014D00">
              <w:rPr>
                <w:rFonts w:ascii="Times New Roman" w:hAnsi="Times New Roman" w:cs="Times New Roman"/>
                <w:bCs/>
                <w:sz w:val="20"/>
                <w:szCs w:val="20"/>
                <w:lang w:val="sq-AL"/>
              </w:rPr>
              <w:t xml:space="preserve"> të Energjisë ka </w:t>
            </w:r>
            <w:r w:rsidRPr="00014D00">
              <w:rPr>
                <w:rFonts w:ascii="Times New Roman" w:hAnsi="Times New Roman" w:cs="Times New Roman"/>
                <w:bCs/>
                <w:sz w:val="20"/>
                <w:szCs w:val="20"/>
                <w:lang w:val="sq-AL"/>
              </w:rPr>
              <w:t xml:space="preserve"> </w:t>
            </w:r>
            <w:r w:rsidR="00300496" w:rsidRPr="00014D00">
              <w:rPr>
                <w:rFonts w:ascii="Times New Roman" w:hAnsi="Times New Roman" w:cs="Times New Roman"/>
                <w:bCs/>
                <w:sz w:val="20"/>
                <w:szCs w:val="20"/>
                <w:lang w:val="sq-AL"/>
              </w:rPr>
              <w:t xml:space="preserve">aprovuar </w:t>
            </w:r>
            <w:proofErr w:type="spellStart"/>
            <w:r w:rsidR="00300496" w:rsidRPr="00014D00">
              <w:rPr>
                <w:rFonts w:ascii="Times New Roman" w:hAnsi="Times New Roman" w:cs="Times New Roman"/>
                <w:bCs/>
                <w:sz w:val="20"/>
                <w:szCs w:val="20"/>
                <w:lang w:val="sq-AL"/>
              </w:rPr>
              <w:t>organogramin</w:t>
            </w:r>
            <w:proofErr w:type="spellEnd"/>
            <w:r w:rsidR="00300496" w:rsidRPr="00014D00">
              <w:rPr>
                <w:rFonts w:ascii="Times New Roman" w:hAnsi="Times New Roman" w:cs="Times New Roman"/>
                <w:bCs/>
                <w:sz w:val="20"/>
                <w:szCs w:val="20"/>
                <w:lang w:val="sq-AL"/>
              </w:rPr>
              <w:t xml:space="preserve"> dhe </w:t>
            </w:r>
            <w:r w:rsidRPr="00014D00">
              <w:rPr>
                <w:rFonts w:ascii="Times New Roman" w:hAnsi="Times New Roman" w:cs="Times New Roman"/>
                <w:bCs/>
                <w:sz w:val="20"/>
                <w:szCs w:val="20"/>
                <w:lang w:val="sq-AL"/>
              </w:rPr>
              <w:t xml:space="preserve"> </w:t>
            </w:r>
            <w:r w:rsidR="00300496" w:rsidRPr="00014D00">
              <w:rPr>
                <w:rFonts w:ascii="Times New Roman" w:hAnsi="Times New Roman" w:cs="Times New Roman"/>
                <w:bCs/>
                <w:sz w:val="20"/>
                <w:szCs w:val="20"/>
                <w:lang w:val="sq-AL"/>
              </w:rPr>
              <w:t>është duke punuar n</w:t>
            </w:r>
            <w:r w:rsidR="00BD2E34" w:rsidRPr="00014D00">
              <w:rPr>
                <w:rFonts w:ascii="Times New Roman" w:hAnsi="Times New Roman" w:cs="Times New Roman"/>
                <w:bCs/>
                <w:sz w:val="20"/>
                <w:szCs w:val="20"/>
                <w:lang w:val="sq-AL"/>
              </w:rPr>
              <w:t>ë ngritjen dhe zhvillimin e kapacite</w:t>
            </w:r>
            <w:r w:rsidR="00300496" w:rsidRPr="00014D00">
              <w:rPr>
                <w:rFonts w:ascii="Times New Roman" w:hAnsi="Times New Roman" w:cs="Times New Roman"/>
                <w:bCs/>
                <w:sz w:val="20"/>
                <w:szCs w:val="20"/>
                <w:lang w:val="sq-AL"/>
              </w:rPr>
              <w:t xml:space="preserve">teve të tija, ku gjithsej pritet të  jenë 10 anëtarë të stafit.  Deri më tani, ky </w:t>
            </w:r>
            <w:proofErr w:type="spellStart"/>
            <w:r w:rsidR="00300496" w:rsidRPr="00014D00">
              <w:rPr>
                <w:rFonts w:ascii="Times New Roman" w:hAnsi="Times New Roman" w:cs="Times New Roman"/>
                <w:bCs/>
                <w:sz w:val="20"/>
                <w:szCs w:val="20"/>
                <w:lang w:val="sq-AL"/>
              </w:rPr>
              <w:t>Agjencion</w:t>
            </w:r>
            <w:proofErr w:type="spellEnd"/>
            <w:r w:rsidR="00300496" w:rsidRPr="00014D00">
              <w:rPr>
                <w:rFonts w:ascii="Times New Roman" w:hAnsi="Times New Roman" w:cs="Times New Roman"/>
                <w:bCs/>
                <w:sz w:val="20"/>
                <w:szCs w:val="20"/>
                <w:lang w:val="sq-AL"/>
              </w:rPr>
              <w:t xml:space="preserve"> ka një numër stafi prej 5 personave.</w:t>
            </w:r>
          </w:p>
        </w:tc>
      </w:tr>
      <w:tr w:rsidR="00F436BF" w:rsidRPr="00014D00" w:rsidTr="007C794E">
        <w:trPr>
          <w:trHeight w:val="1025"/>
        </w:trPr>
        <w:tc>
          <w:tcPr>
            <w:tcW w:w="1350" w:type="dxa"/>
            <w:shd w:val="clear" w:color="auto" w:fill="DEEAF6" w:themeFill="accent1" w:themeFillTint="33"/>
          </w:tcPr>
          <w:p w:rsidR="00F436BF" w:rsidRPr="00014D00" w:rsidRDefault="00F436BF" w:rsidP="00DC4BDA">
            <w:pPr>
              <w:rPr>
                <w:rFonts w:ascii="Times New Roman" w:hAnsi="Times New Roman" w:cs="Times New Roman"/>
                <w:sz w:val="20"/>
                <w:szCs w:val="20"/>
                <w:lang w:val="sq-AL"/>
              </w:rPr>
            </w:pPr>
            <w:r w:rsidRPr="00014D00">
              <w:rPr>
                <w:rFonts w:ascii="Times New Roman" w:hAnsi="Times New Roman" w:cs="Times New Roman"/>
                <w:sz w:val="20"/>
                <w:szCs w:val="20"/>
                <w:lang w:val="sq-AL"/>
              </w:rPr>
              <w:t xml:space="preserve">Fusha </w:t>
            </w:r>
            <w:proofErr w:type="spellStart"/>
            <w:r w:rsidRPr="00014D00">
              <w:rPr>
                <w:rFonts w:ascii="Times New Roman" w:hAnsi="Times New Roman" w:cs="Times New Roman"/>
                <w:sz w:val="20"/>
                <w:szCs w:val="20"/>
                <w:lang w:val="sq-AL"/>
              </w:rPr>
              <w:t>Prioritare</w:t>
            </w:r>
            <w:proofErr w:type="spellEnd"/>
            <w:r w:rsidRPr="00014D00">
              <w:rPr>
                <w:rFonts w:ascii="Times New Roman" w:hAnsi="Times New Roman" w:cs="Times New Roman"/>
                <w:sz w:val="20"/>
                <w:szCs w:val="20"/>
                <w:lang w:val="sq-AL"/>
              </w:rPr>
              <w:t xml:space="preserve"> #2: Reforma e tregut të energjisë dhe transportit. Masa #3: Zhvillimi i mëtejshëm i kapaciteteve prodhuese të energjisë.</w:t>
            </w:r>
          </w:p>
        </w:tc>
        <w:tc>
          <w:tcPr>
            <w:tcW w:w="4163" w:type="dxa"/>
            <w:shd w:val="clear" w:color="auto" w:fill="DEEAF6" w:themeFill="accent1" w:themeFillTint="33"/>
          </w:tcPr>
          <w:p w:rsidR="00F436BF" w:rsidRPr="00014D00" w:rsidRDefault="00F436BF" w:rsidP="00F436BF">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Ndërtimi i Termocentralit Kosova e Re do të ndikojë në rritjen e çmimit të energjisë elektrike në vend. Një rritje e çmimit të energjisë prej rreth 50-60%, siç thekso</w:t>
            </w:r>
            <w:r w:rsidR="003D22F4" w:rsidRPr="00014D00">
              <w:rPr>
                <w:rFonts w:ascii="Times New Roman" w:hAnsi="Times New Roman" w:cs="Times New Roman"/>
                <w:bCs/>
                <w:sz w:val="20"/>
                <w:szCs w:val="20"/>
                <w:lang w:val="sq-AL"/>
              </w:rPr>
              <w:t>n dhe raporti i MCC për Kosovën</w:t>
            </w:r>
            <w:r w:rsidRPr="00014D00">
              <w:rPr>
                <w:rFonts w:ascii="Times New Roman" w:hAnsi="Times New Roman" w:cs="Times New Roman"/>
                <w:bCs/>
                <w:sz w:val="20"/>
                <w:szCs w:val="20"/>
                <w:lang w:val="sq-AL"/>
              </w:rPr>
              <w:t xml:space="preserve"> dhe burimet tjera, do t’i rriste në mënyrë enorme shpenzimet operative të ndërmarrjeve në Kosovë, të cilat sipas këtij programi edhe ashtu janë jo-konkurruese në raport me ndërmarrjet e vendeve fqinje. Sipas raportit të njëjtë të MCC, çmimi që paguajnë bizneset në Kosovë sot është i ngjashëm me atë që paguajnë bizneset e vendeve sikurse Austria apo Holanda. Ndërsa, një ngritje e tillë e çmimit të energjisë si më lartë do ta bënte atë të njëjtë </w:t>
            </w:r>
            <w:r w:rsidRPr="00014D00">
              <w:rPr>
                <w:rFonts w:ascii="Times New Roman" w:hAnsi="Times New Roman" w:cs="Times New Roman"/>
                <w:bCs/>
                <w:sz w:val="20"/>
                <w:szCs w:val="20"/>
                <w:lang w:val="sq-AL"/>
              </w:rPr>
              <w:lastRenderedPageBreak/>
              <w:t xml:space="preserve">me vende si Italia. Andaj, qeveria duhet të hartoj masa konkrete për mbështetjen e ndërmarrjeve në këtë pikë. </w:t>
            </w:r>
          </w:p>
        </w:tc>
        <w:tc>
          <w:tcPr>
            <w:tcW w:w="1463" w:type="dxa"/>
            <w:shd w:val="clear" w:color="auto" w:fill="DEEAF6" w:themeFill="accent1" w:themeFillTint="33"/>
          </w:tcPr>
          <w:p w:rsidR="00F436BF" w:rsidRPr="00014D00" w:rsidRDefault="00F436BF" w:rsidP="00D05FE8">
            <w:pPr>
              <w:pStyle w:val="NoSpacing"/>
              <w:spacing w:line="276" w:lineRule="auto"/>
            </w:pPr>
            <w:r w:rsidRPr="00014D00">
              <w:lastRenderedPageBreak/>
              <w:t>GAP</w:t>
            </w:r>
          </w:p>
        </w:tc>
        <w:tc>
          <w:tcPr>
            <w:tcW w:w="1350" w:type="dxa"/>
            <w:shd w:val="clear" w:color="auto" w:fill="DEEAF6" w:themeFill="accent1" w:themeFillTint="33"/>
          </w:tcPr>
          <w:p w:rsidR="00F436BF" w:rsidRPr="00014D00" w:rsidRDefault="00F436BF" w:rsidP="00D05FE8">
            <w:pPr>
              <w:rPr>
                <w:rFonts w:ascii="Times New Roman" w:hAnsi="Times New Roman" w:cs="Times New Roman"/>
                <w:bCs/>
                <w:sz w:val="20"/>
                <w:szCs w:val="20"/>
                <w:lang w:val="sq-AL"/>
              </w:rPr>
            </w:pPr>
          </w:p>
        </w:tc>
        <w:tc>
          <w:tcPr>
            <w:tcW w:w="6434" w:type="dxa"/>
            <w:shd w:val="clear" w:color="auto" w:fill="DEEAF6" w:themeFill="accent1" w:themeFillTint="33"/>
          </w:tcPr>
          <w:p w:rsidR="00F436BF" w:rsidRPr="00014D00" w:rsidRDefault="00CA4CD1" w:rsidP="002A5401">
            <w:pPr>
              <w:jc w:val="both"/>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 </w:t>
            </w:r>
            <w:r w:rsidR="003D22F4" w:rsidRPr="00014D00">
              <w:rPr>
                <w:rFonts w:ascii="Times New Roman" w:hAnsi="Times New Roman" w:cs="Times New Roman"/>
                <w:bCs/>
                <w:sz w:val="20"/>
                <w:szCs w:val="20"/>
                <w:lang w:val="sq-AL"/>
              </w:rPr>
              <w:t xml:space="preserve">Zhvillimi i </w:t>
            </w:r>
            <w:proofErr w:type="spellStart"/>
            <w:r w:rsidR="003D22F4" w:rsidRPr="00014D00">
              <w:rPr>
                <w:rFonts w:ascii="Times New Roman" w:hAnsi="Times New Roman" w:cs="Times New Roman"/>
                <w:bCs/>
                <w:sz w:val="20"/>
                <w:szCs w:val="20"/>
                <w:lang w:val="sq-AL"/>
              </w:rPr>
              <w:t>mëtejm</w:t>
            </w:r>
            <w:proofErr w:type="spellEnd"/>
            <w:r w:rsidR="003D22F4" w:rsidRPr="00014D00">
              <w:rPr>
                <w:rFonts w:ascii="Times New Roman" w:hAnsi="Times New Roman" w:cs="Times New Roman"/>
                <w:bCs/>
                <w:sz w:val="20"/>
                <w:szCs w:val="20"/>
                <w:lang w:val="sq-AL"/>
              </w:rPr>
              <w:t xml:space="preserve"> i </w:t>
            </w:r>
            <w:proofErr w:type="spellStart"/>
            <w:r w:rsidR="003D22F4" w:rsidRPr="00014D00">
              <w:rPr>
                <w:rFonts w:ascii="Times New Roman" w:hAnsi="Times New Roman" w:cs="Times New Roman"/>
                <w:bCs/>
                <w:sz w:val="20"/>
                <w:szCs w:val="20"/>
                <w:lang w:val="sq-AL"/>
              </w:rPr>
              <w:t>kapacitetetev</w:t>
            </w:r>
            <w:proofErr w:type="spellEnd"/>
            <w:r w:rsidR="003D22F4" w:rsidRPr="00014D00">
              <w:rPr>
                <w:rFonts w:ascii="Times New Roman" w:hAnsi="Times New Roman" w:cs="Times New Roman"/>
                <w:bCs/>
                <w:sz w:val="20"/>
                <w:szCs w:val="20"/>
                <w:lang w:val="sq-AL"/>
              </w:rPr>
              <w:t xml:space="preserve"> prodhuese të energjisë:  PRE nuk futet në detaje të kontratës së ndërtimit të termocentralit të ri. PRE ofron një përmbledhje të pengesave kryesore kur flasim p</w:t>
            </w:r>
            <w:r w:rsidR="002A5401" w:rsidRPr="00014D00">
              <w:rPr>
                <w:rFonts w:ascii="Times New Roman" w:hAnsi="Times New Roman" w:cs="Times New Roman"/>
                <w:bCs/>
                <w:sz w:val="20"/>
                <w:szCs w:val="20"/>
                <w:lang w:val="sq-AL"/>
              </w:rPr>
              <w:t>ër z</w:t>
            </w:r>
            <w:r w:rsidR="003D22F4" w:rsidRPr="00014D00">
              <w:rPr>
                <w:rFonts w:ascii="Times New Roman" w:hAnsi="Times New Roman" w:cs="Times New Roman"/>
                <w:bCs/>
                <w:sz w:val="20"/>
                <w:szCs w:val="20"/>
                <w:lang w:val="sq-AL"/>
              </w:rPr>
              <w:t>hvillimin e kapaciteteve prodhuese të energjisë dhe furni</w:t>
            </w:r>
            <w:r w:rsidR="002A5401" w:rsidRPr="00014D00">
              <w:rPr>
                <w:rFonts w:ascii="Times New Roman" w:hAnsi="Times New Roman" w:cs="Times New Roman"/>
                <w:bCs/>
                <w:sz w:val="20"/>
                <w:szCs w:val="20"/>
                <w:lang w:val="sq-AL"/>
              </w:rPr>
              <w:t>z</w:t>
            </w:r>
            <w:r w:rsidR="003D22F4" w:rsidRPr="00014D00">
              <w:rPr>
                <w:rFonts w:ascii="Times New Roman" w:hAnsi="Times New Roman" w:cs="Times New Roman"/>
                <w:bCs/>
                <w:sz w:val="20"/>
                <w:szCs w:val="20"/>
                <w:lang w:val="sq-AL"/>
              </w:rPr>
              <w:t xml:space="preserve">imit të qëndrueshëm me energji. </w:t>
            </w:r>
          </w:p>
        </w:tc>
      </w:tr>
      <w:tr w:rsidR="00F436BF" w:rsidRPr="00014D00" w:rsidTr="00DB1354">
        <w:trPr>
          <w:trHeight w:val="4004"/>
        </w:trPr>
        <w:tc>
          <w:tcPr>
            <w:tcW w:w="1350" w:type="dxa"/>
            <w:shd w:val="clear" w:color="auto" w:fill="DEEAF6" w:themeFill="accent1" w:themeFillTint="33"/>
          </w:tcPr>
          <w:p w:rsidR="00F436BF" w:rsidRPr="00014D00" w:rsidRDefault="00F436BF" w:rsidP="00DC4BDA">
            <w:pPr>
              <w:rPr>
                <w:rFonts w:ascii="Times New Roman" w:hAnsi="Times New Roman" w:cs="Times New Roman"/>
                <w:sz w:val="20"/>
                <w:szCs w:val="20"/>
                <w:lang w:val="sq-AL"/>
              </w:rPr>
            </w:pPr>
            <w:r w:rsidRPr="00014D00">
              <w:rPr>
                <w:rFonts w:ascii="Times New Roman" w:hAnsi="Times New Roman" w:cs="Times New Roman"/>
                <w:sz w:val="20"/>
                <w:szCs w:val="20"/>
                <w:lang w:val="sq-AL"/>
              </w:rPr>
              <w:lastRenderedPageBreak/>
              <w:t xml:space="preserve">Fusha </w:t>
            </w:r>
            <w:proofErr w:type="spellStart"/>
            <w:r w:rsidRPr="00014D00">
              <w:rPr>
                <w:rFonts w:ascii="Times New Roman" w:hAnsi="Times New Roman" w:cs="Times New Roman"/>
                <w:sz w:val="20"/>
                <w:szCs w:val="20"/>
                <w:lang w:val="sq-AL"/>
              </w:rPr>
              <w:t>Prioritare</w:t>
            </w:r>
            <w:proofErr w:type="spellEnd"/>
            <w:r w:rsidRPr="00014D00">
              <w:rPr>
                <w:rFonts w:ascii="Times New Roman" w:hAnsi="Times New Roman" w:cs="Times New Roman"/>
                <w:sz w:val="20"/>
                <w:szCs w:val="20"/>
                <w:lang w:val="sq-AL"/>
              </w:rPr>
              <w:t xml:space="preserve"> #3: Zhvillimet sektoriale – bujqësia, industria dhe shërbimet.  Masa #6: Zhvillimi i </w:t>
            </w:r>
            <w:proofErr w:type="spellStart"/>
            <w:r w:rsidRPr="00014D00">
              <w:rPr>
                <w:rFonts w:ascii="Times New Roman" w:hAnsi="Times New Roman" w:cs="Times New Roman"/>
                <w:sz w:val="20"/>
                <w:szCs w:val="20"/>
                <w:lang w:val="sq-AL"/>
              </w:rPr>
              <w:t>konkurueshmerisë</w:t>
            </w:r>
            <w:proofErr w:type="spellEnd"/>
            <w:r w:rsidRPr="00014D00">
              <w:rPr>
                <w:rFonts w:ascii="Times New Roman" w:hAnsi="Times New Roman" w:cs="Times New Roman"/>
                <w:sz w:val="20"/>
                <w:szCs w:val="20"/>
                <w:lang w:val="sq-AL"/>
              </w:rPr>
              <w:t xml:space="preserve"> së sektorit privat përmes zhvillimit industrial për NVM-të</w:t>
            </w:r>
            <w:r w:rsidR="00DB1354">
              <w:rPr>
                <w:rFonts w:ascii="Times New Roman" w:hAnsi="Times New Roman" w:cs="Times New Roman"/>
                <w:sz w:val="20"/>
                <w:szCs w:val="20"/>
                <w:lang w:val="sq-AL"/>
              </w:rPr>
              <w:t>.</w:t>
            </w:r>
          </w:p>
        </w:tc>
        <w:tc>
          <w:tcPr>
            <w:tcW w:w="4163" w:type="dxa"/>
            <w:shd w:val="clear" w:color="auto" w:fill="DEEAF6" w:themeFill="accent1" w:themeFillTint="33"/>
          </w:tcPr>
          <w:p w:rsidR="00F436BF" w:rsidRPr="00014D00" w:rsidRDefault="00F436BF" w:rsidP="00F436BF">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Në kuadër të kësaj fushe duhet të përfshihet edhe rritja e kapaciteteve dhe investimeve kapitale për Agjencinë për Pronësi Industriale që operon brenda MTI-së, në mënyrë që të mund të realizojë misionin e saj, ashtu siç është rekomanduar në Raportin e Prog</w:t>
            </w:r>
            <w:r w:rsidR="000B400B" w:rsidRPr="00014D00">
              <w:rPr>
                <w:rFonts w:ascii="Times New Roman" w:hAnsi="Times New Roman" w:cs="Times New Roman"/>
                <w:bCs/>
                <w:sz w:val="20"/>
                <w:szCs w:val="20"/>
                <w:lang w:val="sq-AL"/>
              </w:rPr>
              <w:t>resit të vitit 2016.</w:t>
            </w:r>
            <w:r w:rsidRPr="00014D00">
              <w:rPr>
                <w:rFonts w:ascii="Times New Roman" w:hAnsi="Times New Roman" w:cs="Times New Roman"/>
                <w:bCs/>
                <w:sz w:val="20"/>
                <w:szCs w:val="20"/>
                <w:lang w:val="sq-AL"/>
              </w:rPr>
              <w:t xml:space="preserve"> Po ashtu, mbetet ende e paqartë se si do të koordinohen aktivitetet në mes të MTI dhe Ministrisë së re për Inovacion dhe Ndërmarrësi, pasi që të dy ministritë mbulojnë fushën e </w:t>
            </w:r>
            <w:proofErr w:type="spellStart"/>
            <w:r w:rsidRPr="00014D00">
              <w:rPr>
                <w:rFonts w:ascii="Times New Roman" w:hAnsi="Times New Roman" w:cs="Times New Roman"/>
                <w:bCs/>
                <w:sz w:val="20"/>
                <w:szCs w:val="20"/>
                <w:lang w:val="sq-AL"/>
              </w:rPr>
              <w:t>njejtë</w:t>
            </w:r>
            <w:proofErr w:type="spellEnd"/>
            <w:r w:rsidRPr="00014D00">
              <w:rPr>
                <w:rFonts w:ascii="Times New Roman" w:hAnsi="Times New Roman" w:cs="Times New Roman"/>
                <w:bCs/>
                <w:sz w:val="20"/>
                <w:szCs w:val="20"/>
                <w:lang w:val="sq-AL"/>
              </w:rPr>
              <w:t xml:space="preserve"> të zhvillimit të ndërmarrjeve.  </w:t>
            </w:r>
          </w:p>
          <w:p w:rsidR="00F436BF" w:rsidRPr="00014D00" w:rsidRDefault="00F436BF" w:rsidP="00F436BF">
            <w:pPr>
              <w:rPr>
                <w:rFonts w:ascii="Times New Roman" w:hAnsi="Times New Roman" w:cs="Times New Roman"/>
                <w:bCs/>
                <w:sz w:val="20"/>
                <w:szCs w:val="20"/>
                <w:lang w:val="sq-AL"/>
              </w:rPr>
            </w:pPr>
          </w:p>
        </w:tc>
        <w:tc>
          <w:tcPr>
            <w:tcW w:w="1463" w:type="dxa"/>
            <w:shd w:val="clear" w:color="auto" w:fill="DEEAF6" w:themeFill="accent1" w:themeFillTint="33"/>
          </w:tcPr>
          <w:p w:rsidR="00F436BF" w:rsidRPr="00014D00" w:rsidRDefault="00F436BF" w:rsidP="00D05FE8">
            <w:pPr>
              <w:pStyle w:val="NoSpacing"/>
              <w:spacing w:line="276" w:lineRule="auto"/>
            </w:pPr>
            <w:r w:rsidRPr="00014D00">
              <w:t>GAP</w:t>
            </w:r>
          </w:p>
        </w:tc>
        <w:tc>
          <w:tcPr>
            <w:tcW w:w="1350" w:type="dxa"/>
            <w:shd w:val="clear" w:color="auto" w:fill="DEEAF6" w:themeFill="accent1" w:themeFillTint="33"/>
          </w:tcPr>
          <w:p w:rsidR="00F436BF" w:rsidRPr="00014D00" w:rsidRDefault="00F436BF" w:rsidP="00D05FE8">
            <w:pPr>
              <w:rPr>
                <w:rFonts w:ascii="Times New Roman" w:hAnsi="Times New Roman" w:cs="Times New Roman"/>
                <w:bCs/>
                <w:sz w:val="20"/>
                <w:szCs w:val="20"/>
                <w:lang w:val="sq-AL"/>
              </w:rPr>
            </w:pPr>
          </w:p>
        </w:tc>
        <w:tc>
          <w:tcPr>
            <w:tcW w:w="6434" w:type="dxa"/>
            <w:shd w:val="clear" w:color="auto" w:fill="DEEAF6" w:themeFill="accent1" w:themeFillTint="33"/>
          </w:tcPr>
          <w:p w:rsidR="000B400B" w:rsidRPr="00014D00" w:rsidRDefault="000B400B" w:rsidP="00D05FE8">
            <w:pPr>
              <w:jc w:val="both"/>
              <w:rPr>
                <w:rFonts w:ascii="Times New Roman" w:hAnsi="Times New Roman" w:cs="Times New Roman"/>
                <w:bCs/>
                <w:sz w:val="20"/>
                <w:szCs w:val="20"/>
                <w:lang w:val="sq-AL"/>
              </w:rPr>
            </w:pPr>
            <w:proofErr w:type="spellStart"/>
            <w:r w:rsidRPr="00014D00">
              <w:rPr>
                <w:rFonts w:ascii="Times New Roman" w:hAnsi="Times New Roman" w:cs="Times New Roman"/>
                <w:bCs/>
                <w:sz w:val="20"/>
                <w:szCs w:val="20"/>
                <w:lang w:val="sq-AL"/>
              </w:rPr>
              <w:t>Qështjet</w:t>
            </w:r>
            <w:proofErr w:type="spellEnd"/>
            <w:r w:rsidRPr="00014D00">
              <w:rPr>
                <w:rFonts w:ascii="Times New Roman" w:hAnsi="Times New Roman" w:cs="Times New Roman"/>
                <w:bCs/>
                <w:sz w:val="20"/>
                <w:szCs w:val="20"/>
                <w:lang w:val="sq-AL"/>
              </w:rPr>
              <w:t xml:space="preserve"> e ndërlidhura me DPI janë shumë të rëndësishme mirëpo PRE mbulon vetëm fushat  </w:t>
            </w:r>
            <w:proofErr w:type="spellStart"/>
            <w:r w:rsidRPr="00014D00">
              <w:rPr>
                <w:rFonts w:ascii="Times New Roman" w:hAnsi="Times New Roman" w:cs="Times New Roman"/>
                <w:bCs/>
                <w:sz w:val="20"/>
                <w:szCs w:val="20"/>
                <w:lang w:val="sq-AL"/>
              </w:rPr>
              <w:t>prioritare</w:t>
            </w:r>
            <w:proofErr w:type="spellEnd"/>
            <w:r w:rsidRPr="00014D00">
              <w:rPr>
                <w:rFonts w:ascii="Times New Roman" w:hAnsi="Times New Roman" w:cs="Times New Roman"/>
                <w:bCs/>
                <w:sz w:val="20"/>
                <w:szCs w:val="20"/>
                <w:lang w:val="sq-AL"/>
              </w:rPr>
              <w:t xml:space="preserve"> të përcaktuara me PRE dhe jo të gjitha aktivitetet e një ministrie të linjës.  MTI është përgjegjëse për masat për lehtësimin e tregut dhe zhvillimin industrial përderisa Ministria e Inovacionit është përgjegjëse për masat e HZHI.</w:t>
            </w:r>
          </w:p>
        </w:tc>
      </w:tr>
      <w:tr w:rsidR="00F436BF" w:rsidRPr="00014D00" w:rsidTr="007C794E">
        <w:trPr>
          <w:trHeight w:val="1025"/>
        </w:trPr>
        <w:tc>
          <w:tcPr>
            <w:tcW w:w="1350" w:type="dxa"/>
            <w:shd w:val="clear" w:color="auto" w:fill="DEEAF6" w:themeFill="accent1" w:themeFillTint="33"/>
          </w:tcPr>
          <w:p w:rsidR="00F436BF" w:rsidRPr="00014D00" w:rsidRDefault="00F436BF" w:rsidP="00DC4BDA">
            <w:pPr>
              <w:rPr>
                <w:rFonts w:ascii="Times New Roman" w:hAnsi="Times New Roman" w:cs="Times New Roman"/>
                <w:sz w:val="20"/>
                <w:szCs w:val="20"/>
                <w:lang w:val="sq-AL"/>
              </w:rPr>
            </w:pPr>
            <w:r w:rsidRPr="00014D00">
              <w:rPr>
                <w:rFonts w:ascii="Times New Roman" w:hAnsi="Times New Roman" w:cs="Times New Roman"/>
                <w:sz w:val="20"/>
                <w:szCs w:val="20"/>
                <w:lang w:val="sq-AL"/>
              </w:rPr>
              <w:t xml:space="preserve">Fusha </w:t>
            </w:r>
            <w:proofErr w:type="spellStart"/>
            <w:r w:rsidRPr="00014D00">
              <w:rPr>
                <w:rFonts w:ascii="Times New Roman" w:hAnsi="Times New Roman" w:cs="Times New Roman"/>
                <w:sz w:val="20"/>
                <w:szCs w:val="20"/>
                <w:lang w:val="sq-AL"/>
              </w:rPr>
              <w:t>Prioritare</w:t>
            </w:r>
            <w:proofErr w:type="spellEnd"/>
            <w:r w:rsidRPr="00014D00">
              <w:rPr>
                <w:rFonts w:ascii="Times New Roman" w:hAnsi="Times New Roman" w:cs="Times New Roman"/>
                <w:sz w:val="20"/>
                <w:szCs w:val="20"/>
                <w:lang w:val="sq-AL"/>
              </w:rPr>
              <w:t xml:space="preserve"> #4: Mjedisi i të bërit biznes dhe ulja e ekonomisë jo-formale. Masa #10: Rritja e efikasitetit në gjyqësor në zgjidhjen e rasteve.</w:t>
            </w:r>
          </w:p>
        </w:tc>
        <w:tc>
          <w:tcPr>
            <w:tcW w:w="4163" w:type="dxa"/>
            <w:shd w:val="clear" w:color="auto" w:fill="DEEAF6" w:themeFill="accent1" w:themeFillTint="33"/>
          </w:tcPr>
          <w:p w:rsidR="00F436BF" w:rsidRPr="00014D00" w:rsidRDefault="00F436BF" w:rsidP="00F436BF">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Nga problemet që vë në pah Raporti i Progresit 2016 është mungesa e kapaciteteve njerëzore në institucionet e drejtësisë. Masa duhet të parasheh si aktivitet dhe shtimin </w:t>
            </w:r>
            <w:proofErr w:type="spellStart"/>
            <w:r w:rsidR="00CA4CD1" w:rsidRPr="00014D00">
              <w:rPr>
                <w:rFonts w:ascii="Times New Roman" w:hAnsi="Times New Roman" w:cs="Times New Roman"/>
                <w:bCs/>
                <w:sz w:val="20"/>
                <w:szCs w:val="20"/>
                <w:lang w:val="sq-AL"/>
              </w:rPr>
              <w:t>enumrit</w:t>
            </w:r>
            <w:proofErr w:type="spellEnd"/>
            <w:r w:rsidR="00CA4CD1" w:rsidRPr="00014D00">
              <w:rPr>
                <w:rFonts w:ascii="Times New Roman" w:hAnsi="Times New Roman" w:cs="Times New Roman"/>
                <w:bCs/>
                <w:sz w:val="20"/>
                <w:szCs w:val="20"/>
                <w:lang w:val="sq-AL"/>
              </w:rPr>
              <w:t xml:space="preserve"> të Prokurorëve Specialë</w:t>
            </w:r>
            <w:r w:rsidRPr="00014D00">
              <w:rPr>
                <w:rFonts w:ascii="Times New Roman" w:hAnsi="Times New Roman" w:cs="Times New Roman"/>
                <w:bCs/>
                <w:sz w:val="20"/>
                <w:szCs w:val="20"/>
                <w:lang w:val="sq-AL"/>
              </w:rPr>
              <w:t>, për të cilën pikë raporti në fjalë vë theks të veçantë, e që në Buxhetin 2018 çuditërisht është paraparë shkurtim i buxhetit për paga për Prokurorët Specialë. Raport</w:t>
            </w:r>
            <w:r w:rsidR="000A5613" w:rsidRPr="00014D00">
              <w:rPr>
                <w:rFonts w:ascii="Times New Roman" w:hAnsi="Times New Roman" w:cs="Times New Roman"/>
                <w:bCs/>
                <w:sz w:val="20"/>
                <w:szCs w:val="20"/>
                <w:lang w:val="sq-AL"/>
              </w:rPr>
              <w:t>i i Progresit 2016</w:t>
            </w:r>
            <w:r w:rsidRPr="00014D00">
              <w:rPr>
                <w:rFonts w:ascii="Times New Roman" w:hAnsi="Times New Roman" w:cs="Times New Roman"/>
                <w:bCs/>
                <w:sz w:val="20"/>
                <w:szCs w:val="20"/>
                <w:lang w:val="sq-AL"/>
              </w:rPr>
              <w:t xml:space="preserve"> e parasheh rritjen e stafit në këtë kategori si parakusht për luftimin e korrupsionit të nivelit të lartë, që </w:t>
            </w:r>
            <w:proofErr w:type="spellStart"/>
            <w:r w:rsidRPr="00014D00">
              <w:rPr>
                <w:rFonts w:ascii="Times New Roman" w:hAnsi="Times New Roman" w:cs="Times New Roman"/>
                <w:bCs/>
                <w:sz w:val="20"/>
                <w:szCs w:val="20"/>
                <w:lang w:val="sq-AL"/>
              </w:rPr>
              <w:t>njëherit</w:t>
            </w:r>
            <w:proofErr w:type="spellEnd"/>
            <w:r w:rsidRPr="00014D00">
              <w:rPr>
                <w:rFonts w:ascii="Times New Roman" w:hAnsi="Times New Roman" w:cs="Times New Roman"/>
                <w:bCs/>
                <w:sz w:val="20"/>
                <w:szCs w:val="20"/>
                <w:lang w:val="sq-AL"/>
              </w:rPr>
              <w:t xml:space="preserve"> është edhe hap që Kosova duhet të bëjë në rrugën e saj drejt Bashkimit </w:t>
            </w:r>
            <w:proofErr w:type="spellStart"/>
            <w:r w:rsidRPr="00014D00">
              <w:rPr>
                <w:rFonts w:ascii="Times New Roman" w:hAnsi="Times New Roman" w:cs="Times New Roman"/>
                <w:bCs/>
                <w:sz w:val="20"/>
                <w:szCs w:val="20"/>
                <w:lang w:val="sq-AL"/>
              </w:rPr>
              <w:t>Europian</w:t>
            </w:r>
            <w:proofErr w:type="spellEnd"/>
            <w:r w:rsidRPr="00014D00">
              <w:rPr>
                <w:rFonts w:ascii="Times New Roman" w:hAnsi="Times New Roman" w:cs="Times New Roman"/>
                <w:bCs/>
                <w:sz w:val="20"/>
                <w:szCs w:val="20"/>
                <w:lang w:val="sq-AL"/>
              </w:rPr>
              <w:t>. Në 2017, ekonomia joformale vlerësoh</w:t>
            </w:r>
            <w:r w:rsidR="00CA4CD1" w:rsidRPr="00014D00">
              <w:rPr>
                <w:rFonts w:ascii="Times New Roman" w:hAnsi="Times New Roman" w:cs="Times New Roman"/>
                <w:bCs/>
                <w:sz w:val="20"/>
                <w:szCs w:val="20"/>
                <w:lang w:val="sq-AL"/>
              </w:rPr>
              <w:t xml:space="preserve">et të jetë 31.7%. </w:t>
            </w:r>
            <w:r w:rsidRPr="00014D00">
              <w:rPr>
                <w:rFonts w:ascii="Times New Roman" w:hAnsi="Times New Roman" w:cs="Times New Roman"/>
                <w:bCs/>
                <w:sz w:val="20"/>
                <w:szCs w:val="20"/>
                <w:lang w:val="sq-AL"/>
              </w:rPr>
              <w:t xml:space="preserve"> Krahasuar me shkallën e ekonomisë jo formale të 2014, ekonomia jo formale ka arritur të tkurret për vetëm 1 </w:t>
            </w:r>
            <w:proofErr w:type="spellStart"/>
            <w:r w:rsidRPr="00014D00">
              <w:rPr>
                <w:rFonts w:ascii="Times New Roman" w:hAnsi="Times New Roman" w:cs="Times New Roman"/>
                <w:bCs/>
                <w:sz w:val="20"/>
                <w:szCs w:val="20"/>
                <w:lang w:val="sq-AL"/>
              </w:rPr>
              <w:t>p.p</w:t>
            </w:r>
            <w:proofErr w:type="spellEnd"/>
            <w:r w:rsidRPr="00014D00">
              <w:rPr>
                <w:rFonts w:ascii="Times New Roman" w:hAnsi="Times New Roman" w:cs="Times New Roman"/>
                <w:bCs/>
                <w:sz w:val="20"/>
                <w:szCs w:val="20"/>
                <w:lang w:val="sq-AL"/>
              </w:rPr>
              <w:t xml:space="preserve">., progres shumë i ulët </w:t>
            </w:r>
            <w:r w:rsidRPr="00014D00">
              <w:rPr>
                <w:rFonts w:ascii="Times New Roman" w:hAnsi="Times New Roman" w:cs="Times New Roman"/>
                <w:bCs/>
                <w:sz w:val="20"/>
                <w:szCs w:val="20"/>
                <w:lang w:val="sq-AL"/>
              </w:rPr>
              <w:lastRenderedPageBreak/>
              <w:t>krahasuar me objektivin e Qeverisë për të ulur shkallën e ekonomisë</w:t>
            </w:r>
            <w:r w:rsidR="00FF2CF2" w:rsidRPr="00014D00">
              <w:rPr>
                <w:rFonts w:ascii="Times New Roman" w:hAnsi="Times New Roman" w:cs="Times New Roman"/>
                <w:bCs/>
                <w:sz w:val="20"/>
                <w:szCs w:val="20"/>
                <w:lang w:val="sq-AL"/>
              </w:rPr>
              <w:t xml:space="preserve"> joformale në 5% deri më 2018.</w:t>
            </w:r>
            <w:r w:rsidRPr="00014D00">
              <w:rPr>
                <w:rFonts w:ascii="Times New Roman" w:hAnsi="Times New Roman" w:cs="Times New Roman"/>
                <w:bCs/>
                <w:sz w:val="20"/>
                <w:szCs w:val="20"/>
                <w:lang w:val="sq-AL"/>
              </w:rPr>
              <w:t xml:space="preserve"> Vlerësohet se në sektorin joformal punojnë më shumë se 45,000 punëtorë të ekuivalentes së punëtorit me orar të plotë, ku 33.2% e të ardhurave personale për ekonomitë familjare është joformale.</w:t>
            </w:r>
          </w:p>
        </w:tc>
        <w:tc>
          <w:tcPr>
            <w:tcW w:w="1463" w:type="dxa"/>
            <w:shd w:val="clear" w:color="auto" w:fill="DEEAF6" w:themeFill="accent1" w:themeFillTint="33"/>
          </w:tcPr>
          <w:p w:rsidR="00F436BF" w:rsidRPr="00014D00" w:rsidRDefault="00F436BF" w:rsidP="00D05FE8">
            <w:pPr>
              <w:pStyle w:val="NoSpacing"/>
              <w:spacing w:line="276" w:lineRule="auto"/>
            </w:pPr>
          </w:p>
        </w:tc>
        <w:tc>
          <w:tcPr>
            <w:tcW w:w="1350" w:type="dxa"/>
            <w:shd w:val="clear" w:color="auto" w:fill="DEEAF6" w:themeFill="accent1" w:themeFillTint="33"/>
          </w:tcPr>
          <w:p w:rsidR="00F436BF" w:rsidRPr="00014D00" w:rsidRDefault="00F436BF" w:rsidP="00D05FE8">
            <w:pPr>
              <w:rPr>
                <w:rFonts w:ascii="Times New Roman" w:hAnsi="Times New Roman" w:cs="Times New Roman"/>
                <w:bCs/>
                <w:sz w:val="20"/>
                <w:szCs w:val="20"/>
                <w:lang w:val="sq-AL"/>
              </w:rPr>
            </w:pPr>
          </w:p>
        </w:tc>
        <w:tc>
          <w:tcPr>
            <w:tcW w:w="6434" w:type="dxa"/>
            <w:shd w:val="clear" w:color="auto" w:fill="DEEAF6" w:themeFill="accent1" w:themeFillTint="33"/>
          </w:tcPr>
          <w:p w:rsidR="00FF2CF2" w:rsidRPr="00014D00" w:rsidRDefault="00FF2CF2" w:rsidP="00CA4CD1">
            <w:pPr>
              <w:jc w:val="both"/>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PRE parasheh  shtimin e numrit të stafit në gjykata por nuk parasheh </w:t>
            </w:r>
            <w:proofErr w:type="spellStart"/>
            <w:r w:rsidRPr="00014D00">
              <w:rPr>
                <w:rFonts w:ascii="Times New Roman" w:hAnsi="Times New Roman" w:cs="Times New Roman"/>
                <w:bCs/>
                <w:sz w:val="20"/>
                <w:szCs w:val="20"/>
                <w:lang w:val="sq-AL"/>
              </w:rPr>
              <w:t>qështjen</w:t>
            </w:r>
            <w:proofErr w:type="spellEnd"/>
            <w:r w:rsidRPr="00014D00">
              <w:rPr>
                <w:rFonts w:ascii="Times New Roman" w:hAnsi="Times New Roman" w:cs="Times New Roman"/>
                <w:bCs/>
                <w:sz w:val="20"/>
                <w:szCs w:val="20"/>
                <w:lang w:val="sq-AL"/>
              </w:rPr>
              <w:t xml:space="preserve"> e shtimit të numrit të prokurorëve në </w:t>
            </w:r>
            <w:proofErr w:type="spellStart"/>
            <w:r w:rsidRPr="00014D00">
              <w:rPr>
                <w:rFonts w:ascii="Times New Roman" w:hAnsi="Times New Roman" w:cs="Times New Roman"/>
                <w:bCs/>
                <w:sz w:val="20"/>
                <w:szCs w:val="20"/>
                <w:lang w:val="sq-AL"/>
              </w:rPr>
              <w:t>veqanti</w:t>
            </w:r>
            <w:proofErr w:type="spellEnd"/>
            <w:r w:rsidRPr="00014D00">
              <w:rPr>
                <w:rFonts w:ascii="Times New Roman" w:hAnsi="Times New Roman" w:cs="Times New Roman"/>
                <w:bCs/>
                <w:sz w:val="20"/>
                <w:szCs w:val="20"/>
                <w:lang w:val="sq-AL"/>
              </w:rPr>
              <w:t>.</w:t>
            </w:r>
          </w:p>
          <w:p w:rsidR="00CA4CD1" w:rsidRPr="00014D00" w:rsidRDefault="00CA4CD1" w:rsidP="00CA4CD1">
            <w:pPr>
              <w:jc w:val="both"/>
              <w:rPr>
                <w:rFonts w:ascii="Times New Roman" w:hAnsi="Times New Roman" w:cs="Times New Roman"/>
                <w:bCs/>
                <w:sz w:val="20"/>
                <w:szCs w:val="20"/>
                <w:lang w:val="sq-AL"/>
              </w:rPr>
            </w:pPr>
          </w:p>
          <w:p w:rsidR="00F436BF" w:rsidRPr="00014D00" w:rsidRDefault="00FF2CF2" w:rsidP="00FF2CF2">
            <w:pPr>
              <w:jc w:val="both"/>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Strategjia e re është duke u përgatitur dhe  mbetet të adresoj edhe këtë </w:t>
            </w:r>
            <w:proofErr w:type="spellStart"/>
            <w:r w:rsidRPr="00014D00">
              <w:rPr>
                <w:rFonts w:ascii="Times New Roman" w:hAnsi="Times New Roman" w:cs="Times New Roman"/>
                <w:bCs/>
                <w:sz w:val="20"/>
                <w:szCs w:val="20"/>
                <w:lang w:val="sq-AL"/>
              </w:rPr>
              <w:t>qështje</w:t>
            </w:r>
            <w:proofErr w:type="spellEnd"/>
            <w:r w:rsidRPr="00014D00">
              <w:rPr>
                <w:rFonts w:ascii="Times New Roman" w:hAnsi="Times New Roman" w:cs="Times New Roman"/>
                <w:bCs/>
                <w:sz w:val="20"/>
                <w:szCs w:val="20"/>
                <w:lang w:val="sq-AL"/>
              </w:rPr>
              <w:t xml:space="preserve">. Gjithashtu, aktualisht Sekretariati për Monitorimin dhe Implementimin e Strategjisë kundër </w:t>
            </w:r>
            <w:proofErr w:type="spellStart"/>
            <w:r w:rsidRPr="00014D00">
              <w:rPr>
                <w:rFonts w:ascii="Times New Roman" w:hAnsi="Times New Roman" w:cs="Times New Roman"/>
                <w:bCs/>
                <w:sz w:val="20"/>
                <w:szCs w:val="20"/>
                <w:lang w:val="sq-AL"/>
              </w:rPr>
              <w:t>Informalitetit</w:t>
            </w:r>
            <w:proofErr w:type="spellEnd"/>
            <w:r w:rsidRPr="00014D00">
              <w:rPr>
                <w:rFonts w:ascii="Times New Roman" w:hAnsi="Times New Roman" w:cs="Times New Roman"/>
                <w:bCs/>
                <w:sz w:val="20"/>
                <w:szCs w:val="20"/>
                <w:lang w:val="sq-AL"/>
              </w:rPr>
              <w:t xml:space="preserve"> është duke  </w:t>
            </w:r>
            <w:proofErr w:type="spellStart"/>
            <w:r w:rsidRPr="00014D00">
              <w:rPr>
                <w:rFonts w:ascii="Times New Roman" w:hAnsi="Times New Roman" w:cs="Times New Roman"/>
                <w:bCs/>
                <w:sz w:val="20"/>
                <w:szCs w:val="20"/>
                <w:lang w:val="sq-AL"/>
              </w:rPr>
              <w:t>erishikuar</w:t>
            </w:r>
            <w:proofErr w:type="spellEnd"/>
            <w:r w:rsidRPr="00014D00">
              <w:rPr>
                <w:rFonts w:ascii="Times New Roman" w:hAnsi="Times New Roman" w:cs="Times New Roman"/>
                <w:bCs/>
                <w:sz w:val="20"/>
                <w:szCs w:val="20"/>
                <w:lang w:val="sq-AL"/>
              </w:rPr>
              <w:t xml:space="preserve"> Planin e Veprimit të kësaj Strategjie. Shifra e vendosur prej 1% e uljes së ekonomisë joformale është nga vlerësimi i raportit të 2015, dhe </w:t>
            </w:r>
            <w:proofErr w:type="spellStart"/>
            <w:r w:rsidRPr="00014D00">
              <w:rPr>
                <w:rFonts w:ascii="Times New Roman" w:hAnsi="Times New Roman" w:cs="Times New Roman"/>
                <w:bCs/>
                <w:sz w:val="20"/>
                <w:szCs w:val="20"/>
                <w:lang w:val="sq-AL"/>
              </w:rPr>
              <w:t>targeti</w:t>
            </w:r>
            <w:proofErr w:type="spellEnd"/>
            <w:r w:rsidRPr="00014D00">
              <w:rPr>
                <w:rFonts w:ascii="Times New Roman" w:hAnsi="Times New Roman" w:cs="Times New Roman"/>
                <w:bCs/>
                <w:sz w:val="20"/>
                <w:szCs w:val="20"/>
                <w:lang w:val="sq-AL"/>
              </w:rPr>
              <w:t xml:space="preserve"> prej 5% është vendosur me afat për vitin 2018, që do të thotë se ka tri vite për të cilat mbetet të raportohet. </w:t>
            </w:r>
          </w:p>
        </w:tc>
      </w:tr>
      <w:tr w:rsidR="00F436BF" w:rsidRPr="00014D00" w:rsidTr="007C794E">
        <w:trPr>
          <w:trHeight w:val="1025"/>
        </w:trPr>
        <w:tc>
          <w:tcPr>
            <w:tcW w:w="1350" w:type="dxa"/>
            <w:shd w:val="clear" w:color="auto" w:fill="DEEAF6" w:themeFill="accent1" w:themeFillTint="33"/>
          </w:tcPr>
          <w:p w:rsidR="00F436BF" w:rsidRPr="00014D00" w:rsidRDefault="00F436BF" w:rsidP="00DC4BDA">
            <w:pPr>
              <w:rPr>
                <w:rFonts w:ascii="Times New Roman" w:hAnsi="Times New Roman" w:cs="Times New Roman"/>
                <w:sz w:val="20"/>
                <w:szCs w:val="20"/>
                <w:lang w:val="sq-AL"/>
              </w:rPr>
            </w:pPr>
            <w:r w:rsidRPr="00014D00">
              <w:rPr>
                <w:rFonts w:ascii="Times New Roman" w:hAnsi="Times New Roman" w:cs="Times New Roman"/>
                <w:sz w:val="20"/>
                <w:szCs w:val="20"/>
                <w:lang w:val="sq-AL"/>
              </w:rPr>
              <w:lastRenderedPageBreak/>
              <w:t xml:space="preserve">Fusha </w:t>
            </w:r>
            <w:proofErr w:type="spellStart"/>
            <w:r w:rsidRPr="00014D00">
              <w:rPr>
                <w:rFonts w:ascii="Times New Roman" w:hAnsi="Times New Roman" w:cs="Times New Roman"/>
                <w:sz w:val="20"/>
                <w:szCs w:val="20"/>
                <w:lang w:val="sq-AL"/>
              </w:rPr>
              <w:t>Prioritare</w:t>
            </w:r>
            <w:proofErr w:type="spellEnd"/>
            <w:r w:rsidRPr="00014D00">
              <w:rPr>
                <w:rFonts w:ascii="Times New Roman" w:hAnsi="Times New Roman" w:cs="Times New Roman"/>
                <w:sz w:val="20"/>
                <w:szCs w:val="20"/>
                <w:lang w:val="sq-AL"/>
              </w:rPr>
              <w:t xml:space="preserve"> #7: Arsimi dhe shkathtësitë. Masa #17: Reforma në Arsimin </w:t>
            </w:r>
            <w:proofErr w:type="spellStart"/>
            <w:r w:rsidRPr="00014D00">
              <w:rPr>
                <w:rFonts w:ascii="Times New Roman" w:hAnsi="Times New Roman" w:cs="Times New Roman"/>
                <w:sz w:val="20"/>
                <w:szCs w:val="20"/>
                <w:lang w:val="sq-AL"/>
              </w:rPr>
              <w:t>Parauniversitar</w:t>
            </w:r>
            <w:proofErr w:type="spellEnd"/>
            <w:r w:rsidRPr="00014D00">
              <w:rPr>
                <w:rFonts w:ascii="Times New Roman" w:hAnsi="Times New Roman" w:cs="Times New Roman"/>
                <w:sz w:val="20"/>
                <w:szCs w:val="20"/>
                <w:lang w:val="sq-AL"/>
              </w:rPr>
              <w:t xml:space="preserve"> nëpërmjet zhvillimit dhe zbatimit të </w:t>
            </w:r>
            <w:proofErr w:type="spellStart"/>
            <w:r w:rsidRPr="00014D00">
              <w:rPr>
                <w:rFonts w:ascii="Times New Roman" w:hAnsi="Times New Roman" w:cs="Times New Roman"/>
                <w:sz w:val="20"/>
                <w:szCs w:val="20"/>
                <w:lang w:val="sq-AL"/>
              </w:rPr>
              <w:t>kurrikulave</w:t>
            </w:r>
            <w:proofErr w:type="spellEnd"/>
            <w:r w:rsidRPr="00014D00">
              <w:rPr>
                <w:rFonts w:ascii="Times New Roman" w:hAnsi="Times New Roman" w:cs="Times New Roman"/>
                <w:sz w:val="20"/>
                <w:szCs w:val="20"/>
                <w:lang w:val="sq-AL"/>
              </w:rPr>
              <w:t xml:space="preserve">, ZHPM dhe sigurimi i cilësisë nëpërmjet monitorimit dhe vlerësimit dhe </w:t>
            </w:r>
            <w:proofErr w:type="spellStart"/>
            <w:r w:rsidRPr="00014D00">
              <w:rPr>
                <w:rFonts w:ascii="Times New Roman" w:hAnsi="Times New Roman" w:cs="Times New Roman"/>
                <w:sz w:val="20"/>
                <w:szCs w:val="20"/>
                <w:lang w:val="sq-AL"/>
              </w:rPr>
              <w:t>gjithëpërfshirja</w:t>
            </w:r>
            <w:proofErr w:type="spellEnd"/>
            <w:r w:rsidRPr="00014D00">
              <w:rPr>
                <w:rFonts w:ascii="Times New Roman" w:hAnsi="Times New Roman" w:cs="Times New Roman"/>
                <w:sz w:val="20"/>
                <w:szCs w:val="20"/>
                <w:lang w:val="sq-AL"/>
              </w:rPr>
              <w:t>.</w:t>
            </w:r>
          </w:p>
        </w:tc>
        <w:tc>
          <w:tcPr>
            <w:tcW w:w="4163" w:type="dxa"/>
            <w:shd w:val="clear" w:color="auto" w:fill="DEEAF6" w:themeFill="accent1" w:themeFillTint="33"/>
          </w:tcPr>
          <w:p w:rsidR="00F436BF" w:rsidRPr="00014D00" w:rsidRDefault="00F436BF" w:rsidP="00F436BF">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Sipas Buxhetit 2018, shkurtim buxhetor do të pësojnë dy </w:t>
            </w:r>
            <w:proofErr w:type="spellStart"/>
            <w:r w:rsidRPr="00014D00">
              <w:rPr>
                <w:rFonts w:ascii="Times New Roman" w:hAnsi="Times New Roman" w:cs="Times New Roman"/>
                <w:bCs/>
                <w:sz w:val="20"/>
                <w:szCs w:val="20"/>
                <w:lang w:val="sq-AL"/>
              </w:rPr>
              <w:t>nënprograme</w:t>
            </w:r>
            <w:proofErr w:type="spellEnd"/>
            <w:r w:rsidRPr="00014D00">
              <w:rPr>
                <w:rFonts w:ascii="Times New Roman" w:hAnsi="Times New Roman" w:cs="Times New Roman"/>
                <w:bCs/>
                <w:sz w:val="20"/>
                <w:szCs w:val="20"/>
                <w:lang w:val="sq-AL"/>
              </w:rPr>
              <w:t xml:space="preserve"> vitale në fushën e arsimit ajo për Trajnimin e mësuesve, që në 2018 pritet t’i ulet buxheti për 46%, dhe ajo për Zhvillimin e </w:t>
            </w:r>
            <w:proofErr w:type="spellStart"/>
            <w:r w:rsidRPr="00014D00">
              <w:rPr>
                <w:rFonts w:ascii="Times New Roman" w:hAnsi="Times New Roman" w:cs="Times New Roman"/>
                <w:bCs/>
                <w:sz w:val="20"/>
                <w:szCs w:val="20"/>
                <w:lang w:val="sq-AL"/>
              </w:rPr>
              <w:t>planprogramit</w:t>
            </w:r>
            <w:proofErr w:type="spellEnd"/>
            <w:r w:rsidRPr="00014D00">
              <w:rPr>
                <w:rFonts w:ascii="Times New Roman" w:hAnsi="Times New Roman" w:cs="Times New Roman"/>
                <w:bCs/>
                <w:sz w:val="20"/>
                <w:szCs w:val="20"/>
                <w:lang w:val="sq-AL"/>
              </w:rPr>
              <w:t xml:space="preserve"> në arsimin </w:t>
            </w:r>
            <w:proofErr w:type="spellStart"/>
            <w:r w:rsidRPr="00014D00">
              <w:rPr>
                <w:rFonts w:ascii="Times New Roman" w:hAnsi="Times New Roman" w:cs="Times New Roman"/>
                <w:bCs/>
                <w:sz w:val="20"/>
                <w:szCs w:val="20"/>
                <w:lang w:val="sq-AL"/>
              </w:rPr>
              <w:t>parauniversitar</w:t>
            </w:r>
            <w:proofErr w:type="spellEnd"/>
            <w:r w:rsidRPr="00014D00">
              <w:rPr>
                <w:rFonts w:ascii="Times New Roman" w:hAnsi="Times New Roman" w:cs="Times New Roman"/>
                <w:bCs/>
                <w:sz w:val="20"/>
                <w:szCs w:val="20"/>
                <w:lang w:val="sq-AL"/>
              </w:rPr>
              <w:t xml:space="preserve">, që pritet të ketë buxhet më të vogël për 29%. Në vitin 2017, Kosova u </w:t>
            </w:r>
            <w:proofErr w:type="spellStart"/>
            <w:r w:rsidRPr="00014D00">
              <w:rPr>
                <w:rFonts w:ascii="Times New Roman" w:hAnsi="Times New Roman" w:cs="Times New Roman"/>
                <w:bCs/>
                <w:sz w:val="20"/>
                <w:szCs w:val="20"/>
                <w:lang w:val="sq-AL"/>
              </w:rPr>
              <w:t>rangua</w:t>
            </w:r>
            <w:proofErr w:type="spellEnd"/>
            <w:r w:rsidRPr="00014D00">
              <w:rPr>
                <w:rFonts w:ascii="Times New Roman" w:hAnsi="Times New Roman" w:cs="Times New Roman"/>
                <w:bCs/>
                <w:sz w:val="20"/>
                <w:szCs w:val="20"/>
                <w:lang w:val="sq-AL"/>
              </w:rPr>
              <w:t xml:space="preserve"> e fundit në rajon dhe nga pesë të fundit në botë nga vlerësimi ndërkombëtar në fushën e arsimit, PISA, ku nxënësit 15 vjeçar </w:t>
            </w:r>
            <w:proofErr w:type="spellStart"/>
            <w:r w:rsidRPr="00014D00">
              <w:rPr>
                <w:rFonts w:ascii="Times New Roman" w:hAnsi="Times New Roman" w:cs="Times New Roman"/>
                <w:bCs/>
                <w:sz w:val="20"/>
                <w:szCs w:val="20"/>
                <w:lang w:val="sq-AL"/>
              </w:rPr>
              <w:t>performuan</w:t>
            </w:r>
            <w:proofErr w:type="spellEnd"/>
            <w:r w:rsidRPr="00014D00">
              <w:rPr>
                <w:rFonts w:ascii="Times New Roman" w:hAnsi="Times New Roman" w:cs="Times New Roman"/>
                <w:bCs/>
                <w:sz w:val="20"/>
                <w:szCs w:val="20"/>
                <w:lang w:val="sq-AL"/>
              </w:rPr>
              <w:t xml:space="preserve"> shumë dobët në të gjitha </w:t>
            </w:r>
            <w:proofErr w:type="spellStart"/>
            <w:r w:rsidRPr="00014D00">
              <w:rPr>
                <w:rFonts w:ascii="Times New Roman" w:hAnsi="Times New Roman" w:cs="Times New Roman"/>
                <w:bCs/>
                <w:sz w:val="20"/>
                <w:szCs w:val="20"/>
                <w:lang w:val="sq-AL"/>
              </w:rPr>
              <w:t>lëmitë</w:t>
            </w:r>
            <w:proofErr w:type="spellEnd"/>
            <w:r w:rsidRPr="00014D00">
              <w:rPr>
                <w:rFonts w:ascii="Times New Roman" w:hAnsi="Times New Roman" w:cs="Times New Roman"/>
                <w:bCs/>
                <w:sz w:val="20"/>
                <w:szCs w:val="20"/>
                <w:lang w:val="sq-AL"/>
              </w:rPr>
              <w:t>. Qeveria duhet të bëjë reforma në arsim, pra të rrisë shpenzimet për programet si këto më lartë që ndikojnë drejtpërdrejt në rritjen e cilësisë së mësimdhënies.</w:t>
            </w:r>
          </w:p>
        </w:tc>
        <w:tc>
          <w:tcPr>
            <w:tcW w:w="1463" w:type="dxa"/>
            <w:shd w:val="clear" w:color="auto" w:fill="DEEAF6" w:themeFill="accent1" w:themeFillTint="33"/>
          </w:tcPr>
          <w:p w:rsidR="00F436BF" w:rsidRPr="00014D00" w:rsidRDefault="00600D5D" w:rsidP="00D05FE8">
            <w:pPr>
              <w:pStyle w:val="NoSpacing"/>
              <w:spacing w:line="276" w:lineRule="auto"/>
            </w:pPr>
            <w:r w:rsidRPr="00014D00">
              <w:t>GAP</w:t>
            </w:r>
          </w:p>
        </w:tc>
        <w:tc>
          <w:tcPr>
            <w:tcW w:w="1350" w:type="dxa"/>
            <w:shd w:val="clear" w:color="auto" w:fill="DEEAF6" w:themeFill="accent1" w:themeFillTint="33"/>
          </w:tcPr>
          <w:p w:rsidR="00F436BF" w:rsidRPr="00014D00" w:rsidRDefault="00F436BF" w:rsidP="00D05FE8">
            <w:pPr>
              <w:rPr>
                <w:rFonts w:ascii="Times New Roman" w:hAnsi="Times New Roman" w:cs="Times New Roman"/>
                <w:bCs/>
                <w:sz w:val="20"/>
                <w:szCs w:val="20"/>
                <w:lang w:val="sq-AL"/>
              </w:rPr>
            </w:pPr>
          </w:p>
        </w:tc>
        <w:tc>
          <w:tcPr>
            <w:tcW w:w="6434" w:type="dxa"/>
            <w:shd w:val="clear" w:color="auto" w:fill="DEEAF6" w:themeFill="accent1" w:themeFillTint="33"/>
          </w:tcPr>
          <w:p w:rsidR="000B62ED" w:rsidRPr="00014D00" w:rsidRDefault="000B62ED" w:rsidP="00D05FE8">
            <w:pPr>
              <w:jc w:val="both"/>
              <w:rPr>
                <w:rFonts w:ascii="Times New Roman" w:hAnsi="Times New Roman" w:cs="Times New Roman"/>
                <w:bCs/>
                <w:sz w:val="20"/>
                <w:szCs w:val="20"/>
                <w:lang w:val="sq-AL"/>
              </w:rPr>
            </w:pPr>
            <w:r w:rsidRPr="00014D00">
              <w:rPr>
                <w:rFonts w:ascii="Times New Roman" w:hAnsi="Times New Roman" w:cs="Times New Roman"/>
                <w:bCs/>
                <w:sz w:val="20"/>
                <w:szCs w:val="20"/>
                <w:lang w:val="sq-AL"/>
              </w:rPr>
              <w:t>Këto komente janë adresuar në takim me MASHT the përfaqësuesit e MASHT kanë konfirmuar se për këto programe MASHT ka më pak buxhet se vitet e kaluara. Janë gjithsej tri masa të PRE të ndërlidhura me reforma në arsim të cilat  kanë mbulesë buxhetore nga buxheti i Kosovës</w:t>
            </w:r>
            <w:r w:rsidR="008939A9" w:rsidRPr="00014D00">
              <w:rPr>
                <w:rFonts w:ascii="Times New Roman" w:hAnsi="Times New Roman" w:cs="Times New Roman"/>
                <w:bCs/>
                <w:sz w:val="20"/>
                <w:szCs w:val="20"/>
                <w:lang w:val="sq-AL"/>
              </w:rPr>
              <w:t xml:space="preserve"> (KASH)</w:t>
            </w:r>
            <w:r w:rsidRPr="00014D00">
              <w:rPr>
                <w:rFonts w:ascii="Times New Roman" w:hAnsi="Times New Roman" w:cs="Times New Roman"/>
                <w:bCs/>
                <w:sz w:val="20"/>
                <w:szCs w:val="20"/>
                <w:lang w:val="sq-AL"/>
              </w:rPr>
              <w:t xml:space="preserve"> dhe donatorët.</w:t>
            </w:r>
          </w:p>
        </w:tc>
      </w:tr>
      <w:tr w:rsidR="00F436BF" w:rsidRPr="00014D00" w:rsidTr="007C794E">
        <w:trPr>
          <w:trHeight w:val="1025"/>
        </w:trPr>
        <w:tc>
          <w:tcPr>
            <w:tcW w:w="1350" w:type="dxa"/>
            <w:shd w:val="clear" w:color="auto" w:fill="DEEAF6" w:themeFill="accent1" w:themeFillTint="33"/>
          </w:tcPr>
          <w:p w:rsidR="00F436BF" w:rsidRPr="00014D00" w:rsidRDefault="00F436BF" w:rsidP="005674AE">
            <w:pPr>
              <w:rPr>
                <w:rFonts w:ascii="Times New Roman" w:hAnsi="Times New Roman" w:cs="Times New Roman"/>
                <w:sz w:val="20"/>
                <w:szCs w:val="20"/>
                <w:lang w:val="sq-AL"/>
              </w:rPr>
            </w:pPr>
            <w:r w:rsidRPr="00014D00">
              <w:rPr>
                <w:rFonts w:ascii="Times New Roman" w:hAnsi="Times New Roman" w:cs="Times New Roman"/>
                <w:sz w:val="20"/>
                <w:szCs w:val="20"/>
                <w:lang w:val="sq-AL"/>
              </w:rPr>
              <w:t xml:space="preserve">Fusha </w:t>
            </w:r>
            <w:proofErr w:type="spellStart"/>
            <w:r w:rsidRPr="00014D00">
              <w:rPr>
                <w:rFonts w:ascii="Times New Roman" w:hAnsi="Times New Roman" w:cs="Times New Roman"/>
                <w:sz w:val="20"/>
                <w:szCs w:val="20"/>
                <w:lang w:val="sq-AL"/>
              </w:rPr>
              <w:t>Prioritare</w:t>
            </w:r>
            <w:proofErr w:type="spellEnd"/>
            <w:r w:rsidRPr="00014D00">
              <w:rPr>
                <w:rFonts w:ascii="Times New Roman" w:hAnsi="Times New Roman" w:cs="Times New Roman"/>
                <w:sz w:val="20"/>
                <w:szCs w:val="20"/>
                <w:lang w:val="sq-AL"/>
              </w:rPr>
              <w:t xml:space="preserve"> #8: Tregu i punës dhe punësimi. Masa #19: Rritja e qasjes së të rinjve </w:t>
            </w:r>
            <w:r w:rsidRPr="00014D00">
              <w:rPr>
                <w:rFonts w:ascii="Times New Roman" w:hAnsi="Times New Roman" w:cs="Times New Roman"/>
                <w:sz w:val="20"/>
                <w:szCs w:val="20"/>
                <w:lang w:val="sq-AL"/>
              </w:rPr>
              <w:lastRenderedPageBreak/>
              <w:t xml:space="preserve">dhe grave në tregun e punës përmes ofrimit të shërbimeve cilësore të punësimit, masave aktive të punësimit dhe </w:t>
            </w:r>
            <w:proofErr w:type="spellStart"/>
            <w:r w:rsidRPr="00014D00">
              <w:rPr>
                <w:rFonts w:ascii="Times New Roman" w:hAnsi="Times New Roman" w:cs="Times New Roman"/>
                <w:sz w:val="20"/>
                <w:szCs w:val="20"/>
                <w:lang w:val="sq-AL"/>
              </w:rPr>
              <w:t>ndërmarrësisë</w:t>
            </w:r>
            <w:proofErr w:type="spellEnd"/>
          </w:p>
        </w:tc>
        <w:tc>
          <w:tcPr>
            <w:tcW w:w="4163" w:type="dxa"/>
            <w:shd w:val="clear" w:color="auto" w:fill="DEEAF6" w:themeFill="accent1" w:themeFillTint="33"/>
          </w:tcPr>
          <w:p w:rsidR="00F436BF" w:rsidRPr="00014D00" w:rsidRDefault="00F436BF" w:rsidP="00F436BF">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lastRenderedPageBreak/>
              <w:t xml:space="preserve">Përfaqësimi i grave në bordet e ndërmarrjeve publike dhe institucioneve e agjencive të pavarura në Kosovë është shumë i ulët. Nga 159 anëtarë të bordeve në 31 ndërmarrje publike, 135 janë burra dhe 24 gra. Vetëm pesë borde kryesohen nga gratë. Situatë e </w:t>
            </w:r>
            <w:proofErr w:type="spellStart"/>
            <w:r w:rsidRPr="00014D00">
              <w:rPr>
                <w:rFonts w:ascii="Times New Roman" w:hAnsi="Times New Roman" w:cs="Times New Roman"/>
                <w:bCs/>
                <w:sz w:val="20"/>
                <w:szCs w:val="20"/>
                <w:lang w:val="sq-AL"/>
              </w:rPr>
              <w:t>ngjajshme</w:t>
            </w:r>
            <w:proofErr w:type="spellEnd"/>
            <w:r w:rsidRPr="00014D00">
              <w:rPr>
                <w:rFonts w:ascii="Times New Roman" w:hAnsi="Times New Roman" w:cs="Times New Roman"/>
                <w:bCs/>
                <w:sz w:val="20"/>
                <w:szCs w:val="20"/>
                <w:lang w:val="sq-AL"/>
              </w:rPr>
              <w:t xml:space="preserve"> është edhe në agjencitë e pavarura. Duhet të vendosen </w:t>
            </w:r>
            <w:r w:rsidRPr="00014D00">
              <w:rPr>
                <w:rFonts w:ascii="Times New Roman" w:hAnsi="Times New Roman" w:cs="Times New Roman"/>
                <w:bCs/>
                <w:sz w:val="20"/>
                <w:szCs w:val="20"/>
                <w:lang w:val="sq-AL"/>
              </w:rPr>
              <w:lastRenderedPageBreak/>
              <w:t xml:space="preserve">kuota të qarta për përfaqësimin e grave në bordet e ndërmarrjeve publike dhe </w:t>
            </w:r>
            <w:proofErr w:type="spellStart"/>
            <w:r w:rsidRPr="00014D00">
              <w:rPr>
                <w:rFonts w:ascii="Times New Roman" w:hAnsi="Times New Roman" w:cs="Times New Roman"/>
                <w:bCs/>
                <w:sz w:val="20"/>
                <w:szCs w:val="20"/>
                <w:lang w:val="sq-AL"/>
              </w:rPr>
              <w:t>agjencioneve</w:t>
            </w:r>
            <w:proofErr w:type="spellEnd"/>
            <w:r w:rsidRPr="00014D00">
              <w:rPr>
                <w:rFonts w:ascii="Times New Roman" w:hAnsi="Times New Roman" w:cs="Times New Roman"/>
                <w:bCs/>
                <w:sz w:val="20"/>
                <w:szCs w:val="20"/>
                <w:lang w:val="sq-AL"/>
              </w:rPr>
              <w:t xml:space="preserve"> të pavarura në vijë me Ligjin për barazi Gjinore.  </w:t>
            </w:r>
          </w:p>
          <w:p w:rsidR="00F436BF" w:rsidRPr="00014D00" w:rsidRDefault="00F436BF" w:rsidP="00F436BF">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Si pjesë e kësaj mase theksohet dhe plotësimi me staf i Agjencisë së Punësimit të Republikës së Kosovës përgjatë 2018, mirëpo një gjë e tillë nuk është reflektuar në Buxhetin e vitit 2018. Si i tillë, ky aktivitet është i parealizueshëm;</w:t>
            </w:r>
          </w:p>
        </w:tc>
        <w:tc>
          <w:tcPr>
            <w:tcW w:w="1463" w:type="dxa"/>
            <w:shd w:val="clear" w:color="auto" w:fill="DEEAF6" w:themeFill="accent1" w:themeFillTint="33"/>
          </w:tcPr>
          <w:p w:rsidR="00F436BF" w:rsidRPr="00014D00" w:rsidRDefault="00600D5D" w:rsidP="00D05FE8">
            <w:pPr>
              <w:pStyle w:val="NoSpacing"/>
              <w:spacing w:line="276" w:lineRule="auto"/>
            </w:pPr>
            <w:r w:rsidRPr="00014D00">
              <w:lastRenderedPageBreak/>
              <w:t>GAP</w:t>
            </w:r>
          </w:p>
        </w:tc>
        <w:tc>
          <w:tcPr>
            <w:tcW w:w="1350" w:type="dxa"/>
            <w:shd w:val="clear" w:color="auto" w:fill="DEEAF6" w:themeFill="accent1" w:themeFillTint="33"/>
          </w:tcPr>
          <w:p w:rsidR="00F436BF" w:rsidRPr="00014D00" w:rsidRDefault="00F436BF" w:rsidP="00D05FE8">
            <w:pPr>
              <w:rPr>
                <w:rFonts w:ascii="Times New Roman" w:hAnsi="Times New Roman" w:cs="Times New Roman"/>
                <w:bCs/>
                <w:sz w:val="20"/>
                <w:szCs w:val="20"/>
                <w:lang w:val="sq-AL"/>
              </w:rPr>
            </w:pPr>
          </w:p>
        </w:tc>
        <w:tc>
          <w:tcPr>
            <w:tcW w:w="6434" w:type="dxa"/>
            <w:shd w:val="clear" w:color="auto" w:fill="DEEAF6" w:themeFill="accent1" w:themeFillTint="33"/>
          </w:tcPr>
          <w:p w:rsidR="00F436BF" w:rsidRPr="00014D00" w:rsidRDefault="00D23C9C" w:rsidP="00D05FE8">
            <w:pPr>
              <w:jc w:val="both"/>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Stafi do të zhvendoset nga MPMS dhe ekzistojnë fonde të mjaftueshme për mbulimin e kësaj mase të PRE. </w:t>
            </w:r>
            <w:proofErr w:type="spellStart"/>
            <w:r w:rsidRPr="00014D00">
              <w:rPr>
                <w:rFonts w:ascii="Times New Roman" w:hAnsi="Times New Roman" w:cs="Times New Roman"/>
                <w:bCs/>
                <w:sz w:val="20"/>
                <w:szCs w:val="20"/>
                <w:lang w:val="sq-AL"/>
              </w:rPr>
              <w:t>Qështjet</w:t>
            </w:r>
            <w:proofErr w:type="spellEnd"/>
            <w:r w:rsidRPr="00014D00">
              <w:rPr>
                <w:rFonts w:ascii="Times New Roman" w:hAnsi="Times New Roman" w:cs="Times New Roman"/>
                <w:bCs/>
                <w:sz w:val="20"/>
                <w:szCs w:val="20"/>
                <w:lang w:val="sq-AL"/>
              </w:rPr>
              <w:t xml:space="preserve"> e barazisë gjinore janë shumë të rëndësishme mirëpo PRE mbulon vetëm fusha të caktuara </w:t>
            </w:r>
            <w:proofErr w:type="spellStart"/>
            <w:r w:rsidRPr="00014D00">
              <w:rPr>
                <w:rFonts w:ascii="Times New Roman" w:hAnsi="Times New Roman" w:cs="Times New Roman"/>
                <w:bCs/>
                <w:sz w:val="20"/>
                <w:szCs w:val="20"/>
                <w:lang w:val="sq-AL"/>
              </w:rPr>
              <w:t>prioritare</w:t>
            </w:r>
            <w:proofErr w:type="spellEnd"/>
            <w:r w:rsidRPr="00014D00">
              <w:rPr>
                <w:rFonts w:ascii="Times New Roman" w:hAnsi="Times New Roman" w:cs="Times New Roman"/>
                <w:bCs/>
                <w:sz w:val="20"/>
                <w:szCs w:val="20"/>
                <w:lang w:val="sq-AL"/>
              </w:rPr>
              <w:t xml:space="preserve"> dhe nuk përfshin </w:t>
            </w:r>
            <w:proofErr w:type="spellStart"/>
            <w:r w:rsidRPr="00014D00">
              <w:rPr>
                <w:rFonts w:ascii="Times New Roman" w:hAnsi="Times New Roman" w:cs="Times New Roman"/>
                <w:bCs/>
                <w:sz w:val="20"/>
                <w:szCs w:val="20"/>
                <w:lang w:val="sq-AL"/>
              </w:rPr>
              <w:t>aktitivtetet</w:t>
            </w:r>
            <w:proofErr w:type="spellEnd"/>
            <w:r w:rsidRPr="00014D00">
              <w:rPr>
                <w:rFonts w:ascii="Times New Roman" w:hAnsi="Times New Roman" w:cs="Times New Roman"/>
                <w:bCs/>
                <w:sz w:val="20"/>
                <w:szCs w:val="20"/>
                <w:lang w:val="sq-AL"/>
              </w:rPr>
              <w:t xml:space="preserve"> e përgjithshme të një ministrie. </w:t>
            </w:r>
          </w:p>
        </w:tc>
      </w:tr>
      <w:tr w:rsidR="00F436BF" w:rsidRPr="00014D00" w:rsidTr="007C794E">
        <w:trPr>
          <w:trHeight w:val="1025"/>
        </w:trPr>
        <w:tc>
          <w:tcPr>
            <w:tcW w:w="1350" w:type="dxa"/>
            <w:shd w:val="clear" w:color="auto" w:fill="DEEAF6" w:themeFill="accent1" w:themeFillTint="33"/>
          </w:tcPr>
          <w:p w:rsidR="00F436BF" w:rsidRPr="00014D00" w:rsidRDefault="00F436BF" w:rsidP="00DC4BDA">
            <w:pPr>
              <w:rPr>
                <w:rFonts w:ascii="Times New Roman" w:hAnsi="Times New Roman" w:cs="Times New Roman"/>
                <w:sz w:val="20"/>
                <w:szCs w:val="20"/>
                <w:lang w:val="sq-AL"/>
              </w:rPr>
            </w:pPr>
            <w:r w:rsidRPr="00014D00">
              <w:rPr>
                <w:rFonts w:ascii="Times New Roman" w:hAnsi="Times New Roman" w:cs="Times New Roman"/>
                <w:sz w:val="20"/>
                <w:szCs w:val="20"/>
                <w:lang w:val="sq-AL"/>
              </w:rPr>
              <w:lastRenderedPageBreak/>
              <w:t xml:space="preserve">Fusha </w:t>
            </w:r>
            <w:proofErr w:type="spellStart"/>
            <w:r w:rsidRPr="00014D00">
              <w:rPr>
                <w:rFonts w:ascii="Times New Roman" w:hAnsi="Times New Roman" w:cs="Times New Roman"/>
                <w:sz w:val="20"/>
                <w:szCs w:val="20"/>
                <w:lang w:val="sq-AL"/>
              </w:rPr>
              <w:t>Prioritare</w:t>
            </w:r>
            <w:proofErr w:type="spellEnd"/>
            <w:r w:rsidRPr="00014D00">
              <w:rPr>
                <w:rFonts w:ascii="Times New Roman" w:hAnsi="Times New Roman" w:cs="Times New Roman"/>
                <w:sz w:val="20"/>
                <w:szCs w:val="20"/>
                <w:lang w:val="sq-AL"/>
              </w:rPr>
              <w:t xml:space="preserve"> #9: Përfshirja sociale, ulja e varfërisë dhe mundësitë e barabarta. Masa #20: Përmirësimi i shërbimeve shëndetësore dhe sociale.</w:t>
            </w:r>
          </w:p>
        </w:tc>
        <w:tc>
          <w:tcPr>
            <w:tcW w:w="4163" w:type="dxa"/>
            <w:shd w:val="clear" w:color="auto" w:fill="DEEAF6" w:themeFill="accent1" w:themeFillTint="33"/>
          </w:tcPr>
          <w:p w:rsidR="00F436BF" w:rsidRPr="00014D00" w:rsidRDefault="00F436BF" w:rsidP="00F436BF">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Shuma e ndarë për Skemën e Ndihmës Sociale (SNS) aktualisht është e pamjaftueshme që 26,000 familjet përfituese t’i ikin pragut të varfërisë së skajshme. Konkretisht, shuma që do të marrin përfituesit gjatë 2018 arrin të mbulojë vetëm 61% të shumës së nevojshme për t’i ikur pragut të varfërisë së skajshme. Andaj, duhet të rritet shuma e ndarë për këtë skemë në mënyrë që familjet t’i ikin të paktën këtij pragu. Sipas GAP, rreth 20 milionë euro shtesë për SNS-në, do të mjaftonin që të arrihej ky qëllim. Një hap i tillë do të kishte ndikim të shumanshëm, ku ndër tjerash do të rriteshin gjasat që një pjesë e kësaj kategorie të gjente punë dhe kësisoj të largoheshin edhe nga skema. Fatkeqësisht, buxheti i MPMS për skemat sociale të bazuara në kategori është rritur </w:t>
            </w:r>
            <w:proofErr w:type="spellStart"/>
            <w:r w:rsidRPr="00014D00">
              <w:rPr>
                <w:rFonts w:ascii="Times New Roman" w:hAnsi="Times New Roman" w:cs="Times New Roman"/>
                <w:bCs/>
                <w:sz w:val="20"/>
                <w:szCs w:val="20"/>
                <w:lang w:val="sq-AL"/>
              </w:rPr>
              <w:t>pakrahasismisht</w:t>
            </w:r>
            <w:proofErr w:type="spellEnd"/>
            <w:r w:rsidRPr="00014D00">
              <w:rPr>
                <w:rFonts w:ascii="Times New Roman" w:hAnsi="Times New Roman" w:cs="Times New Roman"/>
                <w:bCs/>
                <w:sz w:val="20"/>
                <w:szCs w:val="20"/>
                <w:lang w:val="sq-AL"/>
              </w:rPr>
              <w:t xml:space="preserve"> më shumë se sa buxheti i skemave sociale bazuar në gjendjen ekonomike të përfituesve. Skemat sociale për veteranët, pensionet e moshës, ish të burgosurit politik, deputetët e viteve të ’90, janë skema të cilat bazohen në një meritë të njohur (</w:t>
            </w:r>
            <w:proofErr w:type="spellStart"/>
            <w:r w:rsidRPr="00014D00">
              <w:rPr>
                <w:rFonts w:ascii="Times New Roman" w:hAnsi="Times New Roman" w:cs="Times New Roman"/>
                <w:bCs/>
                <w:sz w:val="20"/>
                <w:szCs w:val="20"/>
                <w:lang w:val="sq-AL"/>
              </w:rPr>
              <w:t>entitlement</w:t>
            </w:r>
            <w:proofErr w:type="spellEnd"/>
            <w:r w:rsidRPr="00014D00">
              <w:rPr>
                <w:rFonts w:ascii="Times New Roman" w:hAnsi="Times New Roman" w:cs="Times New Roman"/>
                <w:bCs/>
                <w:sz w:val="20"/>
                <w:szCs w:val="20"/>
                <w:lang w:val="sq-AL"/>
              </w:rPr>
              <w:t xml:space="preserve">) dhe jo domosdo shkojnë tek kategoritë më të </w:t>
            </w:r>
            <w:proofErr w:type="spellStart"/>
            <w:r w:rsidRPr="00014D00">
              <w:rPr>
                <w:rFonts w:ascii="Times New Roman" w:hAnsi="Times New Roman" w:cs="Times New Roman"/>
                <w:bCs/>
                <w:sz w:val="20"/>
                <w:szCs w:val="20"/>
                <w:lang w:val="sq-AL"/>
              </w:rPr>
              <w:t>varfëra</w:t>
            </w:r>
            <w:proofErr w:type="spellEnd"/>
            <w:r w:rsidRPr="00014D00">
              <w:rPr>
                <w:rFonts w:ascii="Times New Roman" w:hAnsi="Times New Roman" w:cs="Times New Roman"/>
                <w:bCs/>
                <w:sz w:val="20"/>
                <w:szCs w:val="20"/>
                <w:lang w:val="sq-AL"/>
              </w:rPr>
              <w:t xml:space="preserve">. Andaj, Qeveria e Kosovës duhet të ul buxhetin e skemave sociale </w:t>
            </w:r>
            <w:r w:rsidRPr="00014D00">
              <w:rPr>
                <w:rFonts w:ascii="Times New Roman" w:hAnsi="Times New Roman" w:cs="Times New Roman"/>
                <w:bCs/>
                <w:sz w:val="20"/>
                <w:szCs w:val="20"/>
                <w:lang w:val="sq-AL"/>
              </w:rPr>
              <w:lastRenderedPageBreak/>
              <w:t>bazuar në kategori dhe të ngrit buxhetin e skemave sociale bazuar në gjendjen sociale dhe ekonomike të familjeve në nevojë.</w:t>
            </w:r>
          </w:p>
        </w:tc>
        <w:tc>
          <w:tcPr>
            <w:tcW w:w="1463" w:type="dxa"/>
            <w:shd w:val="clear" w:color="auto" w:fill="DEEAF6" w:themeFill="accent1" w:themeFillTint="33"/>
          </w:tcPr>
          <w:p w:rsidR="00F436BF" w:rsidRPr="00014D00" w:rsidRDefault="00600D5D" w:rsidP="00D05FE8">
            <w:pPr>
              <w:pStyle w:val="NoSpacing"/>
              <w:spacing w:line="276" w:lineRule="auto"/>
            </w:pPr>
            <w:r w:rsidRPr="00014D00">
              <w:lastRenderedPageBreak/>
              <w:t>GAP</w:t>
            </w:r>
          </w:p>
        </w:tc>
        <w:tc>
          <w:tcPr>
            <w:tcW w:w="1350" w:type="dxa"/>
            <w:shd w:val="clear" w:color="auto" w:fill="DEEAF6" w:themeFill="accent1" w:themeFillTint="33"/>
          </w:tcPr>
          <w:p w:rsidR="00F436BF" w:rsidRPr="00014D00" w:rsidRDefault="00F436BF" w:rsidP="00D05FE8">
            <w:pPr>
              <w:rPr>
                <w:rFonts w:ascii="Times New Roman" w:hAnsi="Times New Roman" w:cs="Times New Roman"/>
                <w:bCs/>
                <w:sz w:val="20"/>
                <w:szCs w:val="20"/>
                <w:lang w:val="sq-AL"/>
              </w:rPr>
            </w:pPr>
          </w:p>
        </w:tc>
        <w:tc>
          <w:tcPr>
            <w:tcW w:w="6434" w:type="dxa"/>
            <w:shd w:val="clear" w:color="auto" w:fill="DEEAF6" w:themeFill="accent1" w:themeFillTint="33"/>
          </w:tcPr>
          <w:p w:rsidR="00F436BF" w:rsidRPr="00014D00" w:rsidRDefault="00483C64" w:rsidP="00D05FE8">
            <w:pPr>
              <w:jc w:val="both"/>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Pas konsultimeve me Komisionin Evropian kjo masë është më e fokusuar në sigurimet shëndetësore dhe zbatimin e tyre. Sidoqoftë, këto </w:t>
            </w:r>
            <w:proofErr w:type="spellStart"/>
            <w:r w:rsidRPr="00014D00">
              <w:rPr>
                <w:rFonts w:ascii="Times New Roman" w:hAnsi="Times New Roman" w:cs="Times New Roman"/>
                <w:bCs/>
                <w:sz w:val="20"/>
                <w:szCs w:val="20"/>
                <w:lang w:val="sq-AL"/>
              </w:rPr>
              <w:t>qështje</w:t>
            </w:r>
            <w:proofErr w:type="spellEnd"/>
            <w:r w:rsidRPr="00014D00">
              <w:rPr>
                <w:rFonts w:ascii="Times New Roman" w:hAnsi="Times New Roman" w:cs="Times New Roman"/>
                <w:bCs/>
                <w:sz w:val="20"/>
                <w:szCs w:val="20"/>
                <w:lang w:val="sq-AL"/>
              </w:rPr>
              <w:t xml:space="preserve"> do </w:t>
            </w:r>
            <w:proofErr w:type="spellStart"/>
            <w:r w:rsidRPr="00014D00">
              <w:rPr>
                <w:rFonts w:ascii="Times New Roman" w:hAnsi="Times New Roman" w:cs="Times New Roman"/>
                <w:bCs/>
                <w:sz w:val="20"/>
                <w:szCs w:val="20"/>
                <w:lang w:val="sq-AL"/>
              </w:rPr>
              <w:t>tëadresohen</w:t>
            </w:r>
            <w:proofErr w:type="spellEnd"/>
            <w:r w:rsidRPr="00014D00">
              <w:rPr>
                <w:rFonts w:ascii="Times New Roman" w:hAnsi="Times New Roman" w:cs="Times New Roman"/>
                <w:bCs/>
                <w:sz w:val="20"/>
                <w:szCs w:val="20"/>
                <w:lang w:val="sq-AL"/>
              </w:rPr>
              <w:t xml:space="preserve"> së bashku me MPMS si institucioni kryesor për këtë fushë.</w:t>
            </w:r>
          </w:p>
        </w:tc>
      </w:tr>
      <w:tr w:rsidR="00664C2E" w:rsidRPr="00014D00" w:rsidTr="007C794E">
        <w:trPr>
          <w:trHeight w:val="1025"/>
        </w:trPr>
        <w:tc>
          <w:tcPr>
            <w:tcW w:w="1350" w:type="dxa"/>
            <w:shd w:val="clear" w:color="auto" w:fill="DEEAF6" w:themeFill="accent1" w:themeFillTint="33"/>
          </w:tcPr>
          <w:p w:rsidR="00664C2E" w:rsidRPr="00014D00" w:rsidRDefault="00221A6C" w:rsidP="00DC4BDA">
            <w:pPr>
              <w:rPr>
                <w:rFonts w:ascii="Times New Roman" w:hAnsi="Times New Roman" w:cs="Times New Roman"/>
                <w:sz w:val="20"/>
                <w:szCs w:val="20"/>
                <w:lang w:val="sq-AL"/>
              </w:rPr>
            </w:pPr>
            <w:r w:rsidRPr="00014D00">
              <w:rPr>
                <w:rFonts w:ascii="Times New Roman" w:hAnsi="Times New Roman" w:cs="Times New Roman"/>
                <w:sz w:val="20"/>
                <w:szCs w:val="20"/>
                <w:lang w:val="sq-AL"/>
              </w:rPr>
              <w:lastRenderedPageBreak/>
              <w:t>Masa</w:t>
            </w:r>
            <w:r w:rsidR="00664C2E" w:rsidRPr="00014D00">
              <w:rPr>
                <w:rFonts w:ascii="Times New Roman" w:hAnsi="Times New Roman" w:cs="Times New Roman"/>
                <w:sz w:val="20"/>
                <w:szCs w:val="20"/>
                <w:lang w:val="sq-AL"/>
              </w:rPr>
              <w:t xml:space="preserve"> #6 </w:t>
            </w:r>
          </w:p>
        </w:tc>
        <w:tc>
          <w:tcPr>
            <w:tcW w:w="4163" w:type="dxa"/>
            <w:shd w:val="clear" w:color="auto" w:fill="DEEAF6" w:themeFill="accent1" w:themeFillTint="33"/>
          </w:tcPr>
          <w:p w:rsidR="00664C2E" w:rsidRPr="00014D00" w:rsidRDefault="00221A6C" w:rsidP="00221A6C">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Portofoli i Zhvillimit Ekonomik, i përhapur në të paktën pesë ministri, mbetet i fragmentuar. Përderisa e vlerësojmë se kjo është një vendim politik, ne do të këshillojmë për qartësinë e kompetencave ku ndodhin mbivendosjet, veçanërisht në rastin e KIESA dhe portofolit të investimeve strategjike. Për më tepër, për të përmirësuar klimën e biznesit dhe për të tërhequr më shumë investime sipas objektivave të deklaruara të Kosovës, kjo masë duhet të parashikojë: a) fuqizimin e KIESA-s me burime për kryerjen e përgjegjësive të përcaktuara në Ligjin për Investimet Strategjike; </w:t>
            </w:r>
            <w:r w:rsidRPr="00354CFB">
              <w:rPr>
                <w:rFonts w:ascii="Times New Roman" w:hAnsi="Times New Roman" w:cs="Times New Roman"/>
                <w:bCs/>
                <w:sz w:val="20"/>
                <w:szCs w:val="20"/>
                <w:lang w:val="sq-AL"/>
              </w:rPr>
              <w:t>dhe b) ndërtimi</w:t>
            </w:r>
            <w:r w:rsidR="00354CFB" w:rsidRPr="00354CFB">
              <w:rPr>
                <w:rFonts w:ascii="Times New Roman" w:hAnsi="Times New Roman" w:cs="Times New Roman"/>
                <w:bCs/>
                <w:sz w:val="20"/>
                <w:szCs w:val="20"/>
                <w:lang w:val="sq-AL"/>
              </w:rPr>
              <w:t>n e një programi të fuqishëm të</w:t>
            </w:r>
            <w:r w:rsidRPr="00354CFB">
              <w:rPr>
                <w:rFonts w:ascii="Times New Roman" w:hAnsi="Times New Roman" w:cs="Times New Roman"/>
                <w:bCs/>
                <w:sz w:val="20"/>
                <w:szCs w:val="20"/>
                <w:lang w:val="sq-AL"/>
              </w:rPr>
              <w:t xml:space="preserve"> </w:t>
            </w:r>
            <w:proofErr w:type="spellStart"/>
            <w:r w:rsidR="00354CFB" w:rsidRPr="00354CFB">
              <w:rPr>
                <w:rFonts w:ascii="Times New Roman" w:hAnsi="Times New Roman" w:cs="Times New Roman"/>
                <w:bCs/>
                <w:sz w:val="20"/>
                <w:szCs w:val="20"/>
                <w:lang w:val="sq-AL"/>
              </w:rPr>
              <w:t>Për</w:t>
            </w:r>
            <w:r w:rsidRPr="00354CFB">
              <w:rPr>
                <w:rFonts w:ascii="Times New Roman" w:hAnsi="Times New Roman" w:cs="Times New Roman"/>
                <w:bCs/>
                <w:sz w:val="20"/>
                <w:szCs w:val="20"/>
                <w:lang w:val="sq-AL"/>
              </w:rPr>
              <w:t>kujdesit</w:t>
            </w:r>
            <w:proofErr w:type="spellEnd"/>
            <w:r w:rsidRPr="00354CFB">
              <w:rPr>
                <w:rFonts w:ascii="Times New Roman" w:hAnsi="Times New Roman" w:cs="Times New Roman"/>
                <w:bCs/>
                <w:sz w:val="20"/>
                <w:szCs w:val="20"/>
                <w:lang w:val="sq-AL"/>
              </w:rPr>
              <w:t xml:space="preserve"> sipas mandatit të saj.</w:t>
            </w:r>
          </w:p>
        </w:tc>
        <w:tc>
          <w:tcPr>
            <w:tcW w:w="1463" w:type="dxa"/>
            <w:shd w:val="clear" w:color="auto" w:fill="DEEAF6" w:themeFill="accent1" w:themeFillTint="33"/>
          </w:tcPr>
          <w:p w:rsidR="00664C2E" w:rsidRPr="00014D00" w:rsidRDefault="00221A6C" w:rsidP="00D05FE8">
            <w:pPr>
              <w:pStyle w:val="NoSpacing"/>
              <w:spacing w:line="276" w:lineRule="auto"/>
            </w:pPr>
            <w:r w:rsidRPr="00014D00">
              <w:t>Ambasada Britanike</w:t>
            </w:r>
          </w:p>
        </w:tc>
        <w:tc>
          <w:tcPr>
            <w:tcW w:w="1350" w:type="dxa"/>
            <w:shd w:val="clear" w:color="auto" w:fill="DEEAF6" w:themeFill="accent1" w:themeFillTint="33"/>
          </w:tcPr>
          <w:p w:rsidR="00664C2E" w:rsidRPr="00014D00" w:rsidRDefault="00664C2E" w:rsidP="00D05FE8">
            <w:pPr>
              <w:rPr>
                <w:rFonts w:ascii="Times New Roman" w:hAnsi="Times New Roman" w:cs="Times New Roman"/>
                <w:bCs/>
                <w:sz w:val="20"/>
                <w:szCs w:val="20"/>
                <w:lang w:val="sq-AL"/>
              </w:rPr>
            </w:pPr>
          </w:p>
        </w:tc>
        <w:tc>
          <w:tcPr>
            <w:tcW w:w="6434" w:type="dxa"/>
            <w:shd w:val="clear" w:color="auto" w:fill="DEEAF6" w:themeFill="accent1" w:themeFillTint="33"/>
          </w:tcPr>
          <w:p w:rsidR="00EC3A1E" w:rsidRPr="00014D00" w:rsidRDefault="00EC3A1E" w:rsidP="00D05FE8">
            <w:pPr>
              <w:jc w:val="both"/>
              <w:rPr>
                <w:rFonts w:ascii="Times New Roman" w:hAnsi="Times New Roman" w:cs="Times New Roman"/>
                <w:bCs/>
                <w:sz w:val="20"/>
                <w:szCs w:val="20"/>
                <w:lang w:val="sq-AL"/>
              </w:rPr>
            </w:pPr>
            <w:r w:rsidRPr="00354CFB">
              <w:rPr>
                <w:rFonts w:ascii="Times New Roman" w:hAnsi="Times New Roman" w:cs="Times New Roman"/>
                <w:bCs/>
                <w:sz w:val="20"/>
                <w:szCs w:val="20"/>
                <w:lang w:val="sq-AL"/>
              </w:rPr>
              <w:t>Fuqizimi i KIESA dhe Programit të Përkujdesjes janë pjesë e masave të Strategjisë Kombëtare për Zhvillim prandaj nuk ka nevojë të përsëritet edhe në PRE.</w:t>
            </w:r>
          </w:p>
        </w:tc>
      </w:tr>
      <w:tr w:rsidR="00F436BF" w:rsidRPr="00014D00" w:rsidTr="007C794E">
        <w:trPr>
          <w:trHeight w:val="1025"/>
        </w:trPr>
        <w:tc>
          <w:tcPr>
            <w:tcW w:w="1350" w:type="dxa"/>
            <w:shd w:val="clear" w:color="auto" w:fill="DEEAF6" w:themeFill="accent1" w:themeFillTint="33"/>
          </w:tcPr>
          <w:p w:rsidR="00F436BF" w:rsidRPr="00014D00" w:rsidRDefault="00221A6C" w:rsidP="00DC4BDA">
            <w:pPr>
              <w:rPr>
                <w:rFonts w:ascii="Times New Roman" w:hAnsi="Times New Roman" w:cs="Times New Roman"/>
                <w:sz w:val="20"/>
                <w:szCs w:val="20"/>
                <w:lang w:val="sq-AL"/>
              </w:rPr>
            </w:pPr>
            <w:r w:rsidRPr="00014D00">
              <w:rPr>
                <w:rFonts w:ascii="Times New Roman" w:hAnsi="Times New Roman" w:cs="Times New Roman"/>
                <w:sz w:val="20"/>
                <w:szCs w:val="20"/>
                <w:lang w:val="sq-AL"/>
              </w:rPr>
              <w:t xml:space="preserve">Parandalimi dhe lufta kundër ekonomisë </w:t>
            </w:r>
            <w:proofErr w:type="spellStart"/>
            <w:r w:rsidRPr="00014D00">
              <w:rPr>
                <w:rFonts w:ascii="Times New Roman" w:hAnsi="Times New Roman" w:cs="Times New Roman"/>
                <w:sz w:val="20"/>
                <w:szCs w:val="20"/>
                <w:lang w:val="sq-AL"/>
              </w:rPr>
              <w:t>informale</w:t>
            </w:r>
            <w:proofErr w:type="spellEnd"/>
            <w:r w:rsidRPr="00014D00">
              <w:rPr>
                <w:rFonts w:ascii="Times New Roman" w:hAnsi="Times New Roman" w:cs="Times New Roman"/>
                <w:sz w:val="20"/>
                <w:szCs w:val="20"/>
                <w:lang w:val="sq-AL"/>
              </w:rPr>
              <w:t>.</w:t>
            </w:r>
          </w:p>
        </w:tc>
        <w:tc>
          <w:tcPr>
            <w:tcW w:w="4163" w:type="dxa"/>
            <w:shd w:val="clear" w:color="auto" w:fill="DEEAF6" w:themeFill="accent1" w:themeFillTint="33"/>
          </w:tcPr>
          <w:p w:rsidR="00F436BF" w:rsidRPr="00014D00" w:rsidRDefault="00221A6C" w:rsidP="00221A6C">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Ashtu </w:t>
            </w:r>
            <w:proofErr w:type="spellStart"/>
            <w:r w:rsidRPr="00014D00">
              <w:rPr>
                <w:rFonts w:ascii="Times New Roman" w:hAnsi="Times New Roman" w:cs="Times New Roman"/>
                <w:bCs/>
                <w:sz w:val="20"/>
                <w:szCs w:val="20"/>
                <w:lang w:val="sq-AL"/>
              </w:rPr>
              <w:t>siq</w:t>
            </w:r>
            <w:proofErr w:type="spellEnd"/>
            <w:r w:rsidRPr="00014D00">
              <w:rPr>
                <w:rFonts w:ascii="Times New Roman" w:hAnsi="Times New Roman" w:cs="Times New Roman"/>
                <w:bCs/>
                <w:sz w:val="20"/>
                <w:szCs w:val="20"/>
                <w:lang w:val="sq-AL"/>
              </w:rPr>
              <w:t xml:space="preserve"> thuhet edhe në PRE, ekonomia joformale mbetet e lartë, duke dëmtuar konkurrencën dhe mjedisin e biznesit. Ne do të rekomandojmë që kësaj fushe ti jepet përparësi më e madhe sesa vetëm njohja e saj si një pengesë.</w:t>
            </w:r>
          </w:p>
        </w:tc>
        <w:tc>
          <w:tcPr>
            <w:tcW w:w="1463" w:type="dxa"/>
            <w:shd w:val="clear" w:color="auto" w:fill="DEEAF6" w:themeFill="accent1" w:themeFillTint="33"/>
          </w:tcPr>
          <w:p w:rsidR="00F436BF" w:rsidRPr="00014D00" w:rsidRDefault="00221A6C" w:rsidP="00D05FE8">
            <w:pPr>
              <w:pStyle w:val="NoSpacing"/>
              <w:spacing w:line="276" w:lineRule="auto"/>
            </w:pPr>
            <w:r w:rsidRPr="00014D00">
              <w:t>Ambasada Britanike</w:t>
            </w:r>
          </w:p>
        </w:tc>
        <w:tc>
          <w:tcPr>
            <w:tcW w:w="1350" w:type="dxa"/>
            <w:shd w:val="clear" w:color="auto" w:fill="DEEAF6" w:themeFill="accent1" w:themeFillTint="33"/>
          </w:tcPr>
          <w:p w:rsidR="00F436BF" w:rsidRPr="00014D00" w:rsidRDefault="00F436BF" w:rsidP="00D05FE8">
            <w:pPr>
              <w:rPr>
                <w:rFonts w:ascii="Times New Roman" w:hAnsi="Times New Roman" w:cs="Times New Roman"/>
                <w:bCs/>
                <w:sz w:val="20"/>
                <w:szCs w:val="20"/>
                <w:lang w:val="sq-AL"/>
              </w:rPr>
            </w:pPr>
          </w:p>
        </w:tc>
        <w:tc>
          <w:tcPr>
            <w:tcW w:w="6434" w:type="dxa"/>
            <w:shd w:val="clear" w:color="auto" w:fill="DEEAF6" w:themeFill="accent1" w:themeFillTint="33"/>
          </w:tcPr>
          <w:p w:rsidR="00A425A2" w:rsidRPr="00014D00" w:rsidRDefault="00A425A2" w:rsidP="00A425A2">
            <w:pPr>
              <w:jc w:val="both"/>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Strategjia e re është duke u hartuar dhe mbetet të adresoj këtë </w:t>
            </w:r>
            <w:proofErr w:type="spellStart"/>
            <w:r w:rsidRPr="00014D00">
              <w:rPr>
                <w:rFonts w:ascii="Times New Roman" w:hAnsi="Times New Roman" w:cs="Times New Roman"/>
                <w:bCs/>
                <w:sz w:val="20"/>
                <w:szCs w:val="20"/>
                <w:lang w:val="sq-AL"/>
              </w:rPr>
              <w:t>qështje</w:t>
            </w:r>
            <w:proofErr w:type="spellEnd"/>
            <w:r w:rsidRPr="00014D00">
              <w:rPr>
                <w:rFonts w:ascii="Times New Roman" w:hAnsi="Times New Roman" w:cs="Times New Roman"/>
                <w:bCs/>
                <w:sz w:val="20"/>
                <w:szCs w:val="20"/>
                <w:lang w:val="sq-AL"/>
              </w:rPr>
              <w:t xml:space="preserve">. Shifrat e fundit të </w:t>
            </w:r>
            <w:proofErr w:type="spellStart"/>
            <w:r w:rsidRPr="00014D00">
              <w:rPr>
                <w:rFonts w:ascii="Times New Roman" w:hAnsi="Times New Roman" w:cs="Times New Roman"/>
                <w:bCs/>
                <w:sz w:val="20"/>
                <w:szCs w:val="20"/>
                <w:lang w:val="sq-AL"/>
              </w:rPr>
              <w:t>disponueshme</w:t>
            </w:r>
            <w:proofErr w:type="spellEnd"/>
            <w:r w:rsidRPr="00014D00">
              <w:rPr>
                <w:rFonts w:ascii="Times New Roman" w:hAnsi="Times New Roman" w:cs="Times New Roman"/>
                <w:bCs/>
                <w:sz w:val="20"/>
                <w:szCs w:val="20"/>
                <w:lang w:val="sq-AL"/>
              </w:rPr>
              <w:t xml:space="preserve"> mbi shtrirjen e ekonomisë joformale janë të përfshira në PRE.</w:t>
            </w:r>
          </w:p>
        </w:tc>
      </w:tr>
      <w:tr w:rsidR="00664C2E" w:rsidRPr="00014D00" w:rsidTr="00FF7160">
        <w:trPr>
          <w:trHeight w:val="620"/>
        </w:trPr>
        <w:tc>
          <w:tcPr>
            <w:tcW w:w="1350" w:type="dxa"/>
            <w:shd w:val="clear" w:color="auto" w:fill="DEEAF6" w:themeFill="accent1" w:themeFillTint="33"/>
          </w:tcPr>
          <w:p w:rsidR="00664C2E" w:rsidRPr="00014D00" w:rsidRDefault="00221A6C" w:rsidP="00DC4BDA">
            <w:pPr>
              <w:rPr>
                <w:rFonts w:ascii="Times New Roman" w:hAnsi="Times New Roman" w:cs="Times New Roman"/>
                <w:sz w:val="20"/>
                <w:szCs w:val="20"/>
                <w:lang w:val="sq-AL"/>
              </w:rPr>
            </w:pPr>
            <w:r w:rsidRPr="00014D00">
              <w:rPr>
                <w:rFonts w:ascii="Times New Roman" w:hAnsi="Times New Roman" w:cs="Times New Roman"/>
                <w:sz w:val="20"/>
                <w:szCs w:val="20"/>
                <w:lang w:val="sq-AL"/>
              </w:rPr>
              <w:t>Masa</w:t>
            </w:r>
            <w:r w:rsidR="00664C2E" w:rsidRPr="00014D00">
              <w:rPr>
                <w:rFonts w:ascii="Times New Roman" w:hAnsi="Times New Roman" w:cs="Times New Roman"/>
                <w:sz w:val="20"/>
                <w:szCs w:val="20"/>
                <w:lang w:val="sq-AL"/>
              </w:rPr>
              <w:t xml:space="preserve"> #12</w:t>
            </w:r>
          </w:p>
        </w:tc>
        <w:tc>
          <w:tcPr>
            <w:tcW w:w="4163" w:type="dxa"/>
            <w:shd w:val="clear" w:color="auto" w:fill="DEEAF6" w:themeFill="accent1" w:themeFillTint="33"/>
          </w:tcPr>
          <w:p w:rsidR="00221A6C" w:rsidRPr="00014D00" w:rsidRDefault="00221A6C" w:rsidP="00221A6C">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Inovacioni është një sektor i rëndësishëm për rritjen ekonomike. Sidoqoftë, në vend që të përqendrohemi vetëm në lidhjen me universitetet - me </w:t>
            </w:r>
            <w:proofErr w:type="spellStart"/>
            <w:r w:rsidRPr="00014D00">
              <w:rPr>
                <w:rFonts w:ascii="Times New Roman" w:hAnsi="Times New Roman" w:cs="Times New Roman"/>
                <w:bCs/>
                <w:sz w:val="20"/>
                <w:szCs w:val="20"/>
                <w:lang w:val="sq-AL"/>
              </w:rPr>
              <w:t>ç'rast</w:t>
            </w:r>
            <w:proofErr w:type="spellEnd"/>
            <w:r w:rsidRPr="00014D00">
              <w:rPr>
                <w:rFonts w:ascii="Times New Roman" w:hAnsi="Times New Roman" w:cs="Times New Roman"/>
                <w:bCs/>
                <w:sz w:val="20"/>
                <w:szCs w:val="20"/>
                <w:lang w:val="sq-AL"/>
              </w:rPr>
              <w:t xml:space="preserve"> është tepër vonë - do të sugjeronim lidhje më të mirë me arsimin </w:t>
            </w:r>
            <w:proofErr w:type="spellStart"/>
            <w:r w:rsidRPr="00014D00">
              <w:rPr>
                <w:rFonts w:ascii="Times New Roman" w:hAnsi="Times New Roman" w:cs="Times New Roman"/>
                <w:bCs/>
                <w:sz w:val="20"/>
                <w:szCs w:val="20"/>
                <w:lang w:val="sq-AL"/>
              </w:rPr>
              <w:t>parauniversitar</w:t>
            </w:r>
            <w:proofErr w:type="spellEnd"/>
            <w:r w:rsidRPr="00014D00">
              <w:rPr>
                <w:rFonts w:ascii="Times New Roman" w:hAnsi="Times New Roman" w:cs="Times New Roman"/>
                <w:bCs/>
                <w:sz w:val="20"/>
                <w:szCs w:val="20"/>
                <w:lang w:val="sq-AL"/>
              </w:rPr>
              <w:t>, për të krijuar një terren më të fortë për novatorët e ardhshëm. Teknologjia duhet të jetë qendrore për çdo zgjidhje në arsim, së bashku me zgjerimin e infrastrukturës me brez të gjerë.</w:t>
            </w:r>
          </w:p>
        </w:tc>
        <w:tc>
          <w:tcPr>
            <w:tcW w:w="1463" w:type="dxa"/>
            <w:shd w:val="clear" w:color="auto" w:fill="DEEAF6" w:themeFill="accent1" w:themeFillTint="33"/>
          </w:tcPr>
          <w:p w:rsidR="00664C2E" w:rsidRPr="00014D00" w:rsidRDefault="00221A6C" w:rsidP="00D05FE8">
            <w:pPr>
              <w:pStyle w:val="NoSpacing"/>
              <w:spacing w:line="276" w:lineRule="auto"/>
            </w:pPr>
            <w:r w:rsidRPr="00014D00">
              <w:t>Ambasada Britanike</w:t>
            </w:r>
          </w:p>
        </w:tc>
        <w:tc>
          <w:tcPr>
            <w:tcW w:w="1350" w:type="dxa"/>
            <w:shd w:val="clear" w:color="auto" w:fill="DEEAF6" w:themeFill="accent1" w:themeFillTint="33"/>
          </w:tcPr>
          <w:p w:rsidR="00664C2E" w:rsidRPr="00014D00" w:rsidRDefault="00664C2E" w:rsidP="00D05FE8">
            <w:pPr>
              <w:rPr>
                <w:rFonts w:ascii="Times New Roman" w:hAnsi="Times New Roman" w:cs="Times New Roman"/>
                <w:bCs/>
                <w:sz w:val="20"/>
                <w:szCs w:val="20"/>
                <w:lang w:val="sq-AL"/>
              </w:rPr>
            </w:pPr>
          </w:p>
        </w:tc>
        <w:tc>
          <w:tcPr>
            <w:tcW w:w="6434" w:type="dxa"/>
            <w:shd w:val="clear" w:color="auto" w:fill="DEEAF6" w:themeFill="accent1" w:themeFillTint="33"/>
          </w:tcPr>
          <w:p w:rsidR="009D4748" w:rsidRPr="00014D00" w:rsidRDefault="00CB7787" w:rsidP="00D05FE8">
            <w:pPr>
              <w:jc w:val="both"/>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Fusha e </w:t>
            </w:r>
            <w:r w:rsidR="009D4748" w:rsidRPr="00014D00">
              <w:rPr>
                <w:rFonts w:ascii="Times New Roman" w:hAnsi="Times New Roman" w:cs="Times New Roman"/>
                <w:bCs/>
                <w:sz w:val="20"/>
                <w:szCs w:val="20"/>
                <w:lang w:val="sq-AL"/>
              </w:rPr>
              <w:t>Inovacioni</w:t>
            </w:r>
            <w:r w:rsidRPr="00014D00">
              <w:rPr>
                <w:rFonts w:ascii="Times New Roman" w:hAnsi="Times New Roman" w:cs="Times New Roman"/>
                <w:bCs/>
                <w:sz w:val="20"/>
                <w:szCs w:val="20"/>
                <w:lang w:val="sq-AL"/>
              </w:rPr>
              <w:t xml:space="preserve">t do të jetë më e rregulluar me themelimin e Ministrisë së Inovacionit dhe </w:t>
            </w:r>
            <w:proofErr w:type="spellStart"/>
            <w:r w:rsidRPr="00014D00">
              <w:rPr>
                <w:rFonts w:ascii="Times New Roman" w:hAnsi="Times New Roman" w:cs="Times New Roman"/>
                <w:bCs/>
                <w:sz w:val="20"/>
                <w:szCs w:val="20"/>
                <w:lang w:val="sq-AL"/>
              </w:rPr>
              <w:t>Ndërmarrësisë</w:t>
            </w:r>
            <w:proofErr w:type="spellEnd"/>
            <w:r w:rsidRPr="00014D00">
              <w:rPr>
                <w:rFonts w:ascii="Times New Roman" w:hAnsi="Times New Roman" w:cs="Times New Roman"/>
                <w:bCs/>
                <w:sz w:val="20"/>
                <w:szCs w:val="20"/>
                <w:lang w:val="sq-AL"/>
              </w:rPr>
              <w:t xml:space="preserve"> dhe komenti për ndërlidhje të Inovacionit me edukimin </w:t>
            </w:r>
            <w:proofErr w:type="spellStart"/>
            <w:r w:rsidRPr="00014D00">
              <w:rPr>
                <w:rFonts w:ascii="Times New Roman" w:hAnsi="Times New Roman" w:cs="Times New Roman"/>
                <w:bCs/>
                <w:sz w:val="20"/>
                <w:szCs w:val="20"/>
                <w:lang w:val="sq-AL"/>
              </w:rPr>
              <w:t>parauniversitardo</w:t>
            </w:r>
            <w:proofErr w:type="spellEnd"/>
            <w:r w:rsidRPr="00014D00">
              <w:rPr>
                <w:rFonts w:ascii="Times New Roman" w:hAnsi="Times New Roman" w:cs="Times New Roman"/>
                <w:bCs/>
                <w:sz w:val="20"/>
                <w:szCs w:val="20"/>
                <w:lang w:val="sq-AL"/>
              </w:rPr>
              <w:t xml:space="preserve"> të adresohet në Strategjinë për Inovacion e cila do të hartohet këtë vit.  </w:t>
            </w:r>
            <w:r w:rsidR="009D4748" w:rsidRPr="00014D00">
              <w:rPr>
                <w:rFonts w:ascii="Times New Roman" w:hAnsi="Times New Roman" w:cs="Times New Roman"/>
                <w:bCs/>
                <w:sz w:val="20"/>
                <w:szCs w:val="20"/>
                <w:lang w:val="sq-AL"/>
              </w:rPr>
              <w:t xml:space="preserve"> </w:t>
            </w:r>
          </w:p>
        </w:tc>
      </w:tr>
      <w:tr w:rsidR="00664C2E" w:rsidRPr="00014D00" w:rsidTr="007C794E">
        <w:trPr>
          <w:trHeight w:val="1025"/>
        </w:trPr>
        <w:tc>
          <w:tcPr>
            <w:tcW w:w="1350" w:type="dxa"/>
            <w:shd w:val="clear" w:color="auto" w:fill="DEEAF6" w:themeFill="accent1" w:themeFillTint="33"/>
          </w:tcPr>
          <w:p w:rsidR="00664C2E" w:rsidRPr="00014D00" w:rsidRDefault="008F144D" w:rsidP="00221A6C">
            <w:pPr>
              <w:rPr>
                <w:rFonts w:ascii="Times New Roman" w:hAnsi="Times New Roman" w:cs="Times New Roman"/>
                <w:sz w:val="20"/>
                <w:szCs w:val="20"/>
                <w:lang w:val="sq-AL"/>
              </w:rPr>
            </w:pPr>
            <w:r w:rsidRPr="00014D00">
              <w:rPr>
                <w:rFonts w:ascii="Times New Roman" w:hAnsi="Times New Roman" w:cs="Times New Roman"/>
                <w:sz w:val="20"/>
                <w:szCs w:val="20"/>
                <w:lang w:val="sq-AL"/>
              </w:rPr>
              <w:lastRenderedPageBreak/>
              <w:t>Faqe 8</w:t>
            </w:r>
          </w:p>
        </w:tc>
        <w:tc>
          <w:tcPr>
            <w:tcW w:w="4163" w:type="dxa"/>
            <w:shd w:val="clear" w:color="auto" w:fill="DEEAF6" w:themeFill="accent1" w:themeFillTint="33"/>
          </w:tcPr>
          <w:p w:rsidR="008F144D" w:rsidRPr="00014D00" w:rsidRDefault="00E621EA" w:rsidP="008F144D">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w:t>
            </w:r>
            <w:r w:rsidRPr="00014D00">
              <w:rPr>
                <w:rFonts w:ascii="Times New Roman" w:hAnsi="Times New Roman" w:cs="Times New Roman"/>
                <w:bCs/>
                <w:sz w:val="20"/>
                <w:szCs w:val="20"/>
                <w:lang w:val="sq-AL"/>
              </w:rPr>
              <w:tab/>
            </w:r>
            <w:r w:rsidR="008F144D" w:rsidRPr="00014D00">
              <w:rPr>
                <w:rFonts w:ascii="Times New Roman" w:hAnsi="Times New Roman" w:cs="Times New Roman"/>
                <w:bCs/>
                <w:sz w:val="20"/>
                <w:szCs w:val="20"/>
                <w:lang w:val="sq-AL"/>
              </w:rPr>
              <w:t xml:space="preserve">Situata aktuale: [...] "Megjithatë, nuk është kryer asnjë kontroll i cilësisë për të vlerësuar efektivitetin e funksionit të </w:t>
            </w:r>
            <w:proofErr w:type="spellStart"/>
            <w:r w:rsidR="008F144D" w:rsidRPr="00014D00">
              <w:rPr>
                <w:rFonts w:ascii="Times New Roman" w:hAnsi="Times New Roman" w:cs="Times New Roman"/>
                <w:bCs/>
                <w:sz w:val="20"/>
                <w:szCs w:val="20"/>
                <w:lang w:val="sq-AL"/>
              </w:rPr>
              <w:t>auditimit</w:t>
            </w:r>
            <w:proofErr w:type="spellEnd"/>
            <w:r w:rsidR="008F144D" w:rsidRPr="00014D00">
              <w:rPr>
                <w:rFonts w:ascii="Times New Roman" w:hAnsi="Times New Roman" w:cs="Times New Roman"/>
                <w:bCs/>
                <w:sz w:val="20"/>
                <w:szCs w:val="20"/>
                <w:lang w:val="sq-AL"/>
              </w:rPr>
              <w:t xml:space="preserve"> të jashtëm, megjithëse një vlerësim i lehtë i ADR është kryer nga Zyra Kombëtare Suedeze e </w:t>
            </w:r>
            <w:proofErr w:type="spellStart"/>
            <w:r w:rsidR="008F144D" w:rsidRPr="00014D00">
              <w:rPr>
                <w:rFonts w:ascii="Times New Roman" w:hAnsi="Times New Roman" w:cs="Times New Roman"/>
                <w:bCs/>
                <w:sz w:val="20"/>
                <w:szCs w:val="20"/>
                <w:lang w:val="sq-AL"/>
              </w:rPr>
              <w:t>Auditimit</w:t>
            </w:r>
            <w:proofErr w:type="spellEnd"/>
            <w:r w:rsidR="008F144D" w:rsidRPr="00014D00">
              <w:rPr>
                <w:rFonts w:ascii="Times New Roman" w:hAnsi="Times New Roman" w:cs="Times New Roman"/>
                <w:bCs/>
                <w:sz w:val="20"/>
                <w:szCs w:val="20"/>
                <w:lang w:val="sq-AL"/>
              </w:rPr>
              <w:t xml:space="preserve"> në gjysmën e parë të vitit 2017. Parlamenti përdor raporti vjetor i ZAK për mbikëqyrjen e ekzekutivit; megjithatë niveli i zbatimit të rekomandimeve mbetet i ulët ".</w:t>
            </w:r>
          </w:p>
          <w:p w:rsidR="008F144D" w:rsidRPr="00014D00" w:rsidRDefault="008F144D" w:rsidP="008F144D">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Mund të shtohet: Nuk ekziston një instrument adekuat që siguron që rekomandimi i NAO-së të ndiqet. Për më tepër, Komisioni i Parlamentit për Mbikëqyrjen e Financave Publike (KSHPK), i cili shqyrton raportet e ZKA-së, ka pak ndikim në procesin e buxhetit pasi që kjo funksionon me Komitetin e Buxhetit dhe Financave (BFC) dhe bashkëpunimi mes këtyre dy komiteteve ka nevojë për përmirësim .</w:t>
            </w:r>
          </w:p>
          <w:p w:rsidR="00664C2E" w:rsidRPr="00014D00" w:rsidRDefault="008F144D" w:rsidP="008F144D">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ADR - Shpjegimi për shkurtesën mungon.</w:t>
            </w:r>
          </w:p>
          <w:p w:rsidR="008F144D" w:rsidRPr="00014D00" w:rsidRDefault="008F144D" w:rsidP="008F144D">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"Pengesat strukturale: Bazuar në analizën e mësipërme, pengesat kryesore strukturore në menaxhimin e financave publike mbeten kryesisht në fushën e prokurimit publik. Këto pengesa kanë të bëjnë me: rritjen e efikasitetit, integritetit, llogaridhënies, kontrollit mbi zbatimin e politikave dhe legjislacionit të prokurimit publik, zhvillimin e kuadrove profesional në prokurimin publik, veçanërisht zbatimin e prokurimit elektronik, rritjen e transparencës dhe besimin e publikut në procedurat e prokurimit publik. Për më tepër, konsiderohet se ka mungesë të kapaciteteve të organeve të prokurimit publik përgjegjës, i cili pengon efikasitetin dhe transparencën ".</w:t>
            </w:r>
          </w:p>
          <w:p w:rsidR="008F144D" w:rsidRPr="00014D00" w:rsidRDefault="008F144D" w:rsidP="008F144D">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lastRenderedPageBreak/>
              <w:t> Forcimi i kontrollit të brendshëm dhe të jashtëm në fushën e prokurimit publik duhet gjithashtu të trajtohet si prioritet.</w:t>
            </w:r>
          </w:p>
        </w:tc>
        <w:tc>
          <w:tcPr>
            <w:tcW w:w="1463" w:type="dxa"/>
            <w:shd w:val="clear" w:color="auto" w:fill="DEEAF6" w:themeFill="accent1" w:themeFillTint="33"/>
          </w:tcPr>
          <w:p w:rsidR="00664C2E" w:rsidRPr="00014D00" w:rsidRDefault="00221A6C" w:rsidP="00D05FE8">
            <w:pPr>
              <w:pStyle w:val="NoSpacing"/>
              <w:spacing w:line="276" w:lineRule="auto"/>
            </w:pPr>
            <w:r w:rsidRPr="00014D00">
              <w:lastRenderedPageBreak/>
              <w:t xml:space="preserve">Ambasada </w:t>
            </w:r>
            <w:r w:rsidR="003841D9" w:rsidRPr="00014D00">
              <w:t>Britanike</w:t>
            </w:r>
          </w:p>
        </w:tc>
        <w:tc>
          <w:tcPr>
            <w:tcW w:w="1350" w:type="dxa"/>
            <w:shd w:val="clear" w:color="auto" w:fill="DEEAF6" w:themeFill="accent1" w:themeFillTint="33"/>
          </w:tcPr>
          <w:p w:rsidR="00664C2E" w:rsidRPr="00014D00" w:rsidRDefault="00664C2E" w:rsidP="00D05FE8">
            <w:pPr>
              <w:rPr>
                <w:rFonts w:ascii="Times New Roman" w:hAnsi="Times New Roman" w:cs="Times New Roman"/>
                <w:bCs/>
                <w:sz w:val="20"/>
                <w:szCs w:val="20"/>
                <w:lang w:val="sq-AL"/>
              </w:rPr>
            </w:pPr>
          </w:p>
        </w:tc>
        <w:tc>
          <w:tcPr>
            <w:tcW w:w="6434" w:type="dxa"/>
            <w:shd w:val="clear" w:color="auto" w:fill="DEEAF6" w:themeFill="accent1" w:themeFillTint="33"/>
          </w:tcPr>
          <w:p w:rsidR="004468DE" w:rsidRPr="00014D00" w:rsidRDefault="004468DE" w:rsidP="00D05FE8">
            <w:pPr>
              <w:jc w:val="both"/>
              <w:rPr>
                <w:rFonts w:ascii="Times New Roman" w:hAnsi="Times New Roman" w:cs="Times New Roman"/>
                <w:bCs/>
                <w:sz w:val="20"/>
                <w:szCs w:val="20"/>
                <w:lang w:val="sq-AL"/>
              </w:rPr>
            </w:pPr>
          </w:p>
          <w:p w:rsidR="004468DE" w:rsidRPr="00014D00" w:rsidRDefault="004468DE" w:rsidP="00D05FE8">
            <w:pPr>
              <w:jc w:val="both"/>
              <w:rPr>
                <w:rFonts w:ascii="Times New Roman" w:hAnsi="Times New Roman" w:cs="Times New Roman"/>
                <w:bCs/>
                <w:sz w:val="20"/>
                <w:szCs w:val="20"/>
                <w:lang w:val="sq-AL"/>
              </w:rPr>
            </w:pPr>
            <w:r w:rsidRPr="00014D00">
              <w:rPr>
                <w:rFonts w:ascii="Times New Roman" w:hAnsi="Times New Roman" w:cs="Times New Roman"/>
                <w:bCs/>
                <w:sz w:val="20"/>
                <w:szCs w:val="20"/>
                <w:lang w:val="sq-AL"/>
              </w:rPr>
              <w:t>Është adresuar në draftin final të PRE.</w:t>
            </w:r>
          </w:p>
        </w:tc>
      </w:tr>
      <w:tr w:rsidR="0065590A" w:rsidRPr="00014D00" w:rsidTr="007C794E">
        <w:trPr>
          <w:trHeight w:val="1025"/>
        </w:trPr>
        <w:tc>
          <w:tcPr>
            <w:tcW w:w="1350" w:type="dxa"/>
            <w:shd w:val="clear" w:color="auto" w:fill="DEEAF6" w:themeFill="accent1" w:themeFillTint="33"/>
          </w:tcPr>
          <w:p w:rsidR="0065590A" w:rsidRPr="00014D00" w:rsidRDefault="00456D79" w:rsidP="002446D5">
            <w:pPr>
              <w:rPr>
                <w:rFonts w:ascii="Times New Roman" w:hAnsi="Times New Roman" w:cs="Times New Roman"/>
                <w:sz w:val="20"/>
                <w:szCs w:val="20"/>
                <w:lang w:val="sq-AL"/>
              </w:rPr>
            </w:pPr>
            <w:r w:rsidRPr="00014D00">
              <w:rPr>
                <w:rFonts w:ascii="Times New Roman" w:hAnsi="Times New Roman" w:cs="Times New Roman"/>
                <w:sz w:val="20"/>
                <w:szCs w:val="20"/>
                <w:lang w:val="sq-AL"/>
              </w:rPr>
              <w:lastRenderedPageBreak/>
              <w:t>4.3.1 Menaxhimi i financave publike (MFP)</w:t>
            </w:r>
          </w:p>
          <w:p w:rsidR="002446D5" w:rsidRPr="00014D00" w:rsidRDefault="002446D5" w:rsidP="002446D5">
            <w:pPr>
              <w:rPr>
                <w:rFonts w:ascii="Times New Roman" w:hAnsi="Times New Roman" w:cs="Times New Roman"/>
                <w:b/>
                <w:sz w:val="20"/>
                <w:szCs w:val="20"/>
                <w:lang w:val="sq-AL"/>
              </w:rPr>
            </w:pPr>
          </w:p>
        </w:tc>
        <w:tc>
          <w:tcPr>
            <w:tcW w:w="4163" w:type="dxa"/>
            <w:shd w:val="clear" w:color="auto" w:fill="DEEAF6" w:themeFill="accent1" w:themeFillTint="33"/>
          </w:tcPr>
          <w:p w:rsidR="002446D5" w:rsidRPr="00014D00" w:rsidRDefault="00FF7160" w:rsidP="002446D5">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Faqe</w:t>
            </w:r>
            <w:r w:rsidR="002446D5" w:rsidRPr="00014D00">
              <w:rPr>
                <w:rFonts w:ascii="Times New Roman" w:hAnsi="Times New Roman" w:cs="Times New Roman"/>
                <w:bCs/>
                <w:sz w:val="20"/>
                <w:szCs w:val="20"/>
                <w:lang w:val="sq-AL"/>
              </w:rPr>
              <w:t xml:space="preserve"> 12 - 2017</w:t>
            </w:r>
          </w:p>
          <w:p w:rsidR="002446D5" w:rsidRPr="00014D00" w:rsidRDefault="002446D5" w:rsidP="002446D5">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 </w:t>
            </w:r>
            <w:proofErr w:type="spellStart"/>
            <w:r w:rsidRPr="00014D00">
              <w:rPr>
                <w:rFonts w:ascii="Times New Roman" w:hAnsi="Times New Roman" w:cs="Times New Roman"/>
                <w:bCs/>
                <w:sz w:val="20"/>
                <w:szCs w:val="20"/>
                <w:lang w:val="sq-AL"/>
              </w:rPr>
              <w:t>TeR</w:t>
            </w:r>
            <w:proofErr w:type="spellEnd"/>
            <w:r w:rsidRPr="00014D00">
              <w:rPr>
                <w:rFonts w:ascii="Times New Roman" w:hAnsi="Times New Roman" w:cs="Times New Roman"/>
                <w:bCs/>
                <w:sz w:val="20"/>
                <w:szCs w:val="20"/>
                <w:lang w:val="sq-AL"/>
              </w:rPr>
              <w:t xml:space="preserve">-të për ndërtimin e Sistemeve të Ngrohjes Qendrore për komunat Drenas, Kastriot, Prizren, Ferizaj, Gjilan, Mitrovicë dhe </w:t>
            </w:r>
            <w:proofErr w:type="spellStart"/>
            <w:r w:rsidRPr="00014D00">
              <w:rPr>
                <w:rFonts w:ascii="Times New Roman" w:hAnsi="Times New Roman" w:cs="Times New Roman"/>
                <w:bCs/>
                <w:sz w:val="20"/>
                <w:szCs w:val="20"/>
                <w:lang w:val="sq-AL"/>
              </w:rPr>
              <w:t>Zveçan</w:t>
            </w:r>
            <w:proofErr w:type="spellEnd"/>
            <w:r w:rsidRPr="00014D00">
              <w:rPr>
                <w:rFonts w:ascii="Times New Roman" w:hAnsi="Times New Roman" w:cs="Times New Roman"/>
                <w:bCs/>
                <w:sz w:val="20"/>
                <w:szCs w:val="20"/>
                <w:lang w:val="sq-AL"/>
              </w:rPr>
              <w:t>.</w:t>
            </w:r>
          </w:p>
          <w:p w:rsidR="002446D5" w:rsidRPr="00014D00" w:rsidRDefault="002446D5" w:rsidP="002446D5">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 Është përgatitur koncepti për zhvillimin e mëtejmë të Agjencisë Kosovare të </w:t>
            </w:r>
            <w:proofErr w:type="spellStart"/>
            <w:r w:rsidRPr="00014D00">
              <w:rPr>
                <w:rFonts w:ascii="Times New Roman" w:hAnsi="Times New Roman" w:cs="Times New Roman"/>
                <w:bCs/>
                <w:sz w:val="20"/>
                <w:szCs w:val="20"/>
                <w:lang w:val="sq-AL"/>
              </w:rPr>
              <w:t>Efiçiencës</w:t>
            </w:r>
            <w:proofErr w:type="spellEnd"/>
            <w:r w:rsidRPr="00014D00">
              <w:rPr>
                <w:rFonts w:ascii="Times New Roman" w:hAnsi="Times New Roman" w:cs="Times New Roman"/>
                <w:bCs/>
                <w:sz w:val="20"/>
                <w:szCs w:val="20"/>
                <w:lang w:val="sq-AL"/>
              </w:rPr>
              <w:t xml:space="preserve"> së Energjisë.</w:t>
            </w:r>
          </w:p>
          <w:p w:rsidR="002446D5" w:rsidRPr="00014D00" w:rsidRDefault="002446D5" w:rsidP="002446D5">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 </w:t>
            </w:r>
            <w:proofErr w:type="spellStart"/>
            <w:r w:rsidRPr="00014D00">
              <w:rPr>
                <w:rFonts w:ascii="Times New Roman" w:hAnsi="Times New Roman" w:cs="Times New Roman"/>
                <w:bCs/>
                <w:sz w:val="20"/>
                <w:szCs w:val="20"/>
                <w:lang w:val="sq-AL"/>
              </w:rPr>
              <w:t>TeR</w:t>
            </w:r>
            <w:proofErr w:type="spellEnd"/>
            <w:r w:rsidRPr="00014D00">
              <w:rPr>
                <w:rFonts w:ascii="Times New Roman" w:hAnsi="Times New Roman" w:cs="Times New Roman"/>
                <w:bCs/>
                <w:sz w:val="20"/>
                <w:szCs w:val="20"/>
                <w:lang w:val="sq-AL"/>
              </w:rPr>
              <w:t xml:space="preserve"> për Studimin Gjithëpërfshirës për Sektorin e Energjisë në Kosovë.</w:t>
            </w:r>
          </w:p>
          <w:p w:rsidR="002446D5" w:rsidRPr="00014D00" w:rsidRDefault="002446D5" w:rsidP="002446D5">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 Koncepti për zhvillimin e sistemit të qëndrueshëm për trajnimin dhe </w:t>
            </w:r>
            <w:proofErr w:type="spellStart"/>
            <w:r w:rsidRPr="00014D00">
              <w:rPr>
                <w:rFonts w:ascii="Times New Roman" w:hAnsi="Times New Roman" w:cs="Times New Roman"/>
                <w:bCs/>
                <w:sz w:val="20"/>
                <w:szCs w:val="20"/>
                <w:lang w:val="sq-AL"/>
              </w:rPr>
              <w:t>çertifikimin</w:t>
            </w:r>
            <w:proofErr w:type="spellEnd"/>
            <w:r w:rsidRPr="00014D00">
              <w:rPr>
                <w:rFonts w:ascii="Times New Roman" w:hAnsi="Times New Roman" w:cs="Times New Roman"/>
                <w:bCs/>
                <w:sz w:val="20"/>
                <w:szCs w:val="20"/>
                <w:lang w:val="sq-AL"/>
              </w:rPr>
              <w:t xml:space="preserve"> e auditorëve të energjisë.</w:t>
            </w:r>
          </w:p>
          <w:p w:rsidR="002446D5" w:rsidRPr="00014D00" w:rsidRDefault="00FF7160" w:rsidP="002446D5">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Faqe</w:t>
            </w:r>
            <w:r w:rsidR="002446D5" w:rsidRPr="00014D00">
              <w:rPr>
                <w:rFonts w:ascii="Times New Roman" w:hAnsi="Times New Roman" w:cs="Times New Roman"/>
                <w:bCs/>
                <w:sz w:val="20"/>
                <w:szCs w:val="20"/>
                <w:lang w:val="sq-AL"/>
              </w:rPr>
              <w:t xml:space="preserve"> 12 - aktivitetet e planifikuara në vitin 2018</w:t>
            </w:r>
          </w:p>
          <w:p w:rsidR="002446D5" w:rsidRPr="00014D00" w:rsidRDefault="002446D5" w:rsidP="002446D5">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Marrëveshje për Zhvillimin e AKEE</w:t>
            </w:r>
          </w:p>
          <w:p w:rsidR="002446D5" w:rsidRPr="00014D00" w:rsidRDefault="002446D5" w:rsidP="002446D5">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Krijimi i Skemës për trajnimin dhe certifikimin e Auditorëve të Energjisë në Kosovë, duke përfshirë kualifikimin e Ofruesve të Shërbimeve të Energjisë</w:t>
            </w:r>
          </w:p>
          <w:p w:rsidR="002446D5" w:rsidRPr="00014D00" w:rsidRDefault="002446D5" w:rsidP="002446D5">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Zhvillimi i Studimit Gjithëpërfshirës për Sektorin e Energjisë në Kosovë deri në vitin 2050.</w:t>
            </w:r>
          </w:p>
          <w:p w:rsidR="002446D5" w:rsidRPr="00014D00" w:rsidRDefault="00FF7160" w:rsidP="002446D5">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Faqe</w:t>
            </w:r>
            <w:r w:rsidR="002446D5" w:rsidRPr="00014D00">
              <w:rPr>
                <w:rFonts w:ascii="Times New Roman" w:hAnsi="Times New Roman" w:cs="Times New Roman"/>
                <w:bCs/>
                <w:sz w:val="20"/>
                <w:szCs w:val="20"/>
                <w:lang w:val="sq-AL"/>
              </w:rPr>
              <w:t xml:space="preserve"> 13 - aktivitetet e planifikuara në vitin 2018</w:t>
            </w:r>
          </w:p>
          <w:p w:rsidR="002446D5" w:rsidRPr="00014D00" w:rsidRDefault="002446D5" w:rsidP="002446D5">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Zhvillimi i Tipologjisë Kombëtare të Ndërtimit për Kosovën.</w:t>
            </w:r>
          </w:p>
          <w:p w:rsidR="002446D5" w:rsidRPr="00014D00" w:rsidRDefault="002446D5" w:rsidP="002446D5">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lastRenderedPageBreak/>
              <w:t>• Fillimi i dialogut të integruar politik dhe ekspert për EE në Kosovë.</w:t>
            </w:r>
          </w:p>
          <w:p w:rsidR="002446D5" w:rsidRPr="00014D00" w:rsidRDefault="002446D5" w:rsidP="002446D5">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 Studimi i </w:t>
            </w:r>
            <w:proofErr w:type="spellStart"/>
            <w:r w:rsidRPr="00014D00">
              <w:rPr>
                <w:rFonts w:ascii="Times New Roman" w:hAnsi="Times New Roman" w:cs="Times New Roman"/>
                <w:bCs/>
                <w:sz w:val="20"/>
                <w:szCs w:val="20"/>
                <w:lang w:val="sq-AL"/>
              </w:rPr>
              <w:t>Fizibilitetit</w:t>
            </w:r>
            <w:proofErr w:type="spellEnd"/>
            <w:r w:rsidRPr="00014D00">
              <w:rPr>
                <w:rFonts w:ascii="Times New Roman" w:hAnsi="Times New Roman" w:cs="Times New Roman"/>
                <w:bCs/>
                <w:sz w:val="20"/>
                <w:szCs w:val="20"/>
                <w:lang w:val="sq-AL"/>
              </w:rPr>
              <w:t xml:space="preserve"> mbi Rinovimin e Kampit të KFOR-it në Prizren, propozimi për themelimin e Agjencisë Rajonale të Energjisë</w:t>
            </w:r>
          </w:p>
          <w:p w:rsidR="002446D5" w:rsidRPr="00014D00" w:rsidRDefault="00FF7160" w:rsidP="002446D5">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Faqe</w:t>
            </w:r>
            <w:r w:rsidR="002446D5" w:rsidRPr="00014D00">
              <w:rPr>
                <w:rFonts w:ascii="Times New Roman" w:hAnsi="Times New Roman" w:cs="Times New Roman"/>
                <w:bCs/>
                <w:sz w:val="20"/>
                <w:szCs w:val="20"/>
                <w:lang w:val="sq-AL"/>
              </w:rPr>
              <w:t xml:space="preserve"> 13 - aktivitetet e planifikuara në vitin 2019</w:t>
            </w:r>
          </w:p>
          <w:p w:rsidR="002446D5" w:rsidRPr="00014D00" w:rsidRDefault="002446D5" w:rsidP="002446D5">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Vazhdimi i dialogut të integruar politik dhe ekspert për EE në Kosovë.</w:t>
            </w:r>
          </w:p>
          <w:p w:rsidR="002446D5" w:rsidRPr="00014D00" w:rsidRDefault="002446D5" w:rsidP="002446D5">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Vazhdimi i dialogut të integruar politik dhe ekspert për EE në Kosovë</w:t>
            </w:r>
          </w:p>
          <w:p w:rsidR="002446D5" w:rsidRPr="00014D00" w:rsidRDefault="002446D5" w:rsidP="002446D5">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Kualifikimi i Ofruesve të Shërbimeve të Energjisë - vazhdimi</w:t>
            </w:r>
          </w:p>
          <w:p w:rsidR="002446D5" w:rsidRPr="00014D00" w:rsidRDefault="00FF7160" w:rsidP="002446D5">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Faqe</w:t>
            </w:r>
            <w:r w:rsidR="002446D5" w:rsidRPr="00014D00">
              <w:rPr>
                <w:rFonts w:ascii="Times New Roman" w:hAnsi="Times New Roman" w:cs="Times New Roman"/>
                <w:bCs/>
                <w:sz w:val="20"/>
                <w:szCs w:val="20"/>
                <w:lang w:val="sq-AL"/>
              </w:rPr>
              <w:t xml:space="preserve"> 14 - Rreziqet e mundshme</w:t>
            </w:r>
          </w:p>
          <w:p w:rsidR="0065590A" w:rsidRPr="00014D00" w:rsidRDefault="002446D5" w:rsidP="007C794E">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 Vonesa në zhvillimin e mëtejmë të Agjencisë Kosovare të </w:t>
            </w:r>
            <w:proofErr w:type="spellStart"/>
            <w:r w:rsidRPr="00014D00">
              <w:rPr>
                <w:rFonts w:ascii="Times New Roman" w:hAnsi="Times New Roman" w:cs="Times New Roman"/>
                <w:bCs/>
                <w:sz w:val="20"/>
                <w:szCs w:val="20"/>
                <w:lang w:val="sq-AL"/>
              </w:rPr>
              <w:t>Efiçiencës</w:t>
            </w:r>
            <w:proofErr w:type="spellEnd"/>
            <w:r w:rsidRPr="00014D00">
              <w:rPr>
                <w:rFonts w:ascii="Times New Roman" w:hAnsi="Times New Roman" w:cs="Times New Roman"/>
                <w:bCs/>
                <w:sz w:val="20"/>
                <w:szCs w:val="20"/>
                <w:lang w:val="sq-AL"/>
              </w:rPr>
              <w:t xml:space="preserve"> së Energjisë është gjithashtu një rrezik potencial për përmirësimin e sektorit të EE në Kosovë</w:t>
            </w:r>
            <w:r w:rsidR="00E621EA" w:rsidRPr="00014D00">
              <w:rPr>
                <w:rFonts w:ascii="Times New Roman" w:hAnsi="Times New Roman" w:cs="Times New Roman"/>
                <w:bCs/>
                <w:sz w:val="20"/>
                <w:szCs w:val="20"/>
                <w:lang w:val="sq-AL"/>
              </w:rPr>
              <w:t>.</w:t>
            </w:r>
          </w:p>
        </w:tc>
        <w:tc>
          <w:tcPr>
            <w:tcW w:w="1463" w:type="dxa"/>
            <w:shd w:val="clear" w:color="auto" w:fill="DEEAF6" w:themeFill="accent1" w:themeFillTint="33"/>
          </w:tcPr>
          <w:p w:rsidR="0065590A" w:rsidRPr="00014D00" w:rsidRDefault="00397E3A" w:rsidP="00D05FE8">
            <w:pPr>
              <w:pStyle w:val="NoSpacing"/>
              <w:spacing w:line="276" w:lineRule="auto"/>
            </w:pPr>
            <w:r w:rsidRPr="00014D00">
              <w:lastRenderedPageBreak/>
              <w:t>Ambasada Gjermane</w:t>
            </w:r>
          </w:p>
        </w:tc>
        <w:tc>
          <w:tcPr>
            <w:tcW w:w="1350" w:type="dxa"/>
            <w:shd w:val="clear" w:color="auto" w:fill="DEEAF6" w:themeFill="accent1" w:themeFillTint="33"/>
          </w:tcPr>
          <w:p w:rsidR="0065590A" w:rsidRPr="00014D00" w:rsidRDefault="0065590A" w:rsidP="00D05FE8">
            <w:pPr>
              <w:rPr>
                <w:rFonts w:ascii="Times New Roman" w:hAnsi="Times New Roman" w:cs="Times New Roman"/>
                <w:bCs/>
                <w:sz w:val="20"/>
                <w:szCs w:val="20"/>
                <w:lang w:val="sq-AL"/>
              </w:rPr>
            </w:pPr>
          </w:p>
        </w:tc>
        <w:tc>
          <w:tcPr>
            <w:tcW w:w="6434" w:type="dxa"/>
            <w:shd w:val="clear" w:color="auto" w:fill="DEEAF6" w:themeFill="accent1" w:themeFillTint="33"/>
          </w:tcPr>
          <w:p w:rsidR="0065590A" w:rsidRPr="00014D00" w:rsidRDefault="0065590A" w:rsidP="00D05FE8">
            <w:pPr>
              <w:jc w:val="both"/>
              <w:rPr>
                <w:rFonts w:ascii="Times New Roman" w:hAnsi="Times New Roman" w:cs="Times New Roman"/>
                <w:bCs/>
                <w:sz w:val="20"/>
                <w:szCs w:val="20"/>
                <w:lang w:val="sq-AL"/>
              </w:rPr>
            </w:pPr>
          </w:p>
          <w:p w:rsidR="00B34D88" w:rsidRPr="00014D00" w:rsidRDefault="00B34D88" w:rsidP="003841D9">
            <w:pPr>
              <w:jc w:val="both"/>
              <w:rPr>
                <w:rFonts w:ascii="Times New Roman" w:hAnsi="Times New Roman" w:cs="Times New Roman"/>
                <w:bCs/>
                <w:sz w:val="20"/>
                <w:szCs w:val="20"/>
                <w:lang w:val="sq-AL"/>
              </w:rPr>
            </w:pPr>
            <w:r w:rsidRPr="00014D00">
              <w:rPr>
                <w:rFonts w:ascii="Times New Roman" w:hAnsi="Times New Roman" w:cs="Times New Roman"/>
                <w:bCs/>
                <w:sz w:val="20"/>
                <w:szCs w:val="20"/>
                <w:lang w:val="sq-AL"/>
              </w:rPr>
              <w:t>Një numër i aktiviteteve tjera janë duke u zhvilluar por nuk janë të përfshira si pjesë  të masave të PRE. Komisioni Evropian ka paralajmëruar disa herë se PRE nuk duhet të hartohet sipas qasjes 'Pema e Krishtlindjeve'.</w:t>
            </w:r>
          </w:p>
          <w:p w:rsidR="00B34D88" w:rsidRPr="00014D00" w:rsidRDefault="00B34D88" w:rsidP="00B34D88">
            <w:pPr>
              <w:jc w:val="both"/>
              <w:rPr>
                <w:rFonts w:ascii="Times New Roman" w:hAnsi="Times New Roman" w:cs="Times New Roman"/>
                <w:bCs/>
                <w:sz w:val="20"/>
                <w:szCs w:val="20"/>
                <w:lang w:val="sq-AL"/>
              </w:rPr>
            </w:pPr>
            <w:proofErr w:type="spellStart"/>
            <w:r w:rsidRPr="00014D00">
              <w:rPr>
                <w:rFonts w:ascii="Times New Roman" w:hAnsi="Times New Roman" w:cs="Times New Roman"/>
                <w:bCs/>
                <w:sz w:val="20"/>
                <w:szCs w:val="20"/>
                <w:lang w:val="sq-AL"/>
              </w:rPr>
              <w:t>Qështjet</w:t>
            </w:r>
            <w:proofErr w:type="spellEnd"/>
            <w:r w:rsidRPr="00014D00">
              <w:rPr>
                <w:rFonts w:ascii="Times New Roman" w:hAnsi="Times New Roman" w:cs="Times New Roman"/>
                <w:bCs/>
                <w:sz w:val="20"/>
                <w:szCs w:val="20"/>
                <w:lang w:val="sq-AL"/>
              </w:rPr>
              <w:t xml:space="preserve"> e AKEE do të adresohen përmes Ligjit për </w:t>
            </w:r>
            <w:proofErr w:type="spellStart"/>
            <w:r w:rsidRPr="00014D00">
              <w:rPr>
                <w:rFonts w:ascii="Times New Roman" w:hAnsi="Times New Roman" w:cs="Times New Roman"/>
                <w:bCs/>
                <w:sz w:val="20"/>
                <w:szCs w:val="20"/>
                <w:lang w:val="sq-AL"/>
              </w:rPr>
              <w:t>Eficiencë</w:t>
            </w:r>
            <w:proofErr w:type="spellEnd"/>
            <w:r w:rsidRPr="00014D00">
              <w:rPr>
                <w:rFonts w:ascii="Times New Roman" w:hAnsi="Times New Roman" w:cs="Times New Roman"/>
                <w:bCs/>
                <w:sz w:val="20"/>
                <w:szCs w:val="20"/>
                <w:lang w:val="sq-AL"/>
              </w:rPr>
              <w:t xml:space="preserve"> të Energjisë, i cili është pjesë e kësaj mase. </w:t>
            </w:r>
            <w:proofErr w:type="spellStart"/>
            <w:r w:rsidRPr="00014D00">
              <w:rPr>
                <w:rFonts w:ascii="Times New Roman" w:hAnsi="Times New Roman" w:cs="Times New Roman"/>
                <w:bCs/>
                <w:sz w:val="20"/>
                <w:szCs w:val="20"/>
                <w:lang w:val="sq-AL"/>
              </w:rPr>
              <w:t>Agjencioni</w:t>
            </w:r>
            <w:proofErr w:type="spellEnd"/>
            <w:r w:rsidRPr="00014D00">
              <w:rPr>
                <w:rFonts w:ascii="Times New Roman" w:hAnsi="Times New Roman" w:cs="Times New Roman"/>
                <w:bCs/>
                <w:sz w:val="20"/>
                <w:szCs w:val="20"/>
                <w:lang w:val="sq-AL"/>
              </w:rPr>
              <w:t xml:space="preserve"> ka miratuar </w:t>
            </w:r>
            <w:proofErr w:type="spellStart"/>
            <w:r w:rsidRPr="00014D00">
              <w:rPr>
                <w:rFonts w:ascii="Times New Roman" w:hAnsi="Times New Roman" w:cs="Times New Roman"/>
                <w:bCs/>
                <w:sz w:val="20"/>
                <w:szCs w:val="20"/>
                <w:lang w:val="sq-AL"/>
              </w:rPr>
              <w:t>organogramin</w:t>
            </w:r>
            <w:proofErr w:type="spellEnd"/>
            <w:r w:rsidRPr="00014D00">
              <w:rPr>
                <w:rFonts w:ascii="Times New Roman" w:hAnsi="Times New Roman" w:cs="Times New Roman"/>
                <w:bCs/>
                <w:sz w:val="20"/>
                <w:szCs w:val="20"/>
                <w:lang w:val="sq-AL"/>
              </w:rPr>
              <w:t xml:space="preserve"> e tij dhe është duke punuar në ngritjen dhe zhvillimin e </w:t>
            </w:r>
            <w:proofErr w:type="spellStart"/>
            <w:r w:rsidRPr="00014D00">
              <w:rPr>
                <w:rFonts w:ascii="Times New Roman" w:hAnsi="Times New Roman" w:cs="Times New Roman"/>
                <w:bCs/>
                <w:sz w:val="20"/>
                <w:szCs w:val="20"/>
                <w:lang w:val="sq-AL"/>
              </w:rPr>
              <w:t>kapaciteteteve</w:t>
            </w:r>
            <w:proofErr w:type="spellEnd"/>
            <w:r w:rsidRPr="00014D00">
              <w:rPr>
                <w:rFonts w:ascii="Times New Roman" w:hAnsi="Times New Roman" w:cs="Times New Roman"/>
                <w:bCs/>
                <w:sz w:val="20"/>
                <w:szCs w:val="20"/>
                <w:lang w:val="sq-AL"/>
              </w:rPr>
              <w:t>, ku parashihet të jetë një numër stafi prej 10 personave, ndërsa aktualisht janë 5 persona</w:t>
            </w:r>
            <w:r w:rsidR="00A936BF" w:rsidRPr="00014D00">
              <w:rPr>
                <w:rFonts w:ascii="Times New Roman" w:hAnsi="Times New Roman" w:cs="Times New Roman"/>
                <w:bCs/>
                <w:sz w:val="20"/>
                <w:szCs w:val="20"/>
                <w:lang w:val="sq-AL"/>
              </w:rPr>
              <w:t>.</w:t>
            </w:r>
            <w:r w:rsidRPr="00014D00">
              <w:rPr>
                <w:rFonts w:ascii="Times New Roman" w:hAnsi="Times New Roman" w:cs="Times New Roman"/>
                <w:bCs/>
                <w:sz w:val="20"/>
                <w:szCs w:val="20"/>
                <w:lang w:val="sq-AL"/>
              </w:rPr>
              <w:t xml:space="preserve"> </w:t>
            </w:r>
          </w:p>
        </w:tc>
      </w:tr>
      <w:tr w:rsidR="0065590A" w:rsidRPr="00014D00" w:rsidTr="007C794E">
        <w:trPr>
          <w:trHeight w:val="1025"/>
        </w:trPr>
        <w:tc>
          <w:tcPr>
            <w:tcW w:w="1350" w:type="dxa"/>
            <w:shd w:val="clear" w:color="auto" w:fill="DEEAF6" w:themeFill="accent1" w:themeFillTint="33"/>
          </w:tcPr>
          <w:p w:rsidR="0065590A" w:rsidRPr="00014D00" w:rsidRDefault="007C794E" w:rsidP="007C794E">
            <w:pPr>
              <w:rPr>
                <w:rFonts w:ascii="Times New Roman" w:hAnsi="Times New Roman" w:cs="Times New Roman"/>
                <w:sz w:val="20"/>
                <w:szCs w:val="20"/>
                <w:lang w:val="sq-AL"/>
              </w:rPr>
            </w:pPr>
            <w:r w:rsidRPr="00014D00">
              <w:rPr>
                <w:rFonts w:ascii="Times New Roman" w:hAnsi="Times New Roman" w:cs="Times New Roman"/>
                <w:sz w:val="20"/>
                <w:szCs w:val="20"/>
                <w:lang w:val="sq-AL"/>
              </w:rPr>
              <w:lastRenderedPageBreak/>
              <w:t>4.3.3 Zhvillimet sektoriale (Bujqësia, Industria dhe Shërbimet)</w:t>
            </w:r>
          </w:p>
          <w:p w:rsidR="007C794E" w:rsidRPr="00014D00" w:rsidRDefault="007C794E" w:rsidP="007C794E">
            <w:pPr>
              <w:rPr>
                <w:rFonts w:ascii="Times New Roman" w:hAnsi="Times New Roman" w:cs="Times New Roman"/>
                <w:sz w:val="20"/>
                <w:szCs w:val="20"/>
                <w:lang w:val="sq-AL"/>
              </w:rPr>
            </w:pPr>
            <w:r w:rsidRPr="00014D00">
              <w:rPr>
                <w:rFonts w:ascii="Times New Roman" w:hAnsi="Times New Roman" w:cs="Times New Roman"/>
                <w:sz w:val="20"/>
                <w:szCs w:val="20"/>
                <w:lang w:val="sq-AL"/>
              </w:rPr>
              <w:t xml:space="preserve">Masa 4 #: Investimet në infrastrukturën bujqësore dhe </w:t>
            </w:r>
            <w:proofErr w:type="spellStart"/>
            <w:r w:rsidRPr="00014D00">
              <w:rPr>
                <w:rFonts w:ascii="Times New Roman" w:hAnsi="Times New Roman" w:cs="Times New Roman"/>
                <w:sz w:val="20"/>
                <w:szCs w:val="20"/>
                <w:lang w:val="sq-AL"/>
              </w:rPr>
              <w:t>agropërpunimin</w:t>
            </w:r>
            <w:proofErr w:type="spellEnd"/>
          </w:p>
        </w:tc>
        <w:tc>
          <w:tcPr>
            <w:tcW w:w="4163" w:type="dxa"/>
            <w:shd w:val="clear" w:color="auto" w:fill="DEEAF6" w:themeFill="accent1" w:themeFillTint="33"/>
          </w:tcPr>
          <w:p w:rsidR="007C794E" w:rsidRPr="00014D00" w:rsidRDefault="007C794E" w:rsidP="007C794E">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Investimet në krijimin e organizatave të prodhuesve.</w:t>
            </w:r>
          </w:p>
          <w:p w:rsidR="007C794E" w:rsidRPr="00014D00" w:rsidRDefault="007C794E" w:rsidP="007C794E">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Është thelbësore që të rritet </w:t>
            </w:r>
            <w:proofErr w:type="spellStart"/>
            <w:r w:rsidRPr="00014D00">
              <w:rPr>
                <w:rFonts w:ascii="Times New Roman" w:hAnsi="Times New Roman" w:cs="Times New Roman"/>
                <w:bCs/>
                <w:sz w:val="20"/>
                <w:szCs w:val="20"/>
                <w:lang w:val="sq-AL"/>
              </w:rPr>
              <w:t>konkurueshmëria</w:t>
            </w:r>
            <w:proofErr w:type="spellEnd"/>
            <w:r w:rsidRPr="00014D00">
              <w:rPr>
                <w:rFonts w:ascii="Times New Roman" w:hAnsi="Times New Roman" w:cs="Times New Roman"/>
                <w:bCs/>
                <w:sz w:val="20"/>
                <w:szCs w:val="20"/>
                <w:lang w:val="sq-AL"/>
              </w:rPr>
              <w:t xml:space="preserve"> e tokës bujqësore të fragmentuar në Kosovë. Organizatat e prodhuesve janë lojtarë të rëndësishëm në zinxhirin e furnizimit me ushqime. Organizatat ndërkufitare sigurojnë një mjet për të lejuar dialogun ndërmjet aktorëve në zinxhirin e furnizimit dhe në promovimin e praktikave më të mira dhe transparencës së tregut. Organizatat prodhuese dhe organizatat ndërkufitare do të mbulojnë të gjithë sektorët e bujqësisë, siç është prodhimi intensiv i frutave </w:t>
            </w:r>
            <w:r w:rsidRPr="00014D00">
              <w:rPr>
                <w:rFonts w:ascii="Times New Roman" w:hAnsi="Times New Roman" w:cs="Times New Roman"/>
                <w:bCs/>
                <w:sz w:val="20"/>
                <w:szCs w:val="20"/>
                <w:lang w:val="sq-AL"/>
              </w:rPr>
              <w:lastRenderedPageBreak/>
              <w:t xml:space="preserve">dhe perimeve. Për më tepër, ato do të rrisin zhvillimin e </w:t>
            </w:r>
            <w:proofErr w:type="spellStart"/>
            <w:r w:rsidRPr="00014D00">
              <w:rPr>
                <w:rFonts w:ascii="Times New Roman" w:hAnsi="Times New Roman" w:cs="Times New Roman"/>
                <w:bCs/>
                <w:sz w:val="20"/>
                <w:szCs w:val="20"/>
                <w:lang w:val="sq-AL"/>
              </w:rPr>
              <w:t>nënsektorëve</w:t>
            </w:r>
            <w:proofErr w:type="spellEnd"/>
            <w:r w:rsidRPr="00014D00">
              <w:rPr>
                <w:rFonts w:ascii="Times New Roman" w:hAnsi="Times New Roman" w:cs="Times New Roman"/>
                <w:bCs/>
                <w:sz w:val="20"/>
                <w:szCs w:val="20"/>
                <w:lang w:val="sq-AL"/>
              </w:rPr>
              <w:t xml:space="preserve"> të lartpërmendur.</w:t>
            </w:r>
          </w:p>
          <w:p w:rsidR="007C794E" w:rsidRPr="00014D00" w:rsidRDefault="007C794E" w:rsidP="007C794E">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Investimet në përkrahjen e bashkëpunimit ndërmjet shoqatave të prodhuesve dhe organizatave ndërqeveritare. Kjo konsiderohet si një element thelbësor për zhvillimin e politikës bujqësore, veçanërisht në Kosovë me ndërmarrjet e vogla dhe strukturat bujqësore të fragmentuara.</w:t>
            </w:r>
          </w:p>
          <w:p w:rsidR="007C794E" w:rsidRPr="00014D00" w:rsidRDefault="007C794E" w:rsidP="007C794E">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Investime në krijimin e markave tregtare.</w:t>
            </w:r>
          </w:p>
          <w:p w:rsidR="007C794E" w:rsidRPr="00014D00" w:rsidRDefault="007C794E" w:rsidP="007C794E">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Investime në krijimin e markave tregtare - Politika e cilësisë, duke përfshirë mbrojtjen e treguesve gjeografikë, kjo do të fokusohet dhe mbulohet: prodhimet ushqimore, bujqësia organike dhe produktet bujqësore me potencial më të lartë.</w:t>
            </w:r>
          </w:p>
          <w:p w:rsidR="007C794E" w:rsidRPr="00014D00" w:rsidRDefault="007C794E" w:rsidP="007C794E">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Investimet në forcimin e marketingut për produktet e Kosovës në tregjet e brendshme dhe ndërkombëtare. Konsumatorët në Kosovë duhet të synojnë duke theksuar karakteristikat e mëposhtme:</w:t>
            </w:r>
          </w:p>
          <w:p w:rsidR="007C794E" w:rsidRPr="00014D00" w:rsidRDefault="007C794E" w:rsidP="007C794E">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o Produktet bujqësore të Kosovës të prodhuara në një natyrë të shëndetshme;</w:t>
            </w:r>
          </w:p>
          <w:p w:rsidR="007C794E" w:rsidRPr="00014D00" w:rsidRDefault="007C794E" w:rsidP="007C794E">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o Prodhimet e përpunuara ushqimore prodhohen nga lëndët e para lokale dhe përbërësit, si kontribut i vlerës së shtuar në vend</w:t>
            </w:r>
          </w:p>
          <w:p w:rsidR="007C794E" w:rsidRPr="00014D00" w:rsidRDefault="007C794E" w:rsidP="007C794E">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o Mjedisor miqësor;</w:t>
            </w:r>
          </w:p>
          <w:p w:rsidR="0065590A" w:rsidRPr="00014D00" w:rsidRDefault="007C794E" w:rsidP="007C794E">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o Rritja e krijimit të vendeve të punës në zonat rurale.</w:t>
            </w:r>
          </w:p>
        </w:tc>
        <w:tc>
          <w:tcPr>
            <w:tcW w:w="1463" w:type="dxa"/>
            <w:shd w:val="clear" w:color="auto" w:fill="DEEAF6" w:themeFill="accent1" w:themeFillTint="33"/>
          </w:tcPr>
          <w:p w:rsidR="0065590A" w:rsidRPr="00014D00" w:rsidRDefault="00397E3A" w:rsidP="00D05FE8">
            <w:pPr>
              <w:pStyle w:val="NoSpacing"/>
              <w:spacing w:line="276" w:lineRule="auto"/>
            </w:pPr>
            <w:r w:rsidRPr="00014D00">
              <w:lastRenderedPageBreak/>
              <w:t>Ambasada Gjermane</w:t>
            </w:r>
          </w:p>
        </w:tc>
        <w:tc>
          <w:tcPr>
            <w:tcW w:w="1350" w:type="dxa"/>
            <w:shd w:val="clear" w:color="auto" w:fill="DEEAF6" w:themeFill="accent1" w:themeFillTint="33"/>
          </w:tcPr>
          <w:p w:rsidR="0065590A" w:rsidRPr="00014D00" w:rsidRDefault="0065590A" w:rsidP="00D05FE8">
            <w:pPr>
              <w:rPr>
                <w:rFonts w:ascii="Times New Roman" w:hAnsi="Times New Roman" w:cs="Times New Roman"/>
                <w:bCs/>
                <w:sz w:val="20"/>
                <w:szCs w:val="20"/>
                <w:lang w:val="sq-AL"/>
              </w:rPr>
            </w:pPr>
          </w:p>
        </w:tc>
        <w:tc>
          <w:tcPr>
            <w:tcW w:w="6434" w:type="dxa"/>
            <w:shd w:val="clear" w:color="auto" w:fill="DEEAF6" w:themeFill="accent1" w:themeFillTint="33"/>
          </w:tcPr>
          <w:p w:rsidR="00A26358" w:rsidRPr="00014D00" w:rsidRDefault="00A26358" w:rsidP="00D05FE8">
            <w:pPr>
              <w:jc w:val="both"/>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Komentet iu janë komunikuar Ministrisë dhe varet nga ata sa do ti marrin parasysh këto </w:t>
            </w:r>
            <w:proofErr w:type="spellStart"/>
            <w:r w:rsidRPr="00014D00">
              <w:rPr>
                <w:rFonts w:ascii="Times New Roman" w:hAnsi="Times New Roman" w:cs="Times New Roman"/>
                <w:bCs/>
                <w:sz w:val="20"/>
                <w:szCs w:val="20"/>
                <w:lang w:val="sq-AL"/>
              </w:rPr>
              <w:t>sygjerime</w:t>
            </w:r>
            <w:proofErr w:type="spellEnd"/>
            <w:r w:rsidRPr="00014D00">
              <w:rPr>
                <w:rFonts w:ascii="Times New Roman" w:hAnsi="Times New Roman" w:cs="Times New Roman"/>
                <w:bCs/>
                <w:sz w:val="20"/>
                <w:szCs w:val="20"/>
                <w:lang w:val="sq-AL"/>
              </w:rPr>
              <w:t>.</w:t>
            </w:r>
          </w:p>
        </w:tc>
      </w:tr>
      <w:tr w:rsidR="0065590A" w:rsidRPr="00014D00" w:rsidTr="007C794E">
        <w:trPr>
          <w:trHeight w:val="1025"/>
        </w:trPr>
        <w:tc>
          <w:tcPr>
            <w:tcW w:w="1350" w:type="dxa"/>
            <w:shd w:val="clear" w:color="auto" w:fill="DEEAF6" w:themeFill="accent1" w:themeFillTint="33"/>
          </w:tcPr>
          <w:p w:rsidR="008527CB" w:rsidRPr="00014D00" w:rsidRDefault="008527CB" w:rsidP="008527CB">
            <w:pPr>
              <w:rPr>
                <w:rFonts w:ascii="Times New Roman" w:hAnsi="Times New Roman" w:cs="Times New Roman"/>
                <w:sz w:val="20"/>
                <w:szCs w:val="20"/>
                <w:lang w:val="sq-AL"/>
              </w:rPr>
            </w:pPr>
            <w:r w:rsidRPr="00014D00">
              <w:rPr>
                <w:rFonts w:ascii="Times New Roman" w:hAnsi="Times New Roman" w:cs="Times New Roman"/>
                <w:sz w:val="20"/>
                <w:szCs w:val="20"/>
                <w:lang w:val="sq-AL"/>
              </w:rPr>
              <w:lastRenderedPageBreak/>
              <w:t>4.3.3 Zhvillimet sektoriale (Bujqësia, Industria dhe Shërbimet)</w:t>
            </w:r>
          </w:p>
          <w:p w:rsidR="008527CB" w:rsidRPr="00014D00" w:rsidRDefault="008527CB" w:rsidP="008527CB">
            <w:pPr>
              <w:rPr>
                <w:rFonts w:ascii="Times New Roman" w:hAnsi="Times New Roman" w:cs="Times New Roman"/>
                <w:sz w:val="20"/>
                <w:szCs w:val="20"/>
                <w:lang w:val="sq-AL"/>
              </w:rPr>
            </w:pPr>
            <w:r w:rsidRPr="00014D00">
              <w:rPr>
                <w:rFonts w:ascii="Times New Roman" w:hAnsi="Times New Roman" w:cs="Times New Roman"/>
                <w:sz w:val="20"/>
                <w:szCs w:val="20"/>
                <w:lang w:val="sq-AL"/>
              </w:rPr>
              <w:t>Masa 6 #: Rritja e konkurrencës së sektorit privat përmes zhvillimit industrial për NVM-të</w:t>
            </w:r>
          </w:p>
        </w:tc>
        <w:tc>
          <w:tcPr>
            <w:tcW w:w="4163" w:type="dxa"/>
            <w:shd w:val="clear" w:color="auto" w:fill="DEEAF6" w:themeFill="accent1" w:themeFillTint="33"/>
          </w:tcPr>
          <w:p w:rsidR="00A75204" w:rsidRPr="00014D00" w:rsidRDefault="00A75204" w:rsidP="00A75204">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Një nga sfidat dhe pengesat më të mëdha për NVM-të e Kosovës dhe sektorin privat në përgjithësi është qasja në tregun e jashtëm të tregut të BE-së. Për të shfrytëzuar MSA-në ndërmjet Kosovës dhe BE-së, mbështetja për qasjen në tregun e BE-së është shumë e rëndësishme për zhvillimin e NVM-ve dhe të sektorit privat në Kosovë përmes aktiviteteve të promovimit të eksporteve.</w:t>
            </w:r>
          </w:p>
          <w:p w:rsidR="00A75204" w:rsidRPr="00014D00" w:rsidRDefault="00A75204" w:rsidP="00A75204">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Sigurimi i informacionit lidhur me biznesin në tregjet relevante evropiane për sektorët e përzgjedhur, inteligjencën e tregut</w:t>
            </w:r>
          </w:p>
          <w:p w:rsidR="00A75204" w:rsidRPr="00014D00" w:rsidRDefault="00A75204" w:rsidP="00A75204">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Mbështetja e NVM-ve përmes shoqatave të biznesit, dhomat e aktiviteteve të promovimit të eksporteve u mundësojnë aktorëve publikë dhe privatë të promovojnë eksportin dhe shërbimet në sektorë të përzgjedhur</w:t>
            </w:r>
          </w:p>
          <w:p w:rsidR="00A75204" w:rsidRPr="00014D00" w:rsidRDefault="00A75204" w:rsidP="00A75204">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Krijimi i kontakteve dhe marrëdhënieve afariste ndërmjet NVM-ve kosovare dhe partnerëve potencialë të huaj (evropianë) të biznesit përmes (B2B, pjesëmarrës i drejtë, delegacione të udhëtimit afarist</w:t>
            </w:r>
          </w:p>
          <w:p w:rsidR="00A75204" w:rsidRPr="00014D00" w:rsidRDefault="00A75204" w:rsidP="00A75204">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Ngritja e kapaciteteve dhe kualifikimi i ofruesve të shërbimeve publike (KIESA) dhe ofruesve të shërbimeve private (shoqatat e biznesit, dhomat) në ofrimin e informacionit lidhur me biznesin në tregjet përkatëse evropiane dhe aktivitetet e promovimit të eksporteve</w:t>
            </w:r>
          </w:p>
          <w:p w:rsidR="00E621EA" w:rsidRPr="00014D00" w:rsidRDefault="00A75204" w:rsidP="00A75204">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Marrja dhe pozicionimi ndërkombëtar i produkteve dhe shërbimeve të Kosovës përmes fushatave të ndryshme të përmirësimit të imazhit dhe të markës në tregjet e orientuara drejt eksportit për produktet dhe shërbimet e Kosovës</w:t>
            </w:r>
          </w:p>
        </w:tc>
        <w:tc>
          <w:tcPr>
            <w:tcW w:w="1463" w:type="dxa"/>
            <w:shd w:val="clear" w:color="auto" w:fill="DEEAF6" w:themeFill="accent1" w:themeFillTint="33"/>
          </w:tcPr>
          <w:p w:rsidR="0065590A" w:rsidRPr="00014D00" w:rsidRDefault="00397E3A" w:rsidP="00D05FE8">
            <w:pPr>
              <w:pStyle w:val="NoSpacing"/>
              <w:spacing w:line="276" w:lineRule="auto"/>
            </w:pPr>
            <w:r w:rsidRPr="00014D00">
              <w:t>Ambasada Gjermane</w:t>
            </w:r>
          </w:p>
        </w:tc>
        <w:tc>
          <w:tcPr>
            <w:tcW w:w="1350" w:type="dxa"/>
            <w:shd w:val="clear" w:color="auto" w:fill="DEEAF6" w:themeFill="accent1" w:themeFillTint="33"/>
          </w:tcPr>
          <w:p w:rsidR="0065590A" w:rsidRPr="00014D00" w:rsidRDefault="0065590A" w:rsidP="00D05FE8">
            <w:pPr>
              <w:rPr>
                <w:rFonts w:ascii="Times New Roman" w:hAnsi="Times New Roman" w:cs="Times New Roman"/>
                <w:bCs/>
                <w:sz w:val="20"/>
                <w:szCs w:val="20"/>
                <w:lang w:val="sq-AL"/>
              </w:rPr>
            </w:pPr>
          </w:p>
        </w:tc>
        <w:tc>
          <w:tcPr>
            <w:tcW w:w="6434" w:type="dxa"/>
            <w:shd w:val="clear" w:color="auto" w:fill="DEEAF6" w:themeFill="accent1" w:themeFillTint="33"/>
          </w:tcPr>
          <w:p w:rsidR="0065590A" w:rsidRPr="00014D00" w:rsidRDefault="007E1069" w:rsidP="00D05FE8">
            <w:pPr>
              <w:jc w:val="both"/>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Ide shumë të mira janë propozuar këtu, me përforcimin e KIESA ata do të mund  ti </w:t>
            </w:r>
            <w:proofErr w:type="spellStart"/>
            <w:r w:rsidRPr="00014D00">
              <w:rPr>
                <w:rFonts w:ascii="Times New Roman" w:hAnsi="Times New Roman" w:cs="Times New Roman"/>
                <w:bCs/>
                <w:sz w:val="20"/>
                <w:szCs w:val="20"/>
                <w:lang w:val="sq-AL"/>
              </w:rPr>
              <w:t>marin</w:t>
            </w:r>
            <w:proofErr w:type="spellEnd"/>
            <w:r w:rsidRPr="00014D00">
              <w:rPr>
                <w:rFonts w:ascii="Times New Roman" w:hAnsi="Times New Roman" w:cs="Times New Roman"/>
                <w:bCs/>
                <w:sz w:val="20"/>
                <w:szCs w:val="20"/>
                <w:lang w:val="sq-AL"/>
              </w:rPr>
              <w:t xml:space="preserve"> parasysh këto </w:t>
            </w:r>
            <w:proofErr w:type="spellStart"/>
            <w:r w:rsidRPr="00014D00">
              <w:rPr>
                <w:rFonts w:ascii="Times New Roman" w:hAnsi="Times New Roman" w:cs="Times New Roman"/>
                <w:bCs/>
                <w:sz w:val="20"/>
                <w:szCs w:val="20"/>
                <w:lang w:val="sq-AL"/>
              </w:rPr>
              <w:t>sygjerime</w:t>
            </w:r>
            <w:proofErr w:type="spellEnd"/>
            <w:r w:rsidRPr="00014D00">
              <w:rPr>
                <w:rFonts w:ascii="Times New Roman" w:hAnsi="Times New Roman" w:cs="Times New Roman"/>
                <w:bCs/>
                <w:sz w:val="20"/>
                <w:szCs w:val="20"/>
                <w:lang w:val="sq-AL"/>
              </w:rPr>
              <w:t xml:space="preserve">. Janë dy masa të PRE në kuadër të lehtësimeve të tregut të cilat </w:t>
            </w:r>
            <w:proofErr w:type="spellStart"/>
            <w:r w:rsidRPr="00014D00">
              <w:rPr>
                <w:rFonts w:ascii="Times New Roman" w:hAnsi="Times New Roman" w:cs="Times New Roman"/>
                <w:bCs/>
                <w:sz w:val="20"/>
                <w:szCs w:val="20"/>
                <w:lang w:val="sq-AL"/>
              </w:rPr>
              <w:t>poashtu</w:t>
            </w:r>
            <w:proofErr w:type="spellEnd"/>
            <w:r w:rsidRPr="00014D00">
              <w:rPr>
                <w:rFonts w:ascii="Times New Roman" w:hAnsi="Times New Roman" w:cs="Times New Roman"/>
                <w:bCs/>
                <w:sz w:val="20"/>
                <w:szCs w:val="20"/>
                <w:lang w:val="sq-AL"/>
              </w:rPr>
              <w:t xml:space="preserve"> do të përmirësonin qasjen e NVM-ve në tregjet e jashtme.</w:t>
            </w:r>
          </w:p>
        </w:tc>
      </w:tr>
      <w:tr w:rsidR="0065590A" w:rsidRPr="00014D00" w:rsidTr="007C794E">
        <w:trPr>
          <w:trHeight w:val="1025"/>
        </w:trPr>
        <w:tc>
          <w:tcPr>
            <w:tcW w:w="1350" w:type="dxa"/>
            <w:shd w:val="clear" w:color="auto" w:fill="DEEAF6" w:themeFill="accent1" w:themeFillTint="33"/>
          </w:tcPr>
          <w:p w:rsidR="00DC3775" w:rsidRPr="00014D00" w:rsidRDefault="00DC3775" w:rsidP="00DC3775">
            <w:pPr>
              <w:rPr>
                <w:rFonts w:ascii="Times New Roman" w:hAnsi="Times New Roman" w:cs="Times New Roman"/>
                <w:sz w:val="20"/>
                <w:szCs w:val="20"/>
                <w:lang w:val="sq-AL"/>
              </w:rPr>
            </w:pPr>
          </w:p>
          <w:p w:rsidR="0065590A" w:rsidRPr="00014D00" w:rsidRDefault="00DC3775" w:rsidP="00DC3775">
            <w:pPr>
              <w:rPr>
                <w:rFonts w:ascii="Times New Roman" w:hAnsi="Times New Roman" w:cs="Times New Roman"/>
                <w:sz w:val="20"/>
                <w:szCs w:val="20"/>
                <w:lang w:val="sq-AL"/>
              </w:rPr>
            </w:pPr>
            <w:r w:rsidRPr="00014D00">
              <w:rPr>
                <w:rFonts w:ascii="Times New Roman" w:hAnsi="Times New Roman" w:cs="Times New Roman"/>
                <w:sz w:val="20"/>
                <w:szCs w:val="20"/>
                <w:lang w:val="sq-AL"/>
              </w:rPr>
              <w:t xml:space="preserve">4.3.4. Ambienti i biznesit dhe zvogëlimi i ekonomisë </w:t>
            </w:r>
            <w:proofErr w:type="spellStart"/>
            <w:r w:rsidRPr="00014D00">
              <w:rPr>
                <w:rFonts w:ascii="Times New Roman" w:hAnsi="Times New Roman" w:cs="Times New Roman"/>
                <w:sz w:val="20"/>
                <w:szCs w:val="20"/>
                <w:lang w:val="sq-AL"/>
              </w:rPr>
              <w:t>informale</w:t>
            </w:r>
            <w:proofErr w:type="spellEnd"/>
          </w:p>
        </w:tc>
        <w:tc>
          <w:tcPr>
            <w:tcW w:w="4163" w:type="dxa"/>
            <w:shd w:val="clear" w:color="auto" w:fill="DEEAF6" w:themeFill="accent1" w:themeFillTint="33"/>
          </w:tcPr>
          <w:p w:rsidR="00592407" w:rsidRPr="00014D00" w:rsidRDefault="00592407" w:rsidP="00592407">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 ERP sugjeron që qasja në financa nuk duhet të shihet më si një kufizim detyrues për rritjen ekonomike, por vetëm si një kufizim i madh (fq.3). Kjo është argumentuar të jetë rasti për shkak të operacioneve të Fondit për Garantimin e Kredive të Kosovës (KCGF). Ne dyshojmë se </w:t>
            </w:r>
            <w:r w:rsidR="00491873" w:rsidRPr="00014D00">
              <w:rPr>
                <w:rFonts w:ascii="Times New Roman" w:hAnsi="Times New Roman" w:cs="Times New Roman"/>
                <w:bCs/>
                <w:sz w:val="20"/>
                <w:szCs w:val="20"/>
                <w:lang w:val="sq-AL"/>
              </w:rPr>
              <w:t>kjo vërtetë qëndron kështu</w:t>
            </w:r>
            <w:r w:rsidRPr="00014D00">
              <w:rPr>
                <w:rFonts w:ascii="Times New Roman" w:hAnsi="Times New Roman" w:cs="Times New Roman"/>
                <w:bCs/>
                <w:sz w:val="20"/>
                <w:szCs w:val="20"/>
                <w:lang w:val="sq-AL"/>
              </w:rPr>
              <w:t>.</w:t>
            </w:r>
          </w:p>
          <w:p w:rsidR="00592407" w:rsidRPr="00014D00" w:rsidRDefault="00592407" w:rsidP="00592407">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 Për shkak të tregut jashtëzakonisht të lëngshëm dhe normave të ulëta të interesit në mbarë botën, sidomos në tregun e euros, situata për të pasur qasje në financa dhe veçanërisht kushtet financiare janë përmirësuar për disa MSME. Megjithatë, vetëm ato kompani përfitojnë nga këto kushte pozitive të sektorit që kanë një rekord të mirë dhe </w:t>
            </w:r>
            <w:proofErr w:type="spellStart"/>
            <w:r w:rsidRPr="00014D00">
              <w:rPr>
                <w:rFonts w:ascii="Times New Roman" w:hAnsi="Times New Roman" w:cs="Times New Roman"/>
                <w:bCs/>
                <w:sz w:val="20"/>
                <w:szCs w:val="20"/>
                <w:lang w:val="sq-AL"/>
              </w:rPr>
              <w:t>kolaterale</w:t>
            </w:r>
            <w:proofErr w:type="spellEnd"/>
            <w:r w:rsidRPr="00014D00">
              <w:rPr>
                <w:rFonts w:ascii="Times New Roman" w:hAnsi="Times New Roman" w:cs="Times New Roman"/>
                <w:bCs/>
                <w:sz w:val="20"/>
                <w:szCs w:val="20"/>
                <w:lang w:val="sq-AL"/>
              </w:rPr>
              <w:t xml:space="preserve"> të larta. Për kompanitë me </w:t>
            </w:r>
            <w:proofErr w:type="spellStart"/>
            <w:r w:rsidRPr="00014D00">
              <w:rPr>
                <w:rFonts w:ascii="Times New Roman" w:hAnsi="Times New Roman" w:cs="Times New Roman"/>
                <w:bCs/>
                <w:sz w:val="20"/>
                <w:szCs w:val="20"/>
                <w:lang w:val="sq-AL"/>
              </w:rPr>
              <w:t>kolateral</w:t>
            </w:r>
            <w:proofErr w:type="spellEnd"/>
            <w:r w:rsidRPr="00014D00">
              <w:rPr>
                <w:rFonts w:ascii="Times New Roman" w:hAnsi="Times New Roman" w:cs="Times New Roman"/>
                <w:bCs/>
                <w:sz w:val="20"/>
                <w:szCs w:val="20"/>
                <w:lang w:val="sq-AL"/>
              </w:rPr>
              <w:t xml:space="preserve"> të vogël qasja në financa mbetet ende pengesa më e madhe. Fondi i Garancisë po trajton pikërisht këtë dobësi, prandaj presim që pengesa të mos jetë më detyruese gjatë një ose dy vitesh.</w:t>
            </w:r>
          </w:p>
          <w:p w:rsidR="0065590A" w:rsidRPr="00014D00" w:rsidRDefault="00592407" w:rsidP="00592407">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 Qasja në financa si një pengesë pasqyrohet edhe në sondazhet e Bankës Botërore. Ndërsa 48% e të rriturve kanë një llogari bankare, qasja në financa është ende kritike për MSME-të me </w:t>
            </w:r>
            <w:proofErr w:type="spellStart"/>
            <w:r w:rsidRPr="00014D00">
              <w:rPr>
                <w:rFonts w:ascii="Times New Roman" w:hAnsi="Times New Roman" w:cs="Times New Roman"/>
                <w:bCs/>
                <w:sz w:val="20"/>
                <w:szCs w:val="20"/>
                <w:lang w:val="sq-AL"/>
              </w:rPr>
              <w:t>kolateral</w:t>
            </w:r>
            <w:proofErr w:type="spellEnd"/>
            <w:r w:rsidRPr="00014D00">
              <w:rPr>
                <w:rFonts w:ascii="Times New Roman" w:hAnsi="Times New Roman" w:cs="Times New Roman"/>
                <w:bCs/>
                <w:sz w:val="20"/>
                <w:szCs w:val="20"/>
                <w:lang w:val="sq-AL"/>
              </w:rPr>
              <w:t xml:space="preserve"> të vogël (http://datatopics.worldbank.org/financialinclusion/country/kosovo dhe http://documents.worldbank.org/ kuruar / </w:t>
            </w:r>
            <w:proofErr w:type="spellStart"/>
            <w:r w:rsidRPr="00014D00">
              <w:rPr>
                <w:rFonts w:ascii="Times New Roman" w:hAnsi="Times New Roman" w:cs="Times New Roman"/>
                <w:bCs/>
                <w:sz w:val="20"/>
                <w:szCs w:val="20"/>
                <w:lang w:val="sq-AL"/>
              </w:rPr>
              <w:t>en</w:t>
            </w:r>
            <w:proofErr w:type="spellEnd"/>
            <w:r w:rsidRPr="00014D00">
              <w:rPr>
                <w:rFonts w:ascii="Times New Roman" w:hAnsi="Times New Roman" w:cs="Times New Roman"/>
                <w:bCs/>
                <w:sz w:val="20"/>
                <w:szCs w:val="20"/>
                <w:lang w:val="sq-AL"/>
              </w:rPr>
              <w:t xml:space="preserve"> / 187761468179367706 / </w:t>
            </w:r>
            <w:proofErr w:type="spellStart"/>
            <w:r w:rsidRPr="00014D00">
              <w:rPr>
                <w:rFonts w:ascii="Times New Roman" w:hAnsi="Times New Roman" w:cs="Times New Roman"/>
                <w:bCs/>
                <w:sz w:val="20"/>
                <w:szCs w:val="20"/>
                <w:lang w:val="sq-AL"/>
              </w:rPr>
              <w:t>pdf</w:t>
            </w:r>
            <w:proofErr w:type="spellEnd"/>
            <w:r w:rsidRPr="00014D00">
              <w:rPr>
                <w:rFonts w:ascii="Times New Roman" w:hAnsi="Times New Roman" w:cs="Times New Roman"/>
                <w:bCs/>
                <w:sz w:val="20"/>
                <w:szCs w:val="20"/>
                <w:lang w:val="sq-AL"/>
              </w:rPr>
              <w:t xml:space="preserve"> / WPS7255.pdf).</w:t>
            </w:r>
          </w:p>
        </w:tc>
        <w:tc>
          <w:tcPr>
            <w:tcW w:w="1463" w:type="dxa"/>
            <w:shd w:val="clear" w:color="auto" w:fill="DEEAF6" w:themeFill="accent1" w:themeFillTint="33"/>
          </w:tcPr>
          <w:p w:rsidR="0065590A" w:rsidRPr="00014D00" w:rsidRDefault="0065590A" w:rsidP="00D05FE8">
            <w:pPr>
              <w:pStyle w:val="NoSpacing"/>
              <w:spacing w:line="276" w:lineRule="auto"/>
            </w:pPr>
          </w:p>
        </w:tc>
        <w:tc>
          <w:tcPr>
            <w:tcW w:w="1350" w:type="dxa"/>
            <w:shd w:val="clear" w:color="auto" w:fill="DEEAF6" w:themeFill="accent1" w:themeFillTint="33"/>
          </w:tcPr>
          <w:p w:rsidR="0065590A" w:rsidRPr="00014D00" w:rsidRDefault="0065590A" w:rsidP="00D05FE8">
            <w:pPr>
              <w:rPr>
                <w:rFonts w:ascii="Times New Roman" w:hAnsi="Times New Roman" w:cs="Times New Roman"/>
                <w:bCs/>
                <w:sz w:val="20"/>
                <w:szCs w:val="20"/>
                <w:lang w:val="sq-AL"/>
              </w:rPr>
            </w:pPr>
          </w:p>
        </w:tc>
        <w:tc>
          <w:tcPr>
            <w:tcW w:w="6434" w:type="dxa"/>
            <w:shd w:val="clear" w:color="auto" w:fill="DEEAF6" w:themeFill="accent1" w:themeFillTint="33"/>
          </w:tcPr>
          <w:p w:rsidR="00491873" w:rsidRPr="00014D00" w:rsidRDefault="00491873" w:rsidP="00112692">
            <w:pPr>
              <w:jc w:val="both"/>
              <w:rPr>
                <w:rFonts w:ascii="Times New Roman" w:hAnsi="Times New Roman" w:cs="Times New Roman"/>
                <w:bCs/>
                <w:sz w:val="20"/>
                <w:szCs w:val="20"/>
                <w:lang w:val="sq-AL"/>
              </w:rPr>
            </w:pPr>
            <w:r w:rsidRPr="00014D00">
              <w:rPr>
                <w:rFonts w:ascii="Times New Roman" w:hAnsi="Times New Roman" w:cs="Times New Roman"/>
                <w:bCs/>
                <w:sz w:val="20"/>
                <w:szCs w:val="20"/>
                <w:lang w:val="sq-AL"/>
              </w:rPr>
              <w:t>Fondit për Garantimin e Kredive të Kosovës (KCGF)</w:t>
            </w:r>
            <w:r w:rsidR="00112692" w:rsidRPr="00014D00">
              <w:rPr>
                <w:rFonts w:ascii="Times New Roman" w:hAnsi="Times New Roman" w:cs="Times New Roman"/>
                <w:bCs/>
                <w:sz w:val="20"/>
                <w:szCs w:val="20"/>
                <w:lang w:val="sq-AL"/>
              </w:rPr>
              <w:t xml:space="preserve"> është futur në veprim dhe masa për reformë nga PRE  e kaluar  </w:t>
            </w:r>
            <w:r w:rsidR="005377B6" w:rsidRPr="00014D00">
              <w:rPr>
                <w:rFonts w:ascii="Times New Roman" w:hAnsi="Times New Roman" w:cs="Times New Roman"/>
                <w:bCs/>
                <w:sz w:val="20"/>
                <w:szCs w:val="20"/>
                <w:lang w:val="sq-AL"/>
              </w:rPr>
              <w:t xml:space="preserve">është përmbushur. </w:t>
            </w:r>
            <w:r w:rsidR="00F612CD" w:rsidRPr="00014D00">
              <w:rPr>
                <w:rFonts w:ascii="Times New Roman" w:hAnsi="Times New Roman" w:cs="Times New Roman"/>
                <w:bCs/>
                <w:sz w:val="20"/>
                <w:szCs w:val="20"/>
                <w:lang w:val="sq-AL"/>
              </w:rPr>
              <w:t xml:space="preserve">Masa e jashtëzakonshme e ERP mbi të drejtat pronësore në pasuri të paluajtshme do të përmirësojë përdorimin e </w:t>
            </w:r>
            <w:proofErr w:type="spellStart"/>
            <w:r w:rsidR="00F612CD" w:rsidRPr="00014D00">
              <w:rPr>
                <w:rFonts w:ascii="Times New Roman" w:hAnsi="Times New Roman" w:cs="Times New Roman"/>
                <w:bCs/>
                <w:sz w:val="20"/>
                <w:szCs w:val="20"/>
                <w:lang w:val="sq-AL"/>
              </w:rPr>
              <w:t>kolateralit</w:t>
            </w:r>
            <w:proofErr w:type="spellEnd"/>
            <w:r w:rsidR="00F612CD" w:rsidRPr="00014D00">
              <w:rPr>
                <w:rFonts w:ascii="Times New Roman" w:hAnsi="Times New Roman" w:cs="Times New Roman"/>
                <w:bCs/>
                <w:sz w:val="20"/>
                <w:szCs w:val="20"/>
                <w:lang w:val="sq-AL"/>
              </w:rPr>
              <w:t>. Masa për efikasitetin e gjykatës do të përmirësojë sigurinë ligjore për kreditorët. Ne pamë studimin që është referuar dhe nuk ka asnjë fakt të panjohur në të.</w:t>
            </w:r>
          </w:p>
        </w:tc>
      </w:tr>
      <w:tr w:rsidR="00E621EA" w:rsidRPr="00014D00" w:rsidTr="007C794E">
        <w:trPr>
          <w:trHeight w:val="1025"/>
        </w:trPr>
        <w:tc>
          <w:tcPr>
            <w:tcW w:w="1350" w:type="dxa"/>
            <w:shd w:val="clear" w:color="auto" w:fill="DEEAF6" w:themeFill="accent1" w:themeFillTint="33"/>
          </w:tcPr>
          <w:p w:rsidR="00E621EA" w:rsidRPr="00014D00" w:rsidRDefault="000A5613" w:rsidP="000A5613">
            <w:pPr>
              <w:rPr>
                <w:rFonts w:ascii="Times New Roman" w:hAnsi="Times New Roman" w:cs="Times New Roman"/>
                <w:sz w:val="20"/>
                <w:szCs w:val="20"/>
                <w:lang w:val="sq-AL"/>
              </w:rPr>
            </w:pPr>
            <w:r w:rsidRPr="00014D00">
              <w:rPr>
                <w:rFonts w:ascii="Times New Roman" w:hAnsi="Times New Roman" w:cs="Times New Roman"/>
                <w:sz w:val="20"/>
                <w:szCs w:val="20"/>
                <w:lang w:val="sq-AL"/>
              </w:rPr>
              <w:t xml:space="preserve">Masa </w:t>
            </w:r>
            <w:r w:rsidR="007A6184" w:rsidRPr="00014D00">
              <w:rPr>
                <w:rFonts w:ascii="Times New Roman" w:hAnsi="Times New Roman" w:cs="Times New Roman"/>
                <w:sz w:val="20"/>
                <w:szCs w:val="20"/>
                <w:lang w:val="sq-AL"/>
              </w:rPr>
              <w:t xml:space="preserve"> # 12: Përmirë</w:t>
            </w:r>
            <w:r w:rsidRPr="00014D00">
              <w:rPr>
                <w:rFonts w:ascii="Times New Roman" w:hAnsi="Times New Roman" w:cs="Times New Roman"/>
                <w:sz w:val="20"/>
                <w:szCs w:val="20"/>
                <w:lang w:val="sq-AL"/>
              </w:rPr>
              <w:t xml:space="preserve">simi i mjedisit të </w:t>
            </w:r>
            <w:proofErr w:type="spellStart"/>
            <w:r w:rsidRPr="00014D00">
              <w:rPr>
                <w:rFonts w:ascii="Times New Roman" w:hAnsi="Times New Roman" w:cs="Times New Roman"/>
                <w:sz w:val="20"/>
                <w:szCs w:val="20"/>
                <w:lang w:val="sq-AL"/>
              </w:rPr>
              <w:t>ndërmarrësisë</w:t>
            </w:r>
            <w:r w:rsidR="007A6184" w:rsidRPr="00014D00">
              <w:rPr>
                <w:rFonts w:ascii="Times New Roman" w:hAnsi="Times New Roman" w:cs="Times New Roman"/>
                <w:sz w:val="20"/>
                <w:szCs w:val="20"/>
                <w:lang w:val="sq-AL"/>
              </w:rPr>
              <w:t>dhe</w:t>
            </w:r>
            <w:proofErr w:type="spellEnd"/>
            <w:r w:rsidR="007A6184" w:rsidRPr="00014D00">
              <w:rPr>
                <w:rFonts w:ascii="Times New Roman" w:hAnsi="Times New Roman" w:cs="Times New Roman"/>
                <w:sz w:val="20"/>
                <w:szCs w:val="20"/>
                <w:lang w:val="sq-AL"/>
              </w:rPr>
              <w:t xml:space="preserve"> inovacionit</w:t>
            </w:r>
          </w:p>
        </w:tc>
        <w:tc>
          <w:tcPr>
            <w:tcW w:w="4163" w:type="dxa"/>
            <w:shd w:val="clear" w:color="auto" w:fill="DEEAF6" w:themeFill="accent1" w:themeFillTint="33"/>
          </w:tcPr>
          <w:p w:rsidR="00E621EA" w:rsidRPr="00014D00" w:rsidRDefault="007A6184" w:rsidP="007A6184">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 Themelimi i një fondi për Inovacionin e Kosovës për kompanitë e sektorit privat, NVM-të do të kontribuojnë në zhvillimin e aktiviteteve </w:t>
            </w:r>
            <w:proofErr w:type="spellStart"/>
            <w:r w:rsidRPr="00014D00">
              <w:rPr>
                <w:rFonts w:ascii="Times New Roman" w:hAnsi="Times New Roman" w:cs="Times New Roman"/>
                <w:bCs/>
                <w:sz w:val="20"/>
                <w:szCs w:val="20"/>
                <w:lang w:val="sq-AL"/>
              </w:rPr>
              <w:t>inovative</w:t>
            </w:r>
            <w:proofErr w:type="spellEnd"/>
            <w:r w:rsidRPr="00014D00">
              <w:rPr>
                <w:rFonts w:ascii="Times New Roman" w:hAnsi="Times New Roman" w:cs="Times New Roman"/>
                <w:bCs/>
                <w:sz w:val="20"/>
                <w:szCs w:val="20"/>
                <w:lang w:val="sq-AL"/>
              </w:rPr>
              <w:t xml:space="preserve"> në Kosovë dhe do të rrisin konkurrencën dhe praninë e NVM-ve në tregun ndërkombëtar.</w:t>
            </w:r>
          </w:p>
          <w:p w:rsidR="007A6184" w:rsidRPr="00014D00" w:rsidRDefault="007A6184" w:rsidP="007A6184">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lastRenderedPageBreak/>
              <w:t>•</w:t>
            </w:r>
            <w:r w:rsidRPr="00014D00">
              <w:rPr>
                <w:rFonts w:ascii="Times New Roman" w:hAnsi="Times New Roman" w:cs="Times New Roman"/>
                <w:bCs/>
                <w:sz w:val="20"/>
                <w:szCs w:val="20"/>
                <w:lang w:val="sq-AL"/>
              </w:rPr>
              <w:tab/>
              <w:t xml:space="preserve">Fondi i inovacionit do të mbështesë NVM-të në Kosovë për të promovuar dhe zhvilluar modele </w:t>
            </w:r>
            <w:proofErr w:type="spellStart"/>
            <w:r w:rsidRPr="00014D00">
              <w:rPr>
                <w:rFonts w:ascii="Times New Roman" w:hAnsi="Times New Roman" w:cs="Times New Roman"/>
                <w:bCs/>
                <w:sz w:val="20"/>
                <w:szCs w:val="20"/>
                <w:lang w:val="sq-AL"/>
              </w:rPr>
              <w:t>inovative</w:t>
            </w:r>
            <w:proofErr w:type="spellEnd"/>
            <w:r w:rsidRPr="00014D00">
              <w:rPr>
                <w:rFonts w:ascii="Times New Roman" w:hAnsi="Times New Roman" w:cs="Times New Roman"/>
                <w:bCs/>
                <w:sz w:val="20"/>
                <w:szCs w:val="20"/>
                <w:lang w:val="sq-AL"/>
              </w:rPr>
              <w:t xml:space="preserve"> biznesi (eksportuese) që gjithashtu do të krijojnë kërkesa për punë dhe punësim të kualifikuar në Kosovë.</w:t>
            </w:r>
          </w:p>
        </w:tc>
        <w:tc>
          <w:tcPr>
            <w:tcW w:w="1463" w:type="dxa"/>
            <w:shd w:val="clear" w:color="auto" w:fill="DEEAF6" w:themeFill="accent1" w:themeFillTint="33"/>
          </w:tcPr>
          <w:p w:rsidR="00E621EA" w:rsidRPr="00014D00" w:rsidRDefault="00397E3A" w:rsidP="00D05FE8">
            <w:pPr>
              <w:pStyle w:val="NoSpacing"/>
              <w:spacing w:line="276" w:lineRule="auto"/>
            </w:pPr>
            <w:r w:rsidRPr="00014D00">
              <w:lastRenderedPageBreak/>
              <w:t xml:space="preserve">Ambasada Gjermane </w:t>
            </w:r>
          </w:p>
        </w:tc>
        <w:tc>
          <w:tcPr>
            <w:tcW w:w="1350" w:type="dxa"/>
            <w:shd w:val="clear" w:color="auto" w:fill="DEEAF6" w:themeFill="accent1" w:themeFillTint="33"/>
          </w:tcPr>
          <w:p w:rsidR="00E621EA" w:rsidRPr="00014D00" w:rsidRDefault="00E621EA" w:rsidP="00D05FE8">
            <w:pPr>
              <w:rPr>
                <w:rFonts w:ascii="Times New Roman" w:hAnsi="Times New Roman" w:cs="Times New Roman"/>
                <w:bCs/>
                <w:sz w:val="20"/>
                <w:szCs w:val="20"/>
                <w:lang w:val="sq-AL"/>
              </w:rPr>
            </w:pPr>
          </w:p>
        </w:tc>
        <w:tc>
          <w:tcPr>
            <w:tcW w:w="6434" w:type="dxa"/>
            <w:shd w:val="clear" w:color="auto" w:fill="DEEAF6" w:themeFill="accent1" w:themeFillTint="33"/>
          </w:tcPr>
          <w:p w:rsidR="00C43860" w:rsidRPr="00014D00" w:rsidRDefault="00C43860" w:rsidP="00D05FE8">
            <w:pPr>
              <w:jc w:val="both"/>
              <w:rPr>
                <w:rFonts w:ascii="Times New Roman" w:hAnsi="Times New Roman" w:cs="Times New Roman"/>
                <w:bCs/>
                <w:sz w:val="20"/>
                <w:szCs w:val="20"/>
                <w:lang w:val="sq-AL"/>
              </w:rPr>
            </w:pPr>
            <w:r w:rsidRPr="00014D00">
              <w:rPr>
                <w:rFonts w:ascii="Times New Roman" w:hAnsi="Times New Roman" w:cs="Times New Roman"/>
                <w:bCs/>
                <w:sz w:val="20"/>
                <w:szCs w:val="20"/>
                <w:lang w:val="sq-AL"/>
              </w:rPr>
              <w:t>Propozim shumë  i qëlluar. Mbetet të</w:t>
            </w:r>
            <w:r w:rsidR="00491873" w:rsidRPr="00014D00">
              <w:rPr>
                <w:rFonts w:ascii="Times New Roman" w:hAnsi="Times New Roman" w:cs="Times New Roman"/>
                <w:bCs/>
                <w:sz w:val="20"/>
                <w:szCs w:val="20"/>
                <w:lang w:val="sq-AL"/>
              </w:rPr>
              <w:t xml:space="preserve"> </w:t>
            </w:r>
            <w:r w:rsidRPr="00014D00">
              <w:rPr>
                <w:rFonts w:ascii="Times New Roman" w:hAnsi="Times New Roman" w:cs="Times New Roman"/>
                <w:bCs/>
                <w:sz w:val="20"/>
                <w:szCs w:val="20"/>
                <w:lang w:val="sq-AL"/>
              </w:rPr>
              <w:t>a</w:t>
            </w:r>
            <w:r w:rsidR="00491873" w:rsidRPr="00014D00">
              <w:rPr>
                <w:rFonts w:ascii="Times New Roman" w:hAnsi="Times New Roman" w:cs="Times New Roman"/>
                <w:bCs/>
                <w:sz w:val="20"/>
                <w:szCs w:val="20"/>
                <w:lang w:val="sq-AL"/>
              </w:rPr>
              <w:t>dreso</w:t>
            </w:r>
            <w:r w:rsidRPr="00014D00">
              <w:rPr>
                <w:rFonts w:ascii="Times New Roman" w:hAnsi="Times New Roman" w:cs="Times New Roman"/>
                <w:bCs/>
                <w:sz w:val="20"/>
                <w:szCs w:val="20"/>
                <w:lang w:val="sq-AL"/>
              </w:rPr>
              <w:t>het në kuadër të Strategjisë për Inovacion dhe gjithashtu në kuadër të PRE 2018-2020.</w:t>
            </w:r>
          </w:p>
        </w:tc>
      </w:tr>
      <w:tr w:rsidR="00E621EA" w:rsidRPr="00014D00" w:rsidTr="007C794E">
        <w:trPr>
          <w:trHeight w:val="1025"/>
        </w:trPr>
        <w:tc>
          <w:tcPr>
            <w:tcW w:w="1350" w:type="dxa"/>
            <w:shd w:val="clear" w:color="auto" w:fill="DEEAF6" w:themeFill="accent1" w:themeFillTint="33"/>
          </w:tcPr>
          <w:p w:rsidR="00E621EA" w:rsidRPr="00014D00" w:rsidRDefault="00E621EA" w:rsidP="00DC4BDA">
            <w:pPr>
              <w:rPr>
                <w:rFonts w:ascii="Times New Roman" w:hAnsi="Times New Roman" w:cs="Times New Roman"/>
                <w:sz w:val="20"/>
                <w:szCs w:val="20"/>
                <w:lang w:val="sq-AL"/>
              </w:rPr>
            </w:pPr>
            <w:r w:rsidRPr="00014D00">
              <w:rPr>
                <w:rFonts w:ascii="Times New Roman" w:hAnsi="Times New Roman" w:cs="Times New Roman"/>
                <w:sz w:val="20"/>
                <w:szCs w:val="20"/>
                <w:lang w:val="sq-AL"/>
              </w:rPr>
              <w:lastRenderedPageBreak/>
              <w:t xml:space="preserve">4.3.7 </w:t>
            </w:r>
          </w:p>
          <w:p w:rsidR="00F82A0E" w:rsidRPr="00014D00" w:rsidRDefault="00F82A0E" w:rsidP="00DC4BDA">
            <w:pPr>
              <w:rPr>
                <w:rFonts w:ascii="Times New Roman" w:hAnsi="Times New Roman" w:cs="Times New Roman"/>
                <w:sz w:val="20"/>
                <w:szCs w:val="20"/>
                <w:lang w:val="sq-AL"/>
              </w:rPr>
            </w:pPr>
            <w:r w:rsidRPr="00014D00">
              <w:rPr>
                <w:rFonts w:ascii="Times New Roman" w:hAnsi="Times New Roman" w:cs="Times New Roman"/>
                <w:sz w:val="20"/>
                <w:szCs w:val="20"/>
                <w:lang w:val="sq-AL"/>
              </w:rPr>
              <w:t xml:space="preserve">Edukimi dhe Shkathtësitë </w:t>
            </w:r>
          </w:p>
        </w:tc>
        <w:tc>
          <w:tcPr>
            <w:tcW w:w="4163" w:type="dxa"/>
            <w:shd w:val="clear" w:color="auto" w:fill="DEEAF6" w:themeFill="accent1" w:themeFillTint="33"/>
          </w:tcPr>
          <w:p w:rsidR="00E621EA" w:rsidRPr="00014D00" w:rsidRDefault="007A6184" w:rsidP="00E621EA">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 Analiza e lidhjes së pakënaqshme të tregut të punës me AFP "për shkak të mungesës së kapaciteteve dhe bashkëpunimit ndërinstitucional për të siguruar qasjen e përbashkët në hartimin e politikave qeveritare" nuk është mjaft larg arritjes dhe nuk pasqyron </w:t>
            </w:r>
            <w:proofErr w:type="spellStart"/>
            <w:r w:rsidRPr="00014D00">
              <w:rPr>
                <w:rFonts w:ascii="Times New Roman" w:hAnsi="Times New Roman" w:cs="Times New Roman"/>
                <w:bCs/>
                <w:sz w:val="20"/>
                <w:szCs w:val="20"/>
                <w:lang w:val="sq-AL"/>
              </w:rPr>
              <w:t>kompleksitetin</w:t>
            </w:r>
            <w:proofErr w:type="spellEnd"/>
            <w:r w:rsidRPr="00014D00">
              <w:rPr>
                <w:rFonts w:ascii="Times New Roman" w:hAnsi="Times New Roman" w:cs="Times New Roman"/>
                <w:bCs/>
                <w:sz w:val="20"/>
                <w:szCs w:val="20"/>
                <w:lang w:val="sq-AL"/>
              </w:rPr>
              <w:t xml:space="preserve"> e mekanizmave të nevojshëm ndërhyrës për të korrigjuar situatë. Elementet që mungojnë përfshijnë një pjesëmarrje sistematike dhe të institucionalizuar të ndërmarrjeve / punëdhënësve në proceset e ndryshme thelbësore të AFP-së (p.sh. përkufizimi standard i profesioneve, trajnimi i integruar brenda kompanisë (i cili është i ndryshëm nga lidhjet) dhe testimi dhe certifikimi. të luajë një rol kyç në zbatimin e këtyre proceseve thelbësore, do të kërkohet një ndërtim i integruar i kapaciteteve njerëzore dhe organizative të shkollave për t'iu mundësuar atyre që të përballojnë këto detyra.</w:t>
            </w:r>
          </w:p>
          <w:p w:rsidR="00E621EA" w:rsidRPr="00014D00" w:rsidRDefault="007A6184" w:rsidP="00E621EA">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Aktivitetet e propozuara për 2018 dhe 2019 nuk duket të jenë mjaft të mëdha dhe nuk specifikojnë aktivitetet për një përfshirje strategjike dhe të synuar të ndërmarrjeve.</w:t>
            </w:r>
          </w:p>
          <w:p w:rsidR="00E621EA" w:rsidRPr="00014D00" w:rsidRDefault="007A6184" w:rsidP="007A6184">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Në lidhje me pranimin e BE-së dhe potencialet e punësimit në të, përveç kërkesave të tregut vendor dhe të brendshëm të punës, duhet t'u kushtohet vëmendje edhe kërkesave të kualifikimeve të huaja të tregut të punës për të nxitur shtigjet e migrimit të ligjshëm</w:t>
            </w:r>
          </w:p>
          <w:p w:rsidR="00E621EA" w:rsidRPr="00014D00" w:rsidRDefault="007A6184" w:rsidP="00E621EA">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lastRenderedPageBreak/>
              <w:t xml:space="preserve">• </w:t>
            </w:r>
            <w:proofErr w:type="spellStart"/>
            <w:r w:rsidRPr="00014D00">
              <w:rPr>
                <w:rFonts w:ascii="Times New Roman" w:hAnsi="Times New Roman" w:cs="Times New Roman"/>
                <w:bCs/>
                <w:sz w:val="20"/>
                <w:szCs w:val="20"/>
                <w:lang w:val="sq-AL"/>
              </w:rPr>
              <w:t>Alokimet</w:t>
            </w:r>
            <w:proofErr w:type="spellEnd"/>
            <w:r w:rsidRPr="00014D00">
              <w:rPr>
                <w:rFonts w:ascii="Times New Roman" w:hAnsi="Times New Roman" w:cs="Times New Roman"/>
                <w:bCs/>
                <w:sz w:val="20"/>
                <w:szCs w:val="20"/>
                <w:lang w:val="sq-AL"/>
              </w:rPr>
              <w:t xml:space="preserve"> e parashikuara të buxhetit duket se janë shumë të ulëta për të siguruar zbatimin adekuat të agjendës së reformave.</w:t>
            </w:r>
          </w:p>
          <w:p w:rsidR="00E621EA" w:rsidRPr="00014D00" w:rsidRDefault="007A6184" w:rsidP="007A6184">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Një rritje ekonomike e dobët mund të çojë në një motivim të zvogëluar të ndërmarrjeve vendore për të marrë pjesë aktive dhe për të kontribuar financiarisht si dhe në aspektin e personelit në përmirësimin e mundësive të arsimit dhe trajnimit dhe prandaj duhet të konsiderohet si një rrezik shtesë. Përveç kësaj, ekziston rreziku që rritja e dobët ekonomike do të sjellë më pak vende pune.</w:t>
            </w:r>
          </w:p>
          <w:p w:rsidR="00E621EA" w:rsidRPr="00014D00" w:rsidRDefault="007A6184" w:rsidP="007A6184">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 Në zbatimin e masës së reformës # 16, do të jetë kyç për përfshirjen e sektorit privat në të gjithë procesin. Konkretisht, vëmendje më specifike duhet t'i kushtohet zbatimit dhe testimit të mënyrave të ndryshme të pjesëmarrjes së ndërmarrjeve në AFP. Vetëm nëse sektori privat mund të shprehë kërkesën e tyre specifike për fuqi punëtore të kualifikuar nga profesionet, standardet përkatëse dhe më pas </w:t>
            </w:r>
            <w:proofErr w:type="spellStart"/>
            <w:r w:rsidRPr="00014D00">
              <w:rPr>
                <w:rFonts w:ascii="Times New Roman" w:hAnsi="Times New Roman" w:cs="Times New Roman"/>
                <w:bCs/>
                <w:sz w:val="20"/>
                <w:szCs w:val="20"/>
                <w:lang w:val="sq-AL"/>
              </w:rPr>
              <w:t>kurrikulat</w:t>
            </w:r>
            <w:proofErr w:type="spellEnd"/>
            <w:r w:rsidRPr="00014D00">
              <w:rPr>
                <w:rFonts w:ascii="Times New Roman" w:hAnsi="Times New Roman" w:cs="Times New Roman"/>
                <w:bCs/>
                <w:sz w:val="20"/>
                <w:szCs w:val="20"/>
                <w:lang w:val="sq-AL"/>
              </w:rPr>
              <w:t xml:space="preserve"> mund të përshtaten në mënyrë adekuate për të plotësuar nevojat e tregut të punës. Do të ishte mirë të përfshihej më mirë ky aspekt, të </w:t>
            </w:r>
            <w:proofErr w:type="spellStart"/>
            <w:r w:rsidRPr="00014D00">
              <w:rPr>
                <w:rFonts w:ascii="Times New Roman" w:hAnsi="Times New Roman" w:cs="Times New Roman"/>
                <w:bCs/>
                <w:sz w:val="20"/>
                <w:szCs w:val="20"/>
                <w:lang w:val="sq-AL"/>
              </w:rPr>
              <w:t>elaboronte</w:t>
            </w:r>
            <w:proofErr w:type="spellEnd"/>
            <w:r w:rsidRPr="00014D00">
              <w:rPr>
                <w:rFonts w:ascii="Times New Roman" w:hAnsi="Times New Roman" w:cs="Times New Roman"/>
                <w:bCs/>
                <w:sz w:val="20"/>
                <w:szCs w:val="20"/>
                <w:lang w:val="sq-AL"/>
              </w:rPr>
              <w:t xml:space="preserve"> qasjet dhe proceset për ta bërë këtë dhe për të forcuar kështu këtë aspekt kyç në dokument dhe masat e mëvonshme.</w:t>
            </w:r>
          </w:p>
        </w:tc>
        <w:tc>
          <w:tcPr>
            <w:tcW w:w="1463" w:type="dxa"/>
            <w:shd w:val="clear" w:color="auto" w:fill="DEEAF6" w:themeFill="accent1" w:themeFillTint="33"/>
          </w:tcPr>
          <w:p w:rsidR="00E621EA" w:rsidRPr="00014D00" w:rsidRDefault="00E621EA" w:rsidP="00D05FE8">
            <w:pPr>
              <w:pStyle w:val="NoSpacing"/>
              <w:spacing w:line="276" w:lineRule="auto"/>
            </w:pPr>
          </w:p>
        </w:tc>
        <w:tc>
          <w:tcPr>
            <w:tcW w:w="1350" w:type="dxa"/>
            <w:shd w:val="clear" w:color="auto" w:fill="DEEAF6" w:themeFill="accent1" w:themeFillTint="33"/>
          </w:tcPr>
          <w:p w:rsidR="00E621EA" w:rsidRPr="00014D00" w:rsidRDefault="00E621EA" w:rsidP="00D05FE8">
            <w:pPr>
              <w:rPr>
                <w:rFonts w:ascii="Times New Roman" w:hAnsi="Times New Roman" w:cs="Times New Roman"/>
                <w:bCs/>
                <w:sz w:val="20"/>
                <w:szCs w:val="20"/>
                <w:lang w:val="sq-AL"/>
              </w:rPr>
            </w:pPr>
          </w:p>
        </w:tc>
        <w:tc>
          <w:tcPr>
            <w:tcW w:w="6434" w:type="dxa"/>
            <w:shd w:val="clear" w:color="auto" w:fill="DEEAF6" w:themeFill="accent1" w:themeFillTint="33"/>
          </w:tcPr>
          <w:p w:rsidR="00A80544" w:rsidRPr="00014D00" w:rsidRDefault="00A80544" w:rsidP="00F82A0E">
            <w:pPr>
              <w:jc w:val="both"/>
              <w:rPr>
                <w:rFonts w:ascii="Times New Roman" w:hAnsi="Times New Roman" w:cs="Times New Roman"/>
                <w:bCs/>
                <w:sz w:val="20"/>
                <w:szCs w:val="20"/>
                <w:lang w:val="sq-AL"/>
              </w:rPr>
            </w:pPr>
            <w:r w:rsidRPr="00014D00">
              <w:rPr>
                <w:rFonts w:ascii="Times New Roman" w:hAnsi="Times New Roman" w:cs="Times New Roman"/>
                <w:bCs/>
                <w:sz w:val="20"/>
                <w:szCs w:val="20"/>
                <w:lang w:val="sq-AL"/>
              </w:rPr>
              <w:t>Kry</w:t>
            </w:r>
            <w:r w:rsidR="00CA0E3C" w:rsidRPr="00014D00">
              <w:rPr>
                <w:rFonts w:ascii="Times New Roman" w:hAnsi="Times New Roman" w:cs="Times New Roman"/>
                <w:bCs/>
                <w:sz w:val="20"/>
                <w:szCs w:val="20"/>
                <w:lang w:val="sq-AL"/>
              </w:rPr>
              <w:t xml:space="preserve">esisht është adresuar me draftin e </w:t>
            </w:r>
            <w:proofErr w:type="spellStart"/>
            <w:r w:rsidR="00CA0E3C" w:rsidRPr="00014D00">
              <w:rPr>
                <w:rFonts w:ascii="Times New Roman" w:hAnsi="Times New Roman" w:cs="Times New Roman"/>
                <w:bCs/>
                <w:sz w:val="20"/>
                <w:szCs w:val="20"/>
                <w:lang w:val="sq-AL"/>
              </w:rPr>
              <w:t>funndit</w:t>
            </w:r>
            <w:proofErr w:type="spellEnd"/>
            <w:r w:rsidR="00CA0E3C" w:rsidRPr="00014D00">
              <w:rPr>
                <w:rFonts w:ascii="Times New Roman" w:hAnsi="Times New Roman" w:cs="Times New Roman"/>
                <w:bCs/>
                <w:sz w:val="20"/>
                <w:szCs w:val="20"/>
                <w:lang w:val="sq-AL"/>
              </w:rPr>
              <w:t xml:space="preserve"> të PRE. Sipas </w:t>
            </w:r>
            <w:proofErr w:type="spellStart"/>
            <w:r w:rsidR="00CA0E3C" w:rsidRPr="00014D00">
              <w:rPr>
                <w:rFonts w:ascii="Times New Roman" w:hAnsi="Times New Roman" w:cs="Times New Roman"/>
                <w:bCs/>
                <w:sz w:val="20"/>
                <w:szCs w:val="20"/>
                <w:lang w:val="sq-AL"/>
              </w:rPr>
              <w:t>minnistrive</w:t>
            </w:r>
            <w:proofErr w:type="spellEnd"/>
            <w:r w:rsidR="00CA0E3C" w:rsidRPr="00014D00">
              <w:rPr>
                <w:rFonts w:ascii="Times New Roman" w:hAnsi="Times New Roman" w:cs="Times New Roman"/>
                <w:bCs/>
                <w:sz w:val="20"/>
                <w:szCs w:val="20"/>
                <w:lang w:val="sq-AL"/>
              </w:rPr>
              <w:t xml:space="preserve"> </w:t>
            </w:r>
            <w:r w:rsidRPr="00014D00">
              <w:rPr>
                <w:rFonts w:ascii="Times New Roman" w:hAnsi="Times New Roman" w:cs="Times New Roman"/>
                <w:bCs/>
                <w:sz w:val="20"/>
                <w:szCs w:val="20"/>
                <w:lang w:val="sq-AL"/>
              </w:rPr>
              <w:t xml:space="preserve">që mbulojnë këtë fushë, të gjitha </w:t>
            </w:r>
            <w:proofErr w:type="spellStart"/>
            <w:r w:rsidRPr="00014D00">
              <w:rPr>
                <w:rFonts w:ascii="Times New Roman" w:hAnsi="Times New Roman" w:cs="Times New Roman"/>
                <w:bCs/>
                <w:sz w:val="20"/>
                <w:szCs w:val="20"/>
                <w:lang w:val="sq-AL"/>
              </w:rPr>
              <w:t>qështjet</w:t>
            </w:r>
            <w:proofErr w:type="spellEnd"/>
            <w:r w:rsidRPr="00014D00">
              <w:rPr>
                <w:rFonts w:ascii="Times New Roman" w:hAnsi="Times New Roman" w:cs="Times New Roman"/>
                <w:bCs/>
                <w:sz w:val="20"/>
                <w:szCs w:val="20"/>
                <w:lang w:val="sq-AL"/>
              </w:rPr>
              <w:t xml:space="preserve"> janë adresuar dhe </w:t>
            </w:r>
            <w:proofErr w:type="spellStart"/>
            <w:r w:rsidRPr="00014D00">
              <w:rPr>
                <w:rFonts w:ascii="Times New Roman" w:hAnsi="Times New Roman" w:cs="Times New Roman"/>
                <w:bCs/>
                <w:sz w:val="20"/>
                <w:szCs w:val="20"/>
                <w:lang w:val="sq-AL"/>
              </w:rPr>
              <w:t>dhe</w:t>
            </w:r>
            <w:proofErr w:type="spellEnd"/>
            <w:r w:rsidRPr="00014D00">
              <w:rPr>
                <w:rFonts w:ascii="Times New Roman" w:hAnsi="Times New Roman" w:cs="Times New Roman"/>
                <w:bCs/>
                <w:sz w:val="20"/>
                <w:szCs w:val="20"/>
                <w:lang w:val="sq-AL"/>
              </w:rPr>
              <w:t xml:space="preserve"> </w:t>
            </w:r>
            <w:proofErr w:type="spellStart"/>
            <w:r w:rsidRPr="00014D00">
              <w:rPr>
                <w:rFonts w:ascii="Times New Roman" w:hAnsi="Times New Roman" w:cs="Times New Roman"/>
                <w:bCs/>
                <w:sz w:val="20"/>
                <w:szCs w:val="20"/>
                <w:lang w:val="sq-AL"/>
              </w:rPr>
              <w:t>biyneset</w:t>
            </w:r>
            <w:proofErr w:type="spellEnd"/>
            <w:r w:rsidRPr="00014D00">
              <w:rPr>
                <w:rFonts w:ascii="Times New Roman" w:hAnsi="Times New Roman" w:cs="Times New Roman"/>
                <w:bCs/>
                <w:sz w:val="20"/>
                <w:szCs w:val="20"/>
                <w:lang w:val="sq-AL"/>
              </w:rPr>
              <w:t xml:space="preserve"> </w:t>
            </w:r>
            <w:proofErr w:type="spellStart"/>
            <w:r w:rsidRPr="00014D00">
              <w:rPr>
                <w:rFonts w:ascii="Times New Roman" w:hAnsi="Times New Roman" w:cs="Times New Roman"/>
                <w:bCs/>
                <w:sz w:val="20"/>
                <w:szCs w:val="20"/>
                <w:lang w:val="sq-AL"/>
              </w:rPr>
              <w:t>jan</w:t>
            </w:r>
            <w:proofErr w:type="spellEnd"/>
            <w:r w:rsidRPr="00014D00">
              <w:rPr>
                <w:rFonts w:ascii="Times New Roman" w:hAnsi="Times New Roman" w:cs="Times New Roman"/>
                <w:bCs/>
                <w:sz w:val="20"/>
                <w:szCs w:val="20"/>
                <w:lang w:val="sq-AL"/>
              </w:rPr>
              <w:t xml:space="preserve">; duke bashkëpunuar në zhvillimin e standardeve profesionale. </w:t>
            </w:r>
            <w:proofErr w:type="spellStart"/>
            <w:r w:rsidRPr="00014D00">
              <w:rPr>
                <w:rFonts w:ascii="Times New Roman" w:hAnsi="Times New Roman" w:cs="Times New Roman"/>
                <w:bCs/>
                <w:sz w:val="20"/>
                <w:szCs w:val="20"/>
                <w:lang w:val="sq-AL"/>
              </w:rPr>
              <w:t>Qështjet</w:t>
            </w:r>
            <w:proofErr w:type="spellEnd"/>
            <w:r w:rsidRPr="00014D00">
              <w:rPr>
                <w:rFonts w:ascii="Times New Roman" w:hAnsi="Times New Roman" w:cs="Times New Roman"/>
                <w:bCs/>
                <w:sz w:val="20"/>
                <w:szCs w:val="20"/>
                <w:lang w:val="sq-AL"/>
              </w:rPr>
              <w:t xml:space="preserve"> e mungesës së shkathtësive </w:t>
            </w:r>
            <w:proofErr w:type="spellStart"/>
            <w:r w:rsidRPr="00014D00">
              <w:rPr>
                <w:rFonts w:ascii="Times New Roman" w:hAnsi="Times New Roman" w:cs="Times New Roman"/>
                <w:bCs/>
                <w:sz w:val="20"/>
                <w:szCs w:val="20"/>
                <w:lang w:val="sq-AL"/>
              </w:rPr>
              <w:t>poashtu</w:t>
            </w:r>
            <w:proofErr w:type="spellEnd"/>
            <w:r w:rsidRPr="00014D00">
              <w:rPr>
                <w:rFonts w:ascii="Times New Roman" w:hAnsi="Times New Roman" w:cs="Times New Roman"/>
                <w:bCs/>
                <w:sz w:val="20"/>
                <w:szCs w:val="20"/>
                <w:lang w:val="sq-AL"/>
              </w:rPr>
              <w:t xml:space="preserve"> janë adresuar </w:t>
            </w:r>
            <w:proofErr w:type="spellStart"/>
            <w:r w:rsidRPr="00014D00">
              <w:rPr>
                <w:rFonts w:ascii="Times New Roman" w:hAnsi="Times New Roman" w:cs="Times New Roman"/>
                <w:bCs/>
                <w:sz w:val="20"/>
                <w:szCs w:val="20"/>
                <w:lang w:val="sq-AL"/>
              </w:rPr>
              <w:t>nëkapitullin</w:t>
            </w:r>
            <w:proofErr w:type="spellEnd"/>
            <w:r w:rsidRPr="00014D00">
              <w:rPr>
                <w:rFonts w:ascii="Times New Roman" w:hAnsi="Times New Roman" w:cs="Times New Roman"/>
                <w:bCs/>
                <w:sz w:val="20"/>
                <w:szCs w:val="20"/>
                <w:lang w:val="sq-AL"/>
              </w:rPr>
              <w:t xml:space="preserve"> për punësimin në analizën e përgjithshme të pengesave për rritje ekonomike. </w:t>
            </w:r>
          </w:p>
          <w:p w:rsidR="00A80544" w:rsidRPr="00014D00" w:rsidRDefault="00A80544" w:rsidP="00F82A0E">
            <w:pPr>
              <w:jc w:val="both"/>
              <w:rPr>
                <w:rFonts w:ascii="Times New Roman" w:hAnsi="Times New Roman" w:cs="Times New Roman"/>
                <w:bCs/>
                <w:sz w:val="20"/>
                <w:szCs w:val="20"/>
                <w:lang w:val="sq-AL"/>
              </w:rPr>
            </w:pPr>
          </w:p>
          <w:p w:rsidR="00F82A0E" w:rsidRPr="00014D00" w:rsidRDefault="00CA0E3C" w:rsidP="00F82A0E">
            <w:pPr>
              <w:jc w:val="both"/>
              <w:rPr>
                <w:rFonts w:ascii="Times New Roman" w:hAnsi="Times New Roman" w:cs="Times New Roman"/>
                <w:bCs/>
                <w:sz w:val="20"/>
                <w:szCs w:val="20"/>
                <w:lang w:val="sq-AL"/>
              </w:rPr>
            </w:pPr>
            <w:r w:rsidRPr="00014D00">
              <w:rPr>
                <w:rFonts w:ascii="Times New Roman" w:hAnsi="Times New Roman" w:cs="Times New Roman"/>
                <w:bCs/>
                <w:sz w:val="20"/>
                <w:szCs w:val="20"/>
                <w:lang w:val="sq-AL"/>
              </w:rPr>
              <w:t>Kosova është d</w:t>
            </w:r>
            <w:r w:rsidR="00A80544" w:rsidRPr="00014D00">
              <w:rPr>
                <w:rFonts w:ascii="Times New Roman" w:hAnsi="Times New Roman" w:cs="Times New Roman"/>
                <w:bCs/>
                <w:sz w:val="20"/>
                <w:szCs w:val="20"/>
                <w:lang w:val="sq-AL"/>
              </w:rPr>
              <w:t xml:space="preserve">uke </w:t>
            </w:r>
            <w:proofErr w:type="spellStart"/>
            <w:r w:rsidR="00A80544" w:rsidRPr="00014D00">
              <w:rPr>
                <w:rFonts w:ascii="Times New Roman" w:hAnsi="Times New Roman" w:cs="Times New Roman"/>
                <w:bCs/>
                <w:sz w:val="20"/>
                <w:szCs w:val="20"/>
                <w:lang w:val="sq-AL"/>
              </w:rPr>
              <w:t>implementuar</w:t>
            </w:r>
            <w:proofErr w:type="spellEnd"/>
            <w:r w:rsidR="00A80544" w:rsidRPr="00014D00">
              <w:rPr>
                <w:rFonts w:ascii="Times New Roman" w:hAnsi="Times New Roman" w:cs="Times New Roman"/>
                <w:bCs/>
                <w:sz w:val="20"/>
                <w:szCs w:val="20"/>
                <w:lang w:val="sq-AL"/>
              </w:rPr>
              <w:t xml:space="preserve"> K</w:t>
            </w:r>
            <w:r w:rsidRPr="00014D00">
              <w:rPr>
                <w:rFonts w:ascii="Times New Roman" w:hAnsi="Times New Roman" w:cs="Times New Roman"/>
                <w:bCs/>
                <w:sz w:val="20"/>
                <w:szCs w:val="20"/>
                <w:lang w:val="sq-AL"/>
              </w:rPr>
              <w:t xml:space="preserve">ornizën </w:t>
            </w:r>
            <w:proofErr w:type="spellStart"/>
            <w:r w:rsidR="00A80544" w:rsidRPr="00014D00">
              <w:rPr>
                <w:rFonts w:ascii="Times New Roman" w:hAnsi="Times New Roman" w:cs="Times New Roman"/>
                <w:bCs/>
                <w:sz w:val="20"/>
                <w:szCs w:val="20"/>
                <w:lang w:val="sq-AL"/>
              </w:rPr>
              <w:t>Kacionale</w:t>
            </w:r>
            <w:proofErr w:type="spellEnd"/>
            <w:r w:rsidR="00A80544" w:rsidRPr="00014D00">
              <w:rPr>
                <w:rFonts w:ascii="Times New Roman" w:hAnsi="Times New Roman" w:cs="Times New Roman"/>
                <w:bCs/>
                <w:sz w:val="20"/>
                <w:szCs w:val="20"/>
                <w:lang w:val="sq-AL"/>
              </w:rPr>
              <w:t xml:space="preserve"> të K</w:t>
            </w:r>
            <w:r w:rsidRPr="00014D00">
              <w:rPr>
                <w:rFonts w:ascii="Times New Roman" w:hAnsi="Times New Roman" w:cs="Times New Roman"/>
                <w:bCs/>
                <w:sz w:val="20"/>
                <w:szCs w:val="20"/>
                <w:lang w:val="sq-AL"/>
              </w:rPr>
              <w:t xml:space="preserve">ualifikimeve e cila është e bazuar në </w:t>
            </w:r>
            <w:r w:rsidR="00A80544" w:rsidRPr="00014D00">
              <w:rPr>
                <w:rFonts w:ascii="Times New Roman" w:hAnsi="Times New Roman" w:cs="Times New Roman"/>
                <w:bCs/>
                <w:sz w:val="20"/>
                <w:szCs w:val="20"/>
                <w:lang w:val="sq-AL"/>
              </w:rPr>
              <w:t>K</w:t>
            </w:r>
            <w:r w:rsidRPr="00014D00">
              <w:rPr>
                <w:rFonts w:ascii="Times New Roman" w:hAnsi="Times New Roman" w:cs="Times New Roman"/>
                <w:bCs/>
                <w:sz w:val="20"/>
                <w:szCs w:val="20"/>
                <w:lang w:val="sq-AL"/>
              </w:rPr>
              <w:t>ornizën Evropiane të Kualifikimeve.</w:t>
            </w:r>
            <w:r w:rsidR="00F82A0E" w:rsidRPr="00014D00">
              <w:rPr>
                <w:rFonts w:ascii="Times New Roman" w:hAnsi="Times New Roman" w:cs="Times New Roman"/>
                <w:bCs/>
                <w:sz w:val="20"/>
                <w:szCs w:val="20"/>
                <w:lang w:val="sq-AL"/>
              </w:rPr>
              <w:t xml:space="preserve"> </w:t>
            </w:r>
          </w:p>
          <w:p w:rsidR="00CA0E3C" w:rsidRPr="00014D00" w:rsidRDefault="00CA0E3C" w:rsidP="00F82A0E">
            <w:pPr>
              <w:jc w:val="both"/>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Të </w:t>
            </w:r>
            <w:proofErr w:type="spellStart"/>
            <w:r w:rsidRPr="00014D00">
              <w:rPr>
                <w:rFonts w:ascii="Times New Roman" w:hAnsi="Times New Roman" w:cs="Times New Roman"/>
                <w:bCs/>
                <w:sz w:val="20"/>
                <w:szCs w:val="20"/>
                <w:lang w:val="sq-AL"/>
              </w:rPr>
              <w:t>gjjitha</w:t>
            </w:r>
            <w:proofErr w:type="spellEnd"/>
            <w:r w:rsidRPr="00014D00">
              <w:rPr>
                <w:rFonts w:ascii="Times New Roman" w:hAnsi="Times New Roman" w:cs="Times New Roman"/>
                <w:bCs/>
                <w:sz w:val="20"/>
                <w:szCs w:val="20"/>
                <w:lang w:val="sq-AL"/>
              </w:rPr>
              <w:t xml:space="preserve"> masat e PRE janë plotësisht të mbuluara nga buxheti i Kosovës dhe partnerët zhvillimorë.</w:t>
            </w:r>
          </w:p>
        </w:tc>
      </w:tr>
      <w:tr w:rsidR="00E621EA" w:rsidRPr="00014D00" w:rsidTr="007C794E">
        <w:trPr>
          <w:trHeight w:val="1025"/>
        </w:trPr>
        <w:tc>
          <w:tcPr>
            <w:tcW w:w="1350" w:type="dxa"/>
            <w:shd w:val="clear" w:color="auto" w:fill="DEEAF6" w:themeFill="accent1" w:themeFillTint="33"/>
          </w:tcPr>
          <w:p w:rsidR="00E621EA" w:rsidRPr="00014D00" w:rsidRDefault="00E621EA" w:rsidP="00DC4BDA">
            <w:pPr>
              <w:rPr>
                <w:rFonts w:ascii="Times New Roman" w:hAnsi="Times New Roman" w:cs="Times New Roman"/>
                <w:sz w:val="20"/>
                <w:szCs w:val="20"/>
                <w:lang w:val="sq-AL"/>
              </w:rPr>
            </w:pPr>
            <w:r w:rsidRPr="00014D00">
              <w:rPr>
                <w:rFonts w:ascii="Times New Roman" w:hAnsi="Times New Roman" w:cs="Times New Roman"/>
                <w:sz w:val="20"/>
                <w:szCs w:val="20"/>
                <w:lang w:val="sq-AL"/>
              </w:rPr>
              <w:lastRenderedPageBreak/>
              <w:t>4.3</w:t>
            </w:r>
            <w:r w:rsidR="000D1D8D" w:rsidRPr="00014D00">
              <w:rPr>
                <w:rFonts w:ascii="Times New Roman" w:hAnsi="Times New Roman" w:cs="Times New Roman"/>
                <w:sz w:val="20"/>
                <w:szCs w:val="20"/>
                <w:lang w:val="sq-AL"/>
              </w:rPr>
              <w:t>.8 Tregu i Punës dhe Punësimi</w:t>
            </w:r>
          </w:p>
        </w:tc>
        <w:tc>
          <w:tcPr>
            <w:tcW w:w="4163" w:type="dxa"/>
            <w:shd w:val="clear" w:color="auto" w:fill="DEEAF6" w:themeFill="accent1" w:themeFillTint="33"/>
          </w:tcPr>
          <w:p w:rsidR="007E31AB" w:rsidRPr="00014D00" w:rsidRDefault="000D1D8D" w:rsidP="000D1D8D">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Analiza e situatës pasqyron mjaft mirë gjendjen e punësimit dhe tregjeve të punës. Megjithëse rënia e normës së papunësisë mund të jetë figura mashtruese, mund të jetë rezultat i moshës së të rinjve që janë aktivë në tregun e punës.</w:t>
            </w:r>
          </w:p>
          <w:p w:rsidR="000D1D8D" w:rsidRPr="00014D00" w:rsidRDefault="000D1D8D" w:rsidP="007E31AB">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 Mungesa e bashkëpunimit ndërinstitucional, siç është përshkruar në kapitullin e mëparshëm, përbën një pengesë serioze për të siguruar një </w:t>
            </w:r>
            <w:r w:rsidRPr="00014D00">
              <w:rPr>
                <w:rFonts w:ascii="Times New Roman" w:hAnsi="Times New Roman" w:cs="Times New Roman"/>
                <w:bCs/>
                <w:sz w:val="20"/>
                <w:szCs w:val="20"/>
                <w:lang w:val="sq-AL"/>
              </w:rPr>
              <w:lastRenderedPageBreak/>
              <w:t>qasje të përbashkët dhe efektive. Ekzistojnë skema praktike, por janë të shpërndara ndërmjet institucioneve të ndryshme (MASHT, MTI, MKRS, donatorë të ndryshëm të MPMS) të pa koordinuara.</w:t>
            </w:r>
          </w:p>
          <w:p w:rsidR="007E31AB" w:rsidRPr="00014D00" w:rsidRDefault="000D1D8D" w:rsidP="007E31AB">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 Për planifikimin e aktivitetit, theksimi më i madh duhet t'i kushtohet vlerësimit të masave aktive të tregut të punës dhe identifikimit të qasjeve të suksesshme dhe </w:t>
            </w:r>
            <w:proofErr w:type="spellStart"/>
            <w:r w:rsidRPr="00014D00">
              <w:rPr>
                <w:rFonts w:ascii="Times New Roman" w:hAnsi="Times New Roman" w:cs="Times New Roman"/>
                <w:bCs/>
                <w:sz w:val="20"/>
                <w:szCs w:val="20"/>
                <w:lang w:val="sq-AL"/>
              </w:rPr>
              <w:t>inovative</w:t>
            </w:r>
            <w:proofErr w:type="spellEnd"/>
            <w:r w:rsidRPr="00014D00">
              <w:rPr>
                <w:rFonts w:ascii="Times New Roman" w:hAnsi="Times New Roman" w:cs="Times New Roman"/>
                <w:bCs/>
                <w:sz w:val="20"/>
                <w:szCs w:val="20"/>
                <w:lang w:val="sq-AL"/>
              </w:rPr>
              <w:t xml:space="preserve"> për një përmirësim.</w:t>
            </w:r>
          </w:p>
          <w:p w:rsidR="007E31AB" w:rsidRPr="00014D00" w:rsidRDefault="00AE2768" w:rsidP="007E31AB">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Aktivitetet e Planifikuara</w:t>
            </w:r>
            <w:r w:rsidR="007E31AB" w:rsidRPr="00014D00">
              <w:rPr>
                <w:rFonts w:ascii="Times New Roman" w:hAnsi="Times New Roman" w:cs="Times New Roman"/>
                <w:bCs/>
                <w:sz w:val="20"/>
                <w:szCs w:val="20"/>
                <w:lang w:val="sq-AL"/>
              </w:rPr>
              <w:t>:</w:t>
            </w:r>
          </w:p>
          <w:p w:rsidR="007E31AB" w:rsidRPr="00014D00" w:rsidRDefault="00AE2768" w:rsidP="007E31AB">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Në lidhje me aktivitetet për të kryer një studim për identifikimin e sektorëve (në nivel lokal) me potencial për punësimin e të rinjve GIZ (PO Programi) do të zbatojë një studim për të ofruar një analizë gjithëpërfshirëse të tregut të punës dhe situatës së punësimit dhe shkaqeve përkatëse themelore ELMA). Një pjesë e gjerë e palëve të interesuara do të përfshihen në analizë.</w:t>
            </w:r>
          </w:p>
          <w:p w:rsidR="007E31AB" w:rsidRPr="00014D00" w:rsidRDefault="00AE2768" w:rsidP="00AE2768">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Për funksionalizimin e plotë të EARK do të kërkohet zhvillimi i procedurave të detajuara, si dhe rolet dhe përgjegjësitë për çdo hap të zbatimit të masave të Tregut të Punës.</w:t>
            </w:r>
          </w:p>
          <w:p w:rsidR="007E31AB" w:rsidRPr="00014D00" w:rsidRDefault="00AE2768" w:rsidP="00A13764">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 </w:t>
            </w:r>
            <w:r w:rsidR="00A13764" w:rsidRPr="00014D00">
              <w:rPr>
                <w:rFonts w:ascii="Times New Roman" w:hAnsi="Times New Roman" w:cs="Times New Roman"/>
                <w:bCs/>
                <w:sz w:val="20"/>
                <w:szCs w:val="20"/>
                <w:lang w:val="sq-AL"/>
              </w:rPr>
              <w:t>Aspektet e rëndësishme të ngritjes së kapaciteteve të ASK-së gjithashtu përfshijnë zhvillimin e kapaciteteve në:</w:t>
            </w:r>
          </w:p>
          <w:p w:rsidR="007E31AB" w:rsidRPr="00014D00" w:rsidRDefault="00A13764" w:rsidP="00A13764">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o</w:t>
            </w:r>
            <w:r w:rsidRPr="00014D00">
              <w:rPr>
                <w:rFonts w:ascii="Times New Roman" w:hAnsi="Times New Roman" w:cs="Times New Roman"/>
                <w:bCs/>
                <w:sz w:val="20"/>
                <w:szCs w:val="20"/>
                <w:lang w:val="sq-AL"/>
              </w:rPr>
              <w:tab/>
              <w:t>Si të promovojmë më mirë masat e tregut të punës.</w:t>
            </w:r>
          </w:p>
          <w:p w:rsidR="007E31AB" w:rsidRPr="00014D00" w:rsidRDefault="00A13764" w:rsidP="00A13764">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o</w:t>
            </w:r>
            <w:r w:rsidRPr="00014D00">
              <w:rPr>
                <w:rFonts w:ascii="Times New Roman" w:hAnsi="Times New Roman" w:cs="Times New Roman"/>
                <w:bCs/>
                <w:sz w:val="20"/>
                <w:szCs w:val="20"/>
                <w:lang w:val="sq-AL"/>
              </w:rPr>
              <w:tab/>
              <w:t>Menaxhimi dhe raportimi i masave.</w:t>
            </w:r>
          </w:p>
          <w:p w:rsidR="007E31AB" w:rsidRPr="00014D00" w:rsidRDefault="007E31AB" w:rsidP="007E31AB">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o</w:t>
            </w:r>
            <w:r w:rsidRPr="00014D00">
              <w:rPr>
                <w:rFonts w:ascii="Times New Roman" w:hAnsi="Times New Roman" w:cs="Times New Roman"/>
                <w:bCs/>
                <w:sz w:val="20"/>
                <w:szCs w:val="20"/>
                <w:lang w:val="sq-AL"/>
              </w:rPr>
              <w:tab/>
            </w:r>
            <w:r w:rsidR="00A13764" w:rsidRPr="00014D00">
              <w:rPr>
                <w:rFonts w:ascii="Times New Roman" w:hAnsi="Times New Roman" w:cs="Times New Roman"/>
                <w:bCs/>
                <w:sz w:val="20"/>
                <w:szCs w:val="20"/>
                <w:lang w:val="sq-AL"/>
              </w:rPr>
              <w:t>Analiza e përfitimit të kostos për masa specifike.</w:t>
            </w:r>
          </w:p>
          <w:p w:rsidR="00E621EA" w:rsidRPr="00014D00" w:rsidRDefault="007E31AB" w:rsidP="00A13764">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lastRenderedPageBreak/>
              <w:t>o</w:t>
            </w:r>
            <w:r w:rsidRPr="00014D00">
              <w:rPr>
                <w:rFonts w:ascii="Times New Roman" w:hAnsi="Times New Roman" w:cs="Times New Roman"/>
                <w:bCs/>
                <w:sz w:val="20"/>
                <w:szCs w:val="20"/>
                <w:lang w:val="sq-AL"/>
              </w:rPr>
              <w:tab/>
            </w:r>
            <w:r w:rsidR="00A13764" w:rsidRPr="00014D00">
              <w:rPr>
                <w:rFonts w:ascii="Times New Roman" w:hAnsi="Times New Roman" w:cs="Times New Roman"/>
                <w:bCs/>
                <w:sz w:val="20"/>
                <w:szCs w:val="20"/>
                <w:lang w:val="sq-AL"/>
              </w:rPr>
              <w:t>Vlerësimi i nevojave të tregut të punës dhe sektorëve të mundshëm në nivel lokal.</w:t>
            </w:r>
          </w:p>
        </w:tc>
        <w:tc>
          <w:tcPr>
            <w:tcW w:w="1463" w:type="dxa"/>
            <w:shd w:val="clear" w:color="auto" w:fill="DEEAF6" w:themeFill="accent1" w:themeFillTint="33"/>
          </w:tcPr>
          <w:p w:rsidR="00E621EA" w:rsidRPr="00014D00" w:rsidRDefault="00E621EA" w:rsidP="00D05FE8">
            <w:pPr>
              <w:pStyle w:val="NoSpacing"/>
              <w:spacing w:line="276" w:lineRule="auto"/>
            </w:pPr>
          </w:p>
        </w:tc>
        <w:tc>
          <w:tcPr>
            <w:tcW w:w="1350" w:type="dxa"/>
            <w:shd w:val="clear" w:color="auto" w:fill="DEEAF6" w:themeFill="accent1" w:themeFillTint="33"/>
          </w:tcPr>
          <w:p w:rsidR="00E621EA" w:rsidRPr="00014D00" w:rsidRDefault="00E621EA" w:rsidP="00D05FE8">
            <w:pPr>
              <w:rPr>
                <w:rFonts w:ascii="Times New Roman" w:hAnsi="Times New Roman" w:cs="Times New Roman"/>
                <w:bCs/>
                <w:sz w:val="20"/>
                <w:szCs w:val="20"/>
                <w:lang w:val="sq-AL"/>
              </w:rPr>
            </w:pPr>
          </w:p>
        </w:tc>
        <w:tc>
          <w:tcPr>
            <w:tcW w:w="6434" w:type="dxa"/>
            <w:shd w:val="clear" w:color="auto" w:fill="DEEAF6" w:themeFill="accent1" w:themeFillTint="33"/>
          </w:tcPr>
          <w:p w:rsidR="003E4F75" w:rsidRPr="00014D00" w:rsidRDefault="003E4F75" w:rsidP="003E4F75">
            <w:pPr>
              <w:jc w:val="both"/>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Kryesisht janë adresuar me draftin e fundit të PRE. </w:t>
            </w:r>
            <w:r w:rsidR="00F82A0E" w:rsidRPr="00014D00">
              <w:rPr>
                <w:rFonts w:ascii="Times New Roman" w:hAnsi="Times New Roman" w:cs="Times New Roman"/>
                <w:bCs/>
                <w:sz w:val="20"/>
                <w:szCs w:val="20"/>
                <w:lang w:val="sq-AL"/>
              </w:rPr>
              <w:t xml:space="preserve">Gjithashtu këto </w:t>
            </w:r>
            <w:proofErr w:type="spellStart"/>
            <w:r w:rsidR="00F82A0E" w:rsidRPr="00014D00">
              <w:rPr>
                <w:rFonts w:ascii="Times New Roman" w:hAnsi="Times New Roman" w:cs="Times New Roman"/>
                <w:bCs/>
                <w:sz w:val="20"/>
                <w:szCs w:val="20"/>
                <w:lang w:val="sq-AL"/>
              </w:rPr>
              <w:t>qështje</w:t>
            </w:r>
            <w:proofErr w:type="spellEnd"/>
            <w:r w:rsidR="00F82A0E" w:rsidRPr="00014D00">
              <w:rPr>
                <w:rFonts w:ascii="Times New Roman" w:hAnsi="Times New Roman" w:cs="Times New Roman"/>
                <w:bCs/>
                <w:sz w:val="20"/>
                <w:szCs w:val="20"/>
                <w:lang w:val="sq-AL"/>
              </w:rPr>
              <w:t xml:space="preserve"> do të adresohen me zbatimin e Planit të Veprimit për Punësimin e të Rinjve. </w:t>
            </w:r>
          </w:p>
          <w:p w:rsidR="00F82A0E" w:rsidRPr="00014D00" w:rsidRDefault="00F82A0E" w:rsidP="003E4F75">
            <w:pPr>
              <w:jc w:val="both"/>
              <w:rPr>
                <w:rFonts w:ascii="Times New Roman" w:hAnsi="Times New Roman" w:cs="Times New Roman"/>
                <w:bCs/>
                <w:sz w:val="20"/>
                <w:szCs w:val="20"/>
                <w:lang w:val="sq-AL"/>
              </w:rPr>
            </w:pPr>
            <w:proofErr w:type="spellStart"/>
            <w:r w:rsidRPr="00014D00">
              <w:rPr>
                <w:rFonts w:ascii="Times New Roman" w:hAnsi="Times New Roman" w:cs="Times New Roman"/>
                <w:bCs/>
                <w:sz w:val="20"/>
                <w:szCs w:val="20"/>
                <w:lang w:val="sq-AL"/>
              </w:rPr>
              <w:t>Poashtu</w:t>
            </w:r>
            <w:proofErr w:type="spellEnd"/>
            <w:r w:rsidRPr="00014D00">
              <w:rPr>
                <w:rFonts w:ascii="Times New Roman" w:hAnsi="Times New Roman" w:cs="Times New Roman"/>
                <w:bCs/>
                <w:sz w:val="20"/>
                <w:szCs w:val="20"/>
                <w:lang w:val="sq-AL"/>
              </w:rPr>
              <w:t xml:space="preserve">, tri Ministri kryesore të cilat mbulojnë këto fusha (MASHT, MTI, MPMS) kanë nënshkruar Memorandum Bashkëpunimi të cilat adresojnë këto </w:t>
            </w:r>
            <w:proofErr w:type="spellStart"/>
            <w:r w:rsidRPr="00014D00">
              <w:rPr>
                <w:rFonts w:ascii="Times New Roman" w:hAnsi="Times New Roman" w:cs="Times New Roman"/>
                <w:bCs/>
                <w:sz w:val="20"/>
                <w:szCs w:val="20"/>
                <w:lang w:val="sq-AL"/>
              </w:rPr>
              <w:t>qështje</w:t>
            </w:r>
            <w:proofErr w:type="spellEnd"/>
            <w:r w:rsidRPr="00014D00">
              <w:rPr>
                <w:rFonts w:ascii="Times New Roman" w:hAnsi="Times New Roman" w:cs="Times New Roman"/>
                <w:bCs/>
                <w:sz w:val="20"/>
                <w:szCs w:val="20"/>
                <w:lang w:val="sq-AL"/>
              </w:rPr>
              <w:t xml:space="preserve">. </w:t>
            </w:r>
          </w:p>
          <w:p w:rsidR="00E621EA" w:rsidRPr="00014D00" w:rsidRDefault="00F82A0E" w:rsidP="00F82A0E">
            <w:pPr>
              <w:jc w:val="both"/>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Jemi në pritje të rezultateve të studimit të realizuar nga GIZ. </w:t>
            </w:r>
          </w:p>
        </w:tc>
      </w:tr>
      <w:tr w:rsidR="00E621EA" w:rsidRPr="00014D00" w:rsidTr="005674AE">
        <w:trPr>
          <w:trHeight w:val="620"/>
        </w:trPr>
        <w:tc>
          <w:tcPr>
            <w:tcW w:w="1350" w:type="dxa"/>
            <w:shd w:val="clear" w:color="auto" w:fill="DEEAF6" w:themeFill="accent1" w:themeFillTint="33"/>
          </w:tcPr>
          <w:p w:rsidR="00E621EA" w:rsidRPr="00014D00" w:rsidRDefault="006042D1" w:rsidP="006042D1">
            <w:pPr>
              <w:rPr>
                <w:rFonts w:ascii="Times New Roman" w:hAnsi="Times New Roman" w:cs="Times New Roman"/>
                <w:sz w:val="20"/>
                <w:szCs w:val="20"/>
                <w:lang w:val="sq-AL"/>
              </w:rPr>
            </w:pPr>
            <w:r w:rsidRPr="00014D00">
              <w:rPr>
                <w:rFonts w:ascii="Times New Roman" w:hAnsi="Times New Roman" w:cs="Times New Roman"/>
                <w:sz w:val="20"/>
                <w:szCs w:val="20"/>
                <w:lang w:val="sq-AL"/>
              </w:rPr>
              <w:lastRenderedPageBreak/>
              <w:t>4.3.9 Përfshirja Sociale, Reduktimi i Varfërisë dhe Mundësive të Barabarta</w:t>
            </w:r>
          </w:p>
        </w:tc>
        <w:tc>
          <w:tcPr>
            <w:tcW w:w="4163" w:type="dxa"/>
            <w:shd w:val="clear" w:color="auto" w:fill="DEEAF6" w:themeFill="accent1" w:themeFillTint="33"/>
          </w:tcPr>
          <w:p w:rsidR="007E31AB" w:rsidRPr="00014D00" w:rsidRDefault="007E31AB" w:rsidP="007E31AB">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w:t>
            </w:r>
            <w:r w:rsidR="00A13764" w:rsidRPr="00014D00">
              <w:rPr>
                <w:rFonts w:ascii="Times New Roman" w:hAnsi="Times New Roman" w:cs="Times New Roman"/>
                <w:bCs/>
                <w:sz w:val="20"/>
                <w:szCs w:val="20"/>
                <w:lang w:val="sq-AL"/>
              </w:rPr>
              <w:t xml:space="preserve">Struktura e këtij seksioni është mjaft konfuze; ai përqendrohet kryesisht në shëndetësinë (fondin e sigurimeve shëndetësore) dhe asistencën sociale (Skema e asistencës sociale dhe modelet e financimit). Megjithatë, përfshirja sociale, varfëria dhe mundësitë e barabarta përbëhen nga faktorë shumë tërheqës dhe shtytës që kërkojnë shqyrtimin dhe përpunimin. Megjithëse në seksionin e mëparshëm të "Arsimit dhe Punësimit" mund të gjejmë disa faktorë të lidhur që janë adresuar, ne ende shohim se ky program nuk konsideron në thelb një reformë të përgjithshme të Politikave Sociale me ndikim të qartë dhe </w:t>
            </w:r>
            <w:proofErr w:type="spellStart"/>
            <w:r w:rsidR="00A13764" w:rsidRPr="00014D00">
              <w:rPr>
                <w:rFonts w:ascii="Times New Roman" w:hAnsi="Times New Roman" w:cs="Times New Roman"/>
                <w:bCs/>
                <w:sz w:val="20"/>
                <w:szCs w:val="20"/>
                <w:lang w:val="sq-AL"/>
              </w:rPr>
              <w:t>sinergji</w:t>
            </w:r>
            <w:proofErr w:type="spellEnd"/>
            <w:r w:rsidR="00A13764" w:rsidRPr="00014D00">
              <w:rPr>
                <w:rFonts w:ascii="Times New Roman" w:hAnsi="Times New Roman" w:cs="Times New Roman"/>
                <w:bCs/>
                <w:sz w:val="20"/>
                <w:szCs w:val="20"/>
                <w:lang w:val="sq-AL"/>
              </w:rPr>
              <w:t xml:space="preserve"> të zhvilluara në mënyrë kronologjike nga vitet dhe kërkesat financiare për ndryshimet e kërkuara në infrastrukturën ligjore dhe mekanizmat zbatues.</w:t>
            </w:r>
          </w:p>
          <w:p w:rsidR="00A13764" w:rsidRPr="00014D00" w:rsidRDefault="00AE2768" w:rsidP="007E31AB">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 </w:t>
            </w:r>
            <w:r w:rsidR="00A13764" w:rsidRPr="00014D00">
              <w:rPr>
                <w:rFonts w:ascii="Times New Roman" w:hAnsi="Times New Roman" w:cs="Times New Roman"/>
                <w:bCs/>
                <w:sz w:val="20"/>
                <w:szCs w:val="20"/>
                <w:lang w:val="sq-AL"/>
              </w:rPr>
              <w:t>Disa iniciativa që janë futur në këtë projekt-program duket të përsëriten për disa vite. Duhet të themi se ende nuk ka pasur një vullnet politik të qartë dhe të fortë për reformat e politikës sociale. Për fat të keq, me listën e paraqitur të ndryshimeve të synuara nuk do të ketë ndonjë analizë të thellë dhe synimin për përmirësim më thelbësor të situatës. Disa iniciativa janë paraqitur në fazën shumë të re, edhe pse ato janë iniciuar 4-5 vjet më parë (p.sh. fondi i sigurimeve shëndetësore dhe financimi i shërbimeve sociale).</w:t>
            </w:r>
          </w:p>
          <w:p w:rsidR="00A13764" w:rsidRPr="00014D00" w:rsidRDefault="00AE2768" w:rsidP="007E31AB">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 </w:t>
            </w:r>
            <w:r w:rsidR="00A13764" w:rsidRPr="00014D00">
              <w:rPr>
                <w:rFonts w:ascii="Times New Roman" w:hAnsi="Times New Roman" w:cs="Times New Roman"/>
                <w:bCs/>
                <w:sz w:val="20"/>
                <w:szCs w:val="20"/>
                <w:lang w:val="sq-AL"/>
              </w:rPr>
              <w:t xml:space="preserve">Përfshirja e komunave në program është shumë e cekët. Përveç një ndërtimi të kapaciteteve, nuk ka asnjë kontribut thelbësor që kërkohet nga </w:t>
            </w:r>
            <w:r w:rsidR="00A13764" w:rsidRPr="00014D00">
              <w:rPr>
                <w:rFonts w:ascii="Times New Roman" w:hAnsi="Times New Roman" w:cs="Times New Roman"/>
                <w:bCs/>
                <w:sz w:val="20"/>
                <w:szCs w:val="20"/>
                <w:lang w:val="sq-AL"/>
              </w:rPr>
              <w:lastRenderedPageBreak/>
              <w:t>komunat. Kjo është në kundërshtim me nismat e reformave të decentralizimit që janë duke u zhvilluar për disa vite, veçanërisht në shërbimet sociale. Roli i komunave në këtë program, veçanërisht në përfshirjen sociale dhe shërbimet sociale duhet të forcohet, duhet të diskutohen me ta dhe me trupat e tyre të vërtetë të përfaqësimit, Asociacionin e Komunave të Kosovës (AKK), ndoshta edhe me shkëmbimin rajonal dhe mbështetjen organizuar nëpërmjet rrjetit të shoqatave të komunave NALAS.</w:t>
            </w:r>
          </w:p>
          <w:p w:rsidR="007E31AB" w:rsidRPr="00014D00" w:rsidRDefault="00AE2768" w:rsidP="007E31AB">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 </w:t>
            </w:r>
            <w:r w:rsidR="00A13764" w:rsidRPr="00014D00">
              <w:rPr>
                <w:rFonts w:ascii="Times New Roman" w:hAnsi="Times New Roman" w:cs="Times New Roman"/>
                <w:bCs/>
                <w:sz w:val="20"/>
                <w:szCs w:val="20"/>
                <w:lang w:val="sq-AL"/>
              </w:rPr>
              <w:t xml:space="preserve">Njerëzit me Nevoja të Veçanta janë përmendur vetëm një herë si një kategori e përgjithshme pa përpunim specifik të nevojave të tyre dhe aktiviteteve konkrete për të ndikuar në ndryshimin e mirëqenies së tyre. Ne konsiderojmë se ato mbeten një nga kategoritë më të </w:t>
            </w:r>
            <w:proofErr w:type="spellStart"/>
            <w:r w:rsidR="00A13764" w:rsidRPr="00014D00">
              <w:rPr>
                <w:rFonts w:ascii="Times New Roman" w:hAnsi="Times New Roman" w:cs="Times New Roman"/>
                <w:bCs/>
                <w:sz w:val="20"/>
                <w:szCs w:val="20"/>
                <w:lang w:val="sq-AL"/>
              </w:rPr>
              <w:t>margjinalizuara</w:t>
            </w:r>
            <w:proofErr w:type="spellEnd"/>
            <w:r w:rsidR="00A13764" w:rsidRPr="00014D00">
              <w:rPr>
                <w:rFonts w:ascii="Times New Roman" w:hAnsi="Times New Roman" w:cs="Times New Roman"/>
                <w:bCs/>
                <w:sz w:val="20"/>
                <w:szCs w:val="20"/>
                <w:lang w:val="sq-AL"/>
              </w:rPr>
              <w:t xml:space="preserve"> sociale në shoqëri.</w:t>
            </w:r>
          </w:p>
          <w:p w:rsidR="00111A19" w:rsidRPr="00014D00" w:rsidRDefault="00AE2768" w:rsidP="007E31AB">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 </w:t>
            </w:r>
            <w:r w:rsidR="00111A19" w:rsidRPr="00014D00">
              <w:rPr>
                <w:rFonts w:ascii="Times New Roman" w:hAnsi="Times New Roman" w:cs="Times New Roman"/>
                <w:bCs/>
                <w:sz w:val="20"/>
                <w:szCs w:val="20"/>
                <w:lang w:val="sq-AL"/>
              </w:rPr>
              <w:t xml:space="preserve">Njerëzit e moshuar, sidomos personat që kanë arritur moshën e daljes në pension janë gjithashtu të </w:t>
            </w:r>
            <w:proofErr w:type="spellStart"/>
            <w:r w:rsidR="00111A19" w:rsidRPr="00014D00">
              <w:rPr>
                <w:rFonts w:ascii="Times New Roman" w:hAnsi="Times New Roman" w:cs="Times New Roman"/>
                <w:bCs/>
                <w:sz w:val="20"/>
                <w:szCs w:val="20"/>
                <w:lang w:val="sq-AL"/>
              </w:rPr>
              <w:t>nënpërfaqësuara</w:t>
            </w:r>
            <w:proofErr w:type="spellEnd"/>
            <w:r w:rsidR="00111A19" w:rsidRPr="00014D00">
              <w:rPr>
                <w:rFonts w:ascii="Times New Roman" w:hAnsi="Times New Roman" w:cs="Times New Roman"/>
                <w:bCs/>
                <w:sz w:val="20"/>
                <w:szCs w:val="20"/>
                <w:lang w:val="sq-AL"/>
              </w:rPr>
              <w:t xml:space="preserve"> dhe nuk kemi parë ndonjë veprim konkret për këtë kategori specifike. Ne e theksojmë këtë kategori, së bashku me personat me aftësi të kufizuara, si dy kategori që mbeten më të prekshme sipas partnerëve tanë në komuna.</w:t>
            </w:r>
          </w:p>
          <w:p w:rsidR="00111A19" w:rsidRPr="00014D00" w:rsidRDefault="00AE2768" w:rsidP="007E31AB">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 </w:t>
            </w:r>
            <w:r w:rsidR="00111A19" w:rsidRPr="00014D00">
              <w:rPr>
                <w:rFonts w:ascii="Times New Roman" w:hAnsi="Times New Roman" w:cs="Times New Roman"/>
                <w:bCs/>
                <w:sz w:val="20"/>
                <w:szCs w:val="20"/>
                <w:lang w:val="sq-AL"/>
              </w:rPr>
              <w:t xml:space="preserve">Nuk ka asnjë indikacion për asnjë projekt zhvillimor ose aktivitete që mund të përdorin </w:t>
            </w:r>
            <w:proofErr w:type="spellStart"/>
            <w:r w:rsidR="00111A19" w:rsidRPr="00014D00">
              <w:rPr>
                <w:rFonts w:ascii="Times New Roman" w:hAnsi="Times New Roman" w:cs="Times New Roman"/>
                <w:bCs/>
                <w:sz w:val="20"/>
                <w:szCs w:val="20"/>
                <w:lang w:val="sq-AL"/>
              </w:rPr>
              <w:t>remitancat</w:t>
            </w:r>
            <w:proofErr w:type="spellEnd"/>
            <w:r w:rsidR="00111A19" w:rsidRPr="00014D00">
              <w:rPr>
                <w:rFonts w:ascii="Times New Roman" w:hAnsi="Times New Roman" w:cs="Times New Roman"/>
                <w:bCs/>
                <w:sz w:val="20"/>
                <w:szCs w:val="20"/>
                <w:lang w:val="sq-AL"/>
              </w:rPr>
              <w:t xml:space="preserve"> për të mbështetur disa nga objektivat e paraqitura dhe ose në kategoritë e rrezikut. Ka disa projekte shumë tërheqëse në rajon që gjithashtu tërheqin fonde të huaja, përmirësojnë punësimin dhe menaxhojnë migracionin.</w:t>
            </w:r>
          </w:p>
          <w:p w:rsidR="007E31AB" w:rsidRPr="00014D00" w:rsidRDefault="00AE2768" w:rsidP="00315AC5">
            <w:pPr>
              <w:jc w:val="both"/>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 </w:t>
            </w:r>
            <w:r w:rsidR="00315AC5" w:rsidRPr="00014D00">
              <w:rPr>
                <w:rFonts w:ascii="Times New Roman" w:hAnsi="Times New Roman" w:cs="Times New Roman"/>
                <w:bCs/>
                <w:sz w:val="20"/>
                <w:szCs w:val="20"/>
                <w:lang w:val="sq-AL"/>
              </w:rPr>
              <w:t xml:space="preserve">Ne nuk gjetëm ndonjë fjalë për menaxhimin e migracionit dhe ndërhyrjen specifike në lidhje me </w:t>
            </w:r>
            <w:r w:rsidR="00315AC5" w:rsidRPr="00014D00">
              <w:rPr>
                <w:rFonts w:ascii="Times New Roman" w:hAnsi="Times New Roman" w:cs="Times New Roman"/>
                <w:bCs/>
                <w:sz w:val="20"/>
                <w:szCs w:val="20"/>
                <w:lang w:val="sq-AL"/>
              </w:rPr>
              <w:lastRenderedPageBreak/>
              <w:t xml:space="preserve">të kthyerit, </w:t>
            </w:r>
            <w:proofErr w:type="spellStart"/>
            <w:r w:rsidR="00315AC5" w:rsidRPr="00014D00">
              <w:rPr>
                <w:rFonts w:ascii="Times New Roman" w:hAnsi="Times New Roman" w:cs="Times New Roman"/>
                <w:bCs/>
                <w:sz w:val="20"/>
                <w:szCs w:val="20"/>
                <w:lang w:val="sq-AL"/>
              </w:rPr>
              <w:t>riintegrimin</w:t>
            </w:r>
            <w:proofErr w:type="spellEnd"/>
            <w:r w:rsidR="00315AC5" w:rsidRPr="00014D00">
              <w:rPr>
                <w:rFonts w:ascii="Times New Roman" w:hAnsi="Times New Roman" w:cs="Times New Roman"/>
                <w:bCs/>
                <w:sz w:val="20"/>
                <w:szCs w:val="20"/>
                <w:lang w:val="sq-AL"/>
              </w:rPr>
              <w:t xml:space="preserve"> dhe përfshirjen e tyre. Asgjë për të synuar rininë, prezantimin e mekanizmave të rregullt të migracionit që mund të hapin mundësi për të rinjtë në studime, shkëmbimin e përvojave profesionale dhe proceset e tjera të integrimit në BE. Meqenëse migrimi dhe përfitimet dhe sfidat e tij luajnë një rol të rëndësishëm për ekonominë dhe shoqërinë e Kosovës, kjo fushë duhet adresuar në mënyrë më të d</w:t>
            </w:r>
            <w:r w:rsidR="005674AE" w:rsidRPr="00014D00">
              <w:rPr>
                <w:rFonts w:ascii="Times New Roman" w:hAnsi="Times New Roman" w:cs="Times New Roman"/>
                <w:bCs/>
                <w:sz w:val="20"/>
                <w:szCs w:val="20"/>
                <w:lang w:val="sq-AL"/>
              </w:rPr>
              <w:t>etajuar dhe të integrohet në PRE</w:t>
            </w:r>
            <w:r w:rsidR="00315AC5" w:rsidRPr="00014D00">
              <w:rPr>
                <w:rFonts w:ascii="Times New Roman" w:hAnsi="Times New Roman" w:cs="Times New Roman"/>
                <w:bCs/>
                <w:sz w:val="20"/>
                <w:szCs w:val="20"/>
                <w:lang w:val="sq-AL"/>
              </w:rPr>
              <w:t>.</w:t>
            </w:r>
          </w:p>
          <w:p w:rsidR="00E621EA" w:rsidRPr="00014D00" w:rsidRDefault="00AE2768" w:rsidP="00315AC5">
            <w:pPr>
              <w:jc w:val="both"/>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 </w:t>
            </w:r>
            <w:r w:rsidR="00315AC5" w:rsidRPr="00014D00">
              <w:rPr>
                <w:rFonts w:ascii="Times New Roman" w:hAnsi="Times New Roman" w:cs="Times New Roman"/>
                <w:bCs/>
                <w:sz w:val="20"/>
                <w:szCs w:val="20"/>
                <w:lang w:val="sq-AL"/>
              </w:rPr>
              <w:t xml:space="preserve">Ndërmarrjet sociale mbeten si një nga alternativat që duhet të merren parasysh në programet e ardhshme sociale. Ligji i sapoformuar mbi ndërmarrjen sociale është kritikuar shumë nga shoqëria civile. Pikat kryesore kritike janë se ligji ka disa pengesa të mëdha tatimore dhe financiare për ndërmarrjet sociale. Ky program mund të sugjerojë që ligji të pilotohet, vlerësohet dhe nëse është e nevojshme të ndryshohet në të ardhmen e afërt, si pjesë e këtij programi reformash. Kjo është një çështje e rëndësishme edhe në projektin </w:t>
            </w:r>
            <w:proofErr w:type="spellStart"/>
            <w:r w:rsidR="00315AC5" w:rsidRPr="00014D00">
              <w:rPr>
                <w:rFonts w:ascii="Times New Roman" w:hAnsi="Times New Roman" w:cs="Times New Roman"/>
                <w:bCs/>
                <w:sz w:val="20"/>
                <w:szCs w:val="20"/>
                <w:lang w:val="sq-AL"/>
              </w:rPr>
              <w:t>SoRi</w:t>
            </w:r>
            <w:proofErr w:type="spellEnd"/>
            <w:r w:rsidR="00315AC5" w:rsidRPr="00014D00">
              <w:rPr>
                <w:rFonts w:ascii="Times New Roman" w:hAnsi="Times New Roman" w:cs="Times New Roman"/>
                <w:bCs/>
                <w:sz w:val="20"/>
                <w:szCs w:val="20"/>
                <w:lang w:val="sq-AL"/>
              </w:rPr>
              <w:t xml:space="preserve"> dhe ne do të ishim të lumtur për të mbështetur zhvillimin e kuadrit ligjor, praktikat e zbatimit dhe ngritjen e kapaciteteve si në administratë ashtu edhe në OJQ.</w:t>
            </w:r>
          </w:p>
        </w:tc>
        <w:tc>
          <w:tcPr>
            <w:tcW w:w="1463" w:type="dxa"/>
            <w:shd w:val="clear" w:color="auto" w:fill="DEEAF6" w:themeFill="accent1" w:themeFillTint="33"/>
          </w:tcPr>
          <w:p w:rsidR="00E621EA" w:rsidRPr="00014D00" w:rsidRDefault="00E621EA" w:rsidP="00D05FE8">
            <w:pPr>
              <w:pStyle w:val="NoSpacing"/>
              <w:spacing w:line="276" w:lineRule="auto"/>
            </w:pPr>
          </w:p>
        </w:tc>
        <w:tc>
          <w:tcPr>
            <w:tcW w:w="1350" w:type="dxa"/>
            <w:shd w:val="clear" w:color="auto" w:fill="DEEAF6" w:themeFill="accent1" w:themeFillTint="33"/>
          </w:tcPr>
          <w:p w:rsidR="00E621EA" w:rsidRPr="00014D00" w:rsidRDefault="00E621EA" w:rsidP="00D05FE8">
            <w:pPr>
              <w:rPr>
                <w:rFonts w:ascii="Times New Roman" w:hAnsi="Times New Roman" w:cs="Times New Roman"/>
                <w:bCs/>
                <w:sz w:val="20"/>
                <w:szCs w:val="20"/>
                <w:lang w:val="sq-AL"/>
              </w:rPr>
            </w:pPr>
          </w:p>
        </w:tc>
        <w:tc>
          <w:tcPr>
            <w:tcW w:w="6434" w:type="dxa"/>
            <w:shd w:val="clear" w:color="auto" w:fill="DEEAF6" w:themeFill="accent1" w:themeFillTint="33"/>
          </w:tcPr>
          <w:p w:rsidR="00BB48B0" w:rsidRPr="00014D00" w:rsidRDefault="00BB48B0" w:rsidP="00D05FE8">
            <w:pPr>
              <w:jc w:val="both"/>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Me kërkesë të Komisionit Evropian i është dhënë më shumë fokus sigurimeve shëndetësore dhe si pasojë e formatit </w:t>
            </w:r>
            <w:proofErr w:type="spellStart"/>
            <w:r w:rsidRPr="00014D00">
              <w:rPr>
                <w:rFonts w:ascii="Times New Roman" w:hAnsi="Times New Roman" w:cs="Times New Roman"/>
                <w:bCs/>
                <w:sz w:val="20"/>
                <w:szCs w:val="20"/>
                <w:lang w:val="sq-AL"/>
              </w:rPr>
              <w:t>strikt</w:t>
            </w:r>
            <w:proofErr w:type="spellEnd"/>
            <w:r w:rsidRPr="00014D00">
              <w:rPr>
                <w:rFonts w:ascii="Times New Roman" w:hAnsi="Times New Roman" w:cs="Times New Roman"/>
                <w:bCs/>
                <w:sz w:val="20"/>
                <w:szCs w:val="20"/>
                <w:lang w:val="sq-AL"/>
              </w:rPr>
              <w:t xml:space="preserve"> të PRE i cili duhet të ndiqet i është dhënë më shumë hapësirë kësaj </w:t>
            </w:r>
            <w:proofErr w:type="spellStart"/>
            <w:r w:rsidRPr="00014D00">
              <w:rPr>
                <w:rFonts w:ascii="Times New Roman" w:hAnsi="Times New Roman" w:cs="Times New Roman"/>
                <w:bCs/>
                <w:sz w:val="20"/>
                <w:szCs w:val="20"/>
                <w:lang w:val="sq-AL"/>
              </w:rPr>
              <w:t>qështje</w:t>
            </w:r>
            <w:proofErr w:type="spellEnd"/>
            <w:r w:rsidRPr="00014D00">
              <w:rPr>
                <w:rFonts w:ascii="Times New Roman" w:hAnsi="Times New Roman" w:cs="Times New Roman"/>
                <w:bCs/>
                <w:sz w:val="20"/>
                <w:szCs w:val="20"/>
                <w:lang w:val="sq-AL"/>
              </w:rPr>
              <w:t xml:space="preserve">. Ashtu </w:t>
            </w:r>
            <w:proofErr w:type="spellStart"/>
            <w:r w:rsidRPr="00014D00">
              <w:rPr>
                <w:rFonts w:ascii="Times New Roman" w:hAnsi="Times New Roman" w:cs="Times New Roman"/>
                <w:bCs/>
                <w:sz w:val="20"/>
                <w:szCs w:val="20"/>
                <w:lang w:val="sq-AL"/>
              </w:rPr>
              <w:t>siq</w:t>
            </w:r>
            <w:proofErr w:type="spellEnd"/>
            <w:r w:rsidRPr="00014D00">
              <w:rPr>
                <w:rFonts w:ascii="Times New Roman" w:hAnsi="Times New Roman" w:cs="Times New Roman"/>
                <w:bCs/>
                <w:sz w:val="20"/>
                <w:szCs w:val="20"/>
                <w:lang w:val="sq-AL"/>
              </w:rPr>
              <w:t xml:space="preserve"> mund të vëreni disa nga aktivitetet janë përsëritur si pasojë e vonesav</w:t>
            </w:r>
            <w:r w:rsidR="0015792C" w:rsidRPr="00014D00">
              <w:rPr>
                <w:rFonts w:ascii="Times New Roman" w:hAnsi="Times New Roman" w:cs="Times New Roman"/>
                <w:bCs/>
                <w:sz w:val="20"/>
                <w:szCs w:val="20"/>
                <w:lang w:val="sq-AL"/>
              </w:rPr>
              <w:t>e apo dështimit në implementim</w:t>
            </w:r>
            <w:r w:rsidRPr="00014D00">
              <w:rPr>
                <w:rFonts w:ascii="Times New Roman" w:hAnsi="Times New Roman" w:cs="Times New Roman"/>
                <w:bCs/>
                <w:sz w:val="20"/>
                <w:szCs w:val="20"/>
                <w:lang w:val="sq-AL"/>
              </w:rPr>
              <w:t xml:space="preserve"> duke </w:t>
            </w:r>
            <w:proofErr w:type="spellStart"/>
            <w:r w:rsidRPr="00014D00">
              <w:rPr>
                <w:rFonts w:ascii="Times New Roman" w:hAnsi="Times New Roman" w:cs="Times New Roman"/>
                <w:bCs/>
                <w:sz w:val="20"/>
                <w:szCs w:val="20"/>
                <w:lang w:val="sq-AL"/>
              </w:rPr>
              <w:t>patur</w:t>
            </w:r>
            <w:proofErr w:type="spellEnd"/>
            <w:r w:rsidRPr="00014D00">
              <w:rPr>
                <w:rFonts w:ascii="Times New Roman" w:hAnsi="Times New Roman" w:cs="Times New Roman"/>
                <w:bCs/>
                <w:sz w:val="20"/>
                <w:szCs w:val="20"/>
                <w:lang w:val="sq-AL"/>
              </w:rPr>
              <w:t xml:space="preserve"> paras</w:t>
            </w:r>
            <w:r w:rsidR="0015792C" w:rsidRPr="00014D00">
              <w:rPr>
                <w:rFonts w:ascii="Times New Roman" w:hAnsi="Times New Roman" w:cs="Times New Roman"/>
                <w:bCs/>
                <w:sz w:val="20"/>
                <w:szCs w:val="20"/>
                <w:lang w:val="sq-AL"/>
              </w:rPr>
              <w:t xml:space="preserve">ysh rëndësinë </w:t>
            </w:r>
            <w:r w:rsidRPr="00014D00">
              <w:rPr>
                <w:rFonts w:ascii="Times New Roman" w:hAnsi="Times New Roman" w:cs="Times New Roman"/>
                <w:bCs/>
                <w:sz w:val="20"/>
                <w:szCs w:val="20"/>
                <w:lang w:val="sq-AL"/>
              </w:rPr>
              <w:t xml:space="preserve"> e tyre në kuadër të reformës ekonomike. PRE nuk synon të mbuloj të gjitha </w:t>
            </w:r>
            <w:proofErr w:type="spellStart"/>
            <w:r w:rsidRPr="00014D00">
              <w:rPr>
                <w:rFonts w:ascii="Times New Roman" w:hAnsi="Times New Roman" w:cs="Times New Roman"/>
                <w:bCs/>
                <w:sz w:val="20"/>
                <w:szCs w:val="20"/>
                <w:lang w:val="sq-AL"/>
              </w:rPr>
              <w:t>qështjet</w:t>
            </w:r>
            <w:proofErr w:type="spellEnd"/>
            <w:r w:rsidRPr="00014D00">
              <w:rPr>
                <w:rFonts w:ascii="Times New Roman" w:hAnsi="Times New Roman" w:cs="Times New Roman"/>
                <w:bCs/>
                <w:sz w:val="20"/>
                <w:szCs w:val="20"/>
                <w:lang w:val="sq-AL"/>
              </w:rPr>
              <w:t xml:space="preserve"> dhe politikat e ndërlidhura me përfshirjen sociale. </w:t>
            </w:r>
          </w:p>
        </w:tc>
      </w:tr>
      <w:tr w:rsidR="00E621EA" w:rsidRPr="00014D00" w:rsidTr="007C794E">
        <w:trPr>
          <w:trHeight w:val="1025"/>
        </w:trPr>
        <w:tc>
          <w:tcPr>
            <w:tcW w:w="1350" w:type="dxa"/>
            <w:shd w:val="clear" w:color="auto" w:fill="DEEAF6" w:themeFill="accent1" w:themeFillTint="33"/>
          </w:tcPr>
          <w:p w:rsidR="00E621EA" w:rsidRPr="00014D00" w:rsidRDefault="00F960BB" w:rsidP="00DC4BDA">
            <w:pPr>
              <w:rPr>
                <w:rFonts w:ascii="Times New Roman" w:hAnsi="Times New Roman" w:cs="Times New Roman"/>
                <w:sz w:val="20"/>
                <w:szCs w:val="20"/>
                <w:lang w:val="sq-AL"/>
              </w:rPr>
            </w:pPr>
            <w:r w:rsidRPr="00014D00">
              <w:rPr>
                <w:rFonts w:ascii="Times New Roman" w:hAnsi="Times New Roman" w:cs="Times New Roman"/>
                <w:sz w:val="20"/>
                <w:szCs w:val="20"/>
                <w:lang w:val="sq-AL"/>
              </w:rPr>
              <w:lastRenderedPageBreak/>
              <w:t>Reforma Ligjore dhe Administrative</w:t>
            </w:r>
          </w:p>
        </w:tc>
        <w:tc>
          <w:tcPr>
            <w:tcW w:w="4163" w:type="dxa"/>
            <w:shd w:val="clear" w:color="auto" w:fill="DEEAF6" w:themeFill="accent1" w:themeFillTint="33"/>
          </w:tcPr>
          <w:p w:rsidR="007E31AB" w:rsidRPr="00014D00" w:rsidRDefault="00F960BB" w:rsidP="007E31AB">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Faqe</w:t>
            </w:r>
            <w:r w:rsidR="007E31AB" w:rsidRPr="00014D00">
              <w:rPr>
                <w:rFonts w:ascii="Times New Roman" w:hAnsi="Times New Roman" w:cs="Times New Roman"/>
                <w:bCs/>
                <w:sz w:val="20"/>
                <w:szCs w:val="20"/>
                <w:lang w:val="sq-AL"/>
              </w:rPr>
              <w:t xml:space="preserve"> 4</w:t>
            </w:r>
          </w:p>
          <w:p w:rsidR="007E31AB" w:rsidRPr="00014D00" w:rsidRDefault="00F960BB" w:rsidP="00F960BB">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Përse të kufizoheni vetëm në kontestet ekonomike? Konfliktet administrative (lejet e ndërtimit, licencat e biznesit, regjistrimi i pronës, taksat) po aq të rëndësishme, shih gjithashtu paragrafin e fundit në faqen 3</w:t>
            </w:r>
          </w:p>
          <w:p w:rsidR="007E31AB" w:rsidRPr="00014D00" w:rsidRDefault="00365A1E" w:rsidP="007E31AB">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Faqe </w:t>
            </w:r>
            <w:r w:rsidR="007E31AB" w:rsidRPr="00014D00">
              <w:rPr>
                <w:rFonts w:ascii="Times New Roman" w:hAnsi="Times New Roman" w:cs="Times New Roman"/>
                <w:bCs/>
                <w:sz w:val="20"/>
                <w:szCs w:val="20"/>
                <w:lang w:val="sq-AL"/>
              </w:rPr>
              <w:t xml:space="preserve"> 9</w:t>
            </w:r>
          </w:p>
          <w:p w:rsidR="007E31AB" w:rsidRPr="00014D00" w:rsidRDefault="00365A1E" w:rsidP="007E31AB">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lastRenderedPageBreak/>
              <w:t>• Ngritja e kapaciteteve për IKAP si institucion kompetent për të kryer trajnimin e prokurimit publik është thelbësor dhe duhet të theksohet.</w:t>
            </w:r>
          </w:p>
          <w:p w:rsidR="007E31AB" w:rsidRPr="00014D00" w:rsidRDefault="00365A1E" w:rsidP="007E31AB">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Përveç nëpunësve civilë, gjyqtarët administrativë duhet të trajnohen në prokurime publike, ndoshta edhe trajnime të përbashkëta</w:t>
            </w:r>
          </w:p>
          <w:p w:rsidR="007E31AB" w:rsidRPr="00014D00" w:rsidRDefault="00365A1E" w:rsidP="007E31AB">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Faqe </w:t>
            </w:r>
            <w:r w:rsidR="007E31AB" w:rsidRPr="00014D00">
              <w:rPr>
                <w:rFonts w:ascii="Times New Roman" w:hAnsi="Times New Roman" w:cs="Times New Roman"/>
                <w:bCs/>
                <w:sz w:val="20"/>
                <w:szCs w:val="20"/>
                <w:lang w:val="sq-AL"/>
              </w:rPr>
              <w:t>30</w:t>
            </w:r>
          </w:p>
          <w:p w:rsidR="007E31AB" w:rsidRPr="00014D00" w:rsidRDefault="00365A1E" w:rsidP="00365A1E">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Aktiviteti 2 i planifikuar në vitin 2018: Çfarë ndodhi me draftin që është zhvilluar nga MD?</w:t>
            </w:r>
          </w:p>
          <w:p w:rsidR="007E31AB" w:rsidRPr="00014D00" w:rsidRDefault="00365A1E" w:rsidP="007E31AB">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Faqe</w:t>
            </w:r>
            <w:r w:rsidR="007E31AB" w:rsidRPr="00014D00">
              <w:rPr>
                <w:rFonts w:ascii="Times New Roman" w:hAnsi="Times New Roman" w:cs="Times New Roman"/>
                <w:bCs/>
                <w:sz w:val="20"/>
                <w:szCs w:val="20"/>
                <w:lang w:val="sq-AL"/>
              </w:rPr>
              <w:t xml:space="preserve"> 32</w:t>
            </w:r>
          </w:p>
          <w:p w:rsidR="00E621EA" w:rsidRPr="00014D00" w:rsidRDefault="00365A1E" w:rsidP="00365A1E">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 Ndikimi mbi punësimin dhe çështjet gjinore: </w:t>
            </w:r>
            <w:proofErr w:type="spellStart"/>
            <w:r w:rsidRPr="00014D00">
              <w:rPr>
                <w:rFonts w:ascii="Times New Roman" w:hAnsi="Times New Roman" w:cs="Times New Roman"/>
                <w:bCs/>
                <w:sz w:val="20"/>
                <w:szCs w:val="20"/>
                <w:lang w:val="sq-AL"/>
              </w:rPr>
              <w:t>Informaliteti</w:t>
            </w:r>
            <w:proofErr w:type="spellEnd"/>
            <w:r w:rsidRPr="00014D00">
              <w:rPr>
                <w:rFonts w:ascii="Times New Roman" w:hAnsi="Times New Roman" w:cs="Times New Roman"/>
                <w:bCs/>
                <w:sz w:val="20"/>
                <w:szCs w:val="20"/>
                <w:lang w:val="sq-AL"/>
              </w:rPr>
              <w:t xml:space="preserve"> dhe kontratat verbale janë arsyet kryesore për pabarazinë gjinore në çështjet e pronësisë. Masa do ta përmirësonte shumë këtë situatë dhe duhet theksuar lidhja.</w:t>
            </w:r>
          </w:p>
        </w:tc>
        <w:tc>
          <w:tcPr>
            <w:tcW w:w="1463" w:type="dxa"/>
            <w:shd w:val="clear" w:color="auto" w:fill="DEEAF6" w:themeFill="accent1" w:themeFillTint="33"/>
          </w:tcPr>
          <w:p w:rsidR="00E621EA" w:rsidRPr="00014D00" w:rsidRDefault="00E621EA" w:rsidP="00D05FE8">
            <w:pPr>
              <w:pStyle w:val="NoSpacing"/>
              <w:spacing w:line="276" w:lineRule="auto"/>
            </w:pPr>
          </w:p>
        </w:tc>
        <w:tc>
          <w:tcPr>
            <w:tcW w:w="1350" w:type="dxa"/>
            <w:shd w:val="clear" w:color="auto" w:fill="DEEAF6" w:themeFill="accent1" w:themeFillTint="33"/>
          </w:tcPr>
          <w:p w:rsidR="00E621EA" w:rsidRPr="00014D00" w:rsidRDefault="00E621EA" w:rsidP="00D05FE8">
            <w:pPr>
              <w:rPr>
                <w:rFonts w:ascii="Times New Roman" w:hAnsi="Times New Roman" w:cs="Times New Roman"/>
                <w:bCs/>
                <w:sz w:val="20"/>
                <w:szCs w:val="20"/>
                <w:lang w:val="sq-AL"/>
              </w:rPr>
            </w:pPr>
          </w:p>
        </w:tc>
        <w:tc>
          <w:tcPr>
            <w:tcW w:w="6434" w:type="dxa"/>
            <w:shd w:val="clear" w:color="auto" w:fill="DEEAF6" w:themeFill="accent1" w:themeFillTint="33"/>
          </w:tcPr>
          <w:p w:rsidR="00CC2BFA" w:rsidRPr="00014D00" w:rsidRDefault="00CC2BFA" w:rsidP="00CC2BFA">
            <w:pPr>
              <w:rPr>
                <w:bCs/>
                <w:lang w:val="sq-AL"/>
              </w:rPr>
            </w:pPr>
          </w:p>
          <w:p w:rsidR="00CC2BFA" w:rsidRPr="00014D00" w:rsidRDefault="00CC2BFA" w:rsidP="00CC2BFA">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KIPA është duke </w:t>
            </w:r>
            <w:proofErr w:type="spellStart"/>
            <w:r w:rsidRPr="00014D00">
              <w:rPr>
                <w:rFonts w:ascii="Times New Roman" w:hAnsi="Times New Roman" w:cs="Times New Roman"/>
                <w:bCs/>
                <w:sz w:val="20"/>
                <w:szCs w:val="20"/>
                <w:lang w:val="sq-AL"/>
              </w:rPr>
              <w:t>implementuar</w:t>
            </w:r>
            <w:proofErr w:type="spellEnd"/>
            <w:r w:rsidRPr="00014D00">
              <w:rPr>
                <w:rFonts w:ascii="Times New Roman" w:hAnsi="Times New Roman" w:cs="Times New Roman"/>
                <w:bCs/>
                <w:sz w:val="20"/>
                <w:szCs w:val="20"/>
                <w:lang w:val="sq-AL"/>
              </w:rPr>
              <w:t xml:space="preserve"> trajnimin e gjykatësve dhe kjo është përfshirë</w:t>
            </w:r>
            <w:r w:rsidR="0015792C" w:rsidRPr="00014D00">
              <w:rPr>
                <w:rFonts w:ascii="Times New Roman" w:hAnsi="Times New Roman" w:cs="Times New Roman"/>
                <w:bCs/>
                <w:sz w:val="20"/>
                <w:szCs w:val="20"/>
                <w:lang w:val="sq-AL"/>
              </w:rPr>
              <w:t xml:space="preserve"> në PRE</w:t>
            </w:r>
            <w:r w:rsidRPr="00014D00">
              <w:rPr>
                <w:rFonts w:ascii="Times New Roman" w:hAnsi="Times New Roman" w:cs="Times New Roman"/>
                <w:bCs/>
                <w:sz w:val="20"/>
                <w:szCs w:val="20"/>
                <w:lang w:val="sq-AL"/>
              </w:rPr>
              <w:t>.</w:t>
            </w:r>
          </w:p>
          <w:p w:rsidR="00E621EA" w:rsidRPr="00014D00" w:rsidRDefault="00E621EA" w:rsidP="00D05FE8">
            <w:pPr>
              <w:jc w:val="both"/>
              <w:rPr>
                <w:rFonts w:ascii="Times New Roman" w:hAnsi="Times New Roman" w:cs="Times New Roman"/>
                <w:bCs/>
                <w:sz w:val="20"/>
                <w:szCs w:val="20"/>
                <w:lang w:val="sq-AL"/>
              </w:rPr>
            </w:pPr>
          </w:p>
        </w:tc>
      </w:tr>
      <w:tr w:rsidR="007E31AB" w:rsidRPr="00014D00" w:rsidTr="007C794E">
        <w:trPr>
          <w:trHeight w:val="1025"/>
        </w:trPr>
        <w:tc>
          <w:tcPr>
            <w:tcW w:w="1350" w:type="dxa"/>
            <w:shd w:val="clear" w:color="auto" w:fill="DEEAF6" w:themeFill="accent1" w:themeFillTint="33"/>
          </w:tcPr>
          <w:p w:rsidR="007E31AB" w:rsidRPr="00014D00" w:rsidRDefault="00867318" w:rsidP="00DC4BDA">
            <w:pPr>
              <w:rPr>
                <w:rFonts w:ascii="Times New Roman" w:hAnsi="Times New Roman" w:cs="Times New Roman"/>
                <w:sz w:val="20"/>
                <w:szCs w:val="20"/>
                <w:lang w:val="sq-AL"/>
              </w:rPr>
            </w:pPr>
            <w:r w:rsidRPr="00014D00">
              <w:rPr>
                <w:rFonts w:ascii="Times New Roman" w:hAnsi="Times New Roman" w:cs="Times New Roman"/>
                <w:sz w:val="20"/>
                <w:szCs w:val="20"/>
                <w:lang w:val="sq-AL"/>
              </w:rPr>
              <w:lastRenderedPageBreak/>
              <w:t>Menaxhimi i mbeturinave.</w:t>
            </w:r>
          </w:p>
        </w:tc>
        <w:tc>
          <w:tcPr>
            <w:tcW w:w="4163" w:type="dxa"/>
            <w:shd w:val="clear" w:color="auto" w:fill="DEEAF6" w:themeFill="accent1" w:themeFillTint="33"/>
          </w:tcPr>
          <w:p w:rsidR="00867318" w:rsidRPr="00014D00" w:rsidRDefault="007E31AB" w:rsidP="00F960BB">
            <w:pPr>
              <w:rPr>
                <w:rFonts w:ascii="Times New Roman" w:hAnsi="Times New Roman" w:cs="Times New Roman"/>
                <w:bCs/>
                <w:sz w:val="20"/>
                <w:szCs w:val="20"/>
                <w:lang w:val="sq-AL"/>
              </w:rPr>
            </w:pPr>
            <w:r w:rsidRPr="00014D00">
              <w:rPr>
                <w:rFonts w:ascii="Times New Roman" w:hAnsi="Times New Roman" w:cs="Times New Roman"/>
                <w:bCs/>
                <w:sz w:val="20"/>
                <w:szCs w:val="20"/>
                <w:lang w:val="sq-AL"/>
              </w:rPr>
              <w:t>•</w:t>
            </w:r>
            <w:r w:rsidR="00600658" w:rsidRPr="00014D00">
              <w:rPr>
                <w:rFonts w:ascii="Times New Roman" w:hAnsi="Times New Roman" w:cs="Times New Roman"/>
                <w:bCs/>
                <w:sz w:val="20"/>
                <w:szCs w:val="20"/>
                <w:lang w:val="sq-AL"/>
              </w:rPr>
              <w:t>Një parim themelor i PRE</w:t>
            </w:r>
            <w:r w:rsidR="00F960BB" w:rsidRPr="00014D00">
              <w:rPr>
                <w:rFonts w:ascii="Times New Roman" w:hAnsi="Times New Roman" w:cs="Times New Roman"/>
                <w:bCs/>
                <w:sz w:val="20"/>
                <w:szCs w:val="20"/>
                <w:lang w:val="sq-AL"/>
              </w:rPr>
              <w:t xml:space="preserve"> duhet</w:t>
            </w:r>
            <w:r w:rsidR="00397E3A" w:rsidRPr="00014D00">
              <w:rPr>
                <w:rFonts w:ascii="Times New Roman" w:hAnsi="Times New Roman" w:cs="Times New Roman"/>
                <w:bCs/>
                <w:sz w:val="20"/>
                <w:szCs w:val="20"/>
                <w:lang w:val="sq-AL"/>
              </w:rPr>
              <w:t xml:space="preserve"> të jetë ekonomia e </w:t>
            </w:r>
            <w:r w:rsidR="00867318" w:rsidRPr="00014D00">
              <w:rPr>
                <w:rFonts w:ascii="Times New Roman" w:hAnsi="Times New Roman" w:cs="Times New Roman"/>
                <w:bCs/>
                <w:sz w:val="20"/>
                <w:szCs w:val="20"/>
                <w:lang w:val="sq-AL"/>
              </w:rPr>
              <w:t xml:space="preserve"> në kontrast me ekonominë tradicionale lineare  në të cilën i mbajmë burimet në përdorim sa më gjatë që të jetë e mundur, të nxjerrim vlerën maksimale prej tyre derisa të përdorim, pastaj të rigjenero</w:t>
            </w:r>
            <w:r w:rsidR="00F960BB" w:rsidRPr="00014D00">
              <w:rPr>
                <w:rFonts w:ascii="Times New Roman" w:hAnsi="Times New Roman" w:cs="Times New Roman"/>
                <w:bCs/>
                <w:sz w:val="20"/>
                <w:szCs w:val="20"/>
                <w:lang w:val="sq-AL"/>
              </w:rPr>
              <w:t>hen</w:t>
            </w:r>
            <w:r w:rsidR="00867318" w:rsidRPr="00014D00">
              <w:rPr>
                <w:rFonts w:ascii="Times New Roman" w:hAnsi="Times New Roman" w:cs="Times New Roman"/>
                <w:bCs/>
                <w:sz w:val="20"/>
                <w:szCs w:val="20"/>
                <w:lang w:val="sq-AL"/>
              </w:rPr>
              <w:t xml:space="preserve"> produktet dh</w:t>
            </w:r>
            <w:r w:rsidR="00600658" w:rsidRPr="00014D00">
              <w:rPr>
                <w:rFonts w:ascii="Times New Roman" w:hAnsi="Times New Roman" w:cs="Times New Roman"/>
                <w:bCs/>
                <w:sz w:val="20"/>
                <w:szCs w:val="20"/>
                <w:lang w:val="sq-AL"/>
              </w:rPr>
              <w:t>e materialet në fund të çdo përdorimi</w:t>
            </w:r>
            <w:r w:rsidR="00867318" w:rsidRPr="00014D00">
              <w:rPr>
                <w:rFonts w:ascii="Times New Roman" w:hAnsi="Times New Roman" w:cs="Times New Roman"/>
                <w:bCs/>
                <w:sz w:val="20"/>
                <w:szCs w:val="20"/>
                <w:lang w:val="sq-AL"/>
              </w:rPr>
              <w:t xml:space="preserve">. Një parim që Kosova duhet të zbatojë </w:t>
            </w:r>
            <w:r w:rsidR="00F960BB" w:rsidRPr="00014D00">
              <w:rPr>
                <w:rFonts w:ascii="Times New Roman" w:hAnsi="Times New Roman" w:cs="Times New Roman"/>
                <w:bCs/>
                <w:sz w:val="20"/>
                <w:szCs w:val="20"/>
                <w:lang w:val="sq-AL"/>
              </w:rPr>
              <w:t xml:space="preserve">në 2018/19 është Përgjegjësia e Zgjeruar e </w:t>
            </w:r>
            <w:r w:rsidR="00867318" w:rsidRPr="00014D00">
              <w:rPr>
                <w:rFonts w:ascii="Times New Roman" w:hAnsi="Times New Roman" w:cs="Times New Roman"/>
                <w:bCs/>
                <w:sz w:val="20"/>
                <w:szCs w:val="20"/>
                <w:lang w:val="sq-AL"/>
              </w:rPr>
              <w:t xml:space="preserve">Prodhuesve (EPR) për kontejnerët e pijeve, duke lejuar rikuperimin e materialit përkatës përmes sektorit privat. Veprimi në vijim është: Instaloni një Sistem EPR për kontejnerët e pijeve përmes mekanizmit të një sistemi të </w:t>
            </w:r>
            <w:proofErr w:type="spellStart"/>
            <w:r w:rsidR="00867318" w:rsidRPr="00014D00">
              <w:rPr>
                <w:rFonts w:ascii="Times New Roman" w:hAnsi="Times New Roman" w:cs="Times New Roman"/>
                <w:bCs/>
                <w:sz w:val="20"/>
                <w:szCs w:val="20"/>
                <w:lang w:val="sq-AL"/>
              </w:rPr>
              <w:t>rimbursimit</w:t>
            </w:r>
            <w:proofErr w:type="spellEnd"/>
            <w:r w:rsidR="00867318" w:rsidRPr="00014D00">
              <w:rPr>
                <w:rFonts w:ascii="Times New Roman" w:hAnsi="Times New Roman" w:cs="Times New Roman"/>
                <w:bCs/>
                <w:sz w:val="20"/>
                <w:szCs w:val="20"/>
                <w:lang w:val="sq-AL"/>
              </w:rPr>
              <w:t xml:space="preserve"> të depozitave.</w:t>
            </w:r>
          </w:p>
        </w:tc>
        <w:tc>
          <w:tcPr>
            <w:tcW w:w="1463" w:type="dxa"/>
            <w:shd w:val="clear" w:color="auto" w:fill="DEEAF6" w:themeFill="accent1" w:themeFillTint="33"/>
          </w:tcPr>
          <w:p w:rsidR="007E31AB" w:rsidRPr="00014D00" w:rsidRDefault="007E31AB" w:rsidP="00D05FE8">
            <w:pPr>
              <w:pStyle w:val="NoSpacing"/>
              <w:spacing w:line="276" w:lineRule="auto"/>
            </w:pPr>
          </w:p>
        </w:tc>
        <w:tc>
          <w:tcPr>
            <w:tcW w:w="1350" w:type="dxa"/>
            <w:shd w:val="clear" w:color="auto" w:fill="DEEAF6" w:themeFill="accent1" w:themeFillTint="33"/>
          </w:tcPr>
          <w:p w:rsidR="007E31AB" w:rsidRPr="00014D00" w:rsidRDefault="007E31AB" w:rsidP="00D05FE8">
            <w:pPr>
              <w:rPr>
                <w:rFonts w:ascii="Times New Roman" w:hAnsi="Times New Roman" w:cs="Times New Roman"/>
                <w:bCs/>
                <w:sz w:val="20"/>
                <w:szCs w:val="20"/>
                <w:lang w:val="sq-AL"/>
              </w:rPr>
            </w:pPr>
          </w:p>
        </w:tc>
        <w:tc>
          <w:tcPr>
            <w:tcW w:w="6434" w:type="dxa"/>
            <w:shd w:val="clear" w:color="auto" w:fill="DEEAF6" w:themeFill="accent1" w:themeFillTint="33"/>
          </w:tcPr>
          <w:p w:rsidR="007E31AB" w:rsidRPr="00014D00" w:rsidRDefault="005674AE" w:rsidP="00D05FE8">
            <w:pPr>
              <w:jc w:val="both"/>
              <w:rPr>
                <w:rFonts w:ascii="Times New Roman" w:hAnsi="Times New Roman" w:cs="Times New Roman"/>
                <w:bCs/>
                <w:sz w:val="20"/>
                <w:szCs w:val="20"/>
                <w:lang w:val="sq-AL"/>
              </w:rPr>
            </w:pPr>
            <w:r w:rsidRPr="00014D00">
              <w:rPr>
                <w:rFonts w:ascii="Times New Roman" w:hAnsi="Times New Roman" w:cs="Times New Roman"/>
                <w:bCs/>
                <w:sz w:val="20"/>
                <w:szCs w:val="20"/>
                <w:lang w:val="sq-AL"/>
              </w:rPr>
              <w:t xml:space="preserve">Masat që ndërlidhen me fushën e mjedisit nuk janë të parapara të përfshihen në kuadër të PRE, sipas strukturës së definuar nga KE. </w:t>
            </w:r>
          </w:p>
        </w:tc>
      </w:tr>
    </w:tbl>
    <w:p w:rsidR="00FA7DC4" w:rsidRPr="00014D00" w:rsidRDefault="00FA7DC4" w:rsidP="00E24AC8">
      <w:pPr>
        <w:rPr>
          <w:rFonts w:ascii="Book Antiqua" w:hAnsi="Book Antiqua" w:cs="Times New Roman"/>
          <w:b/>
          <w:sz w:val="24"/>
          <w:szCs w:val="24"/>
          <w:lang w:val="sq-AL"/>
        </w:rPr>
      </w:pPr>
    </w:p>
    <w:sectPr w:rsidR="00FA7DC4" w:rsidRPr="00014D00" w:rsidSect="002C0D8A">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FE1" w:rsidRDefault="00096FE1" w:rsidP="00867173">
      <w:pPr>
        <w:spacing w:after="0" w:line="240" w:lineRule="auto"/>
      </w:pPr>
      <w:r>
        <w:separator/>
      </w:r>
    </w:p>
  </w:endnote>
  <w:endnote w:type="continuationSeparator" w:id="0">
    <w:p w:rsidR="00096FE1" w:rsidRDefault="00096FE1" w:rsidP="0086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FE8" w:rsidRDefault="00985E43" w:rsidP="00D05FE8">
    <w:pPr>
      <w:pStyle w:val="Footer"/>
      <w:framePr w:wrap="around" w:vAnchor="text" w:hAnchor="margin" w:xAlign="center" w:y="1"/>
      <w:rPr>
        <w:rStyle w:val="PageNumber"/>
      </w:rPr>
    </w:pPr>
    <w:r>
      <w:rPr>
        <w:rStyle w:val="PageNumber"/>
      </w:rPr>
      <w:fldChar w:fldCharType="begin"/>
    </w:r>
    <w:r w:rsidR="00D05FE8">
      <w:rPr>
        <w:rStyle w:val="PageNumber"/>
      </w:rPr>
      <w:instrText xml:space="preserve">PAGE  </w:instrText>
    </w:r>
    <w:r>
      <w:rPr>
        <w:rStyle w:val="PageNumber"/>
      </w:rPr>
      <w:fldChar w:fldCharType="end"/>
    </w:r>
  </w:p>
  <w:p w:rsidR="00D05FE8" w:rsidRDefault="00D05F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FE8" w:rsidRDefault="00985E43" w:rsidP="00D05FE8">
    <w:pPr>
      <w:pStyle w:val="Footer"/>
      <w:framePr w:wrap="around" w:vAnchor="text" w:hAnchor="margin" w:xAlign="center" w:y="1"/>
      <w:rPr>
        <w:rStyle w:val="PageNumber"/>
      </w:rPr>
    </w:pPr>
    <w:r>
      <w:rPr>
        <w:rStyle w:val="PageNumber"/>
      </w:rPr>
      <w:fldChar w:fldCharType="begin"/>
    </w:r>
    <w:r w:rsidR="00D05FE8">
      <w:rPr>
        <w:rStyle w:val="PageNumber"/>
      </w:rPr>
      <w:instrText xml:space="preserve">PAGE  </w:instrText>
    </w:r>
    <w:r>
      <w:rPr>
        <w:rStyle w:val="PageNumber"/>
      </w:rPr>
      <w:fldChar w:fldCharType="separate"/>
    </w:r>
    <w:r w:rsidR="008C6C55">
      <w:rPr>
        <w:rStyle w:val="PageNumber"/>
        <w:noProof/>
      </w:rPr>
      <w:t>21</w:t>
    </w:r>
    <w:r>
      <w:rPr>
        <w:rStyle w:val="PageNumber"/>
      </w:rPr>
      <w:fldChar w:fldCharType="end"/>
    </w:r>
  </w:p>
  <w:p w:rsidR="00D05FE8" w:rsidRDefault="00D05F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FE1" w:rsidRDefault="00096FE1" w:rsidP="00867173">
      <w:pPr>
        <w:spacing w:after="0" w:line="240" w:lineRule="auto"/>
      </w:pPr>
      <w:r>
        <w:separator/>
      </w:r>
    </w:p>
  </w:footnote>
  <w:footnote w:type="continuationSeparator" w:id="0">
    <w:p w:rsidR="00096FE1" w:rsidRDefault="00096FE1" w:rsidP="008671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05A2"/>
    <w:multiLevelType w:val="hybridMultilevel"/>
    <w:tmpl w:val="7B2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F2E34"/>
    <w:multiLevelType w:val="hybridMultilevel"/>
    <w:tmpl w:val="6D9A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C0E82"/>
    <w:multiLevelType w:val="hybridMultilevel"/>
    <w:tmpl w:val="9138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C415C"/>
    <w:multiLevelType w:val="hybridMultilevel"/>
    <w:tmpl w:val="EE444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77C53"/>
    <w:multiLevelType w:val="hybridMultilevel"/>
    <w:tmpl w:val="908C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A7CFE"/>
    <w:multiLevelType w:val="hybridMultilevel"/>
    <w:tmpl w:val="D5941EEA"/>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16A620F8"/>
    <w:multiLevelType w:val="hybridMultilevel"/>
    <w:tmpl w:val="A0542F70"/>
    <w:lvl w:ilvl="0" w:tplc="041C0001">
      <w:start w:val="1"/>
      <w:numFmt w:val="bullet"/>
      <w:lvlText w:val=""/>
      <w:lvlJc w:val="left"/>
      <w:pPr>
        <w:ind w:left="1174" w:hanging="360"/>
      </w:pPr>
      <w:rPr>
        <w:rFonts w:ascii="Symbol" w:hAnsi="Symbol" w:hint="default"/>
      </w:rPr>
    </w:lvl>
    <w:lvl w:ilvl="1" w:tplc="041C0003" w:tentative="1">
      <w:start w:val="1"/>
      <w:numFmt w:val="bullet"/>
      <w:lvlText w:val="o"/>
      <w:lvlJc w:val="left"/>
      <w:pPr>
        <w:ind w:left="1894" w:hanging="360"/>
      </w:pPr>
      <w:rPr>
        <w:rFonts w:ascii="Courier New" w:hAnsi="Courier New" w:cs="Courier New" w:hint="default"/>
      </w:rPr>
    </w:lvl>
    <w:lvl w:ilvl="2" w:tplc="041C0005" w:tentative="1">
      <w:start w:val="1"/>
      <w:numFmt w:val="bullet"/>
      <w:lvlText w:val=""/>
      <w:lvlJc w:val="left"/>
      <w:pPr>
        <w:ind w:left="2614" w:hanging="360"/>
      </w:pPr>
      <w:rPr>
        <w:rFonts w:ascii="Wingdings" w:hAnsi="Wingdings" w:hint="default"/>
      </w:rPr>
    </w:lvl>
    <w:lvl w:ilvl="3" w:tplc="041C0001" w:tentative="1">
      <w:start w:val="1"/>
      <w:numFmt w:val="bullet"/>
      <w:lvlText w:val=""/>
      <w:lvlJc w:val="left"/>
      <w:pPr>
        <w:ind w:left="3334" w:hanging="360"/>
      </w:pPr>
      <w:rPr>
        <w:rFonts w:ascii="Symbol" w:hAnsi="Symbol" w:hint="default"/>
      </w:rPr>
    </w:lvl>
    <w:lvl w:ilvl="4" w:tplc="041C0003" w:tentative="1">
      <w:start w:val="1"/>
      <w:numFmt w:val="bullet"/>
      <w:lvlText w:val="o"/>
      <w:lvlJc w:val="left"/>
      <w:pPr>
        <w:ind w:left="4054" w:hanging="360"/>
      </w:pPr>
      <w:rPr>
        <w:rFonts w:ascii="Courier New" w:hAnsi="Courier New" w:cs="Courier New" w:hint="default"/>
      </w:rPr>
    </w:lvl>
    <w:lvl w:ilvl="5" w:tplc="041C0005" w:tentative="1">
      <w:start w:val="1"/>
      <w:numFmt w:val="bullet"/>
      <w:lvlText w:val=""/>
      <w:lvlJc w:val="left"/>
      <w:pPr>
        <w:ind w:left="4774" w:hanging="360"/>
      </w:pPr>
      <w:rPr>
        <w:rFonts w:ascii="Wingdings" w:hAnsi="Wingdings" w:hint="default"/>
      </w:rPr>
    </w:lvl>
    <w:lvl w:ilvl="6" w:tplc="041C0001" w:tentative="1">
      <w:start w:val="1"/>
      <w:numFmt w:val="bullet"/>
      <w:lvlText w:val=""/>
      <w:lvlJc w:val="left"/>
      <w:pPr>
        <w:ind w:left="5494" w:hanging="360"/>
      </w:pPr>
      <w:rPr>
        <w:rFonts w:ascii="Symbol" w:hAnsi="Symbol" w:hint="default"/>
      </w:rPr>
    </w:lvl>
    <w:lvl w:ilvl="7" w:tplc="041C0003" w:tentative="1">
      <w:start w:val="1"/>
      <w:numFmt w:val="bullet"/>
      <w:lvlText w:val="o"/>
      <w:lvlJc w:val="left"/>
      <w:pPr>
        <w:ind w:left="6214" w:hanging="360"/>
      </w:pPr>
      <w:rPr>
        <w:rFonts w:ascii="Courier New" w:hAnsi="Courier New" w:cs="Courier New" w:hint="default"/>
      </w:rPr>
    </w:lvl>
    <w:lvl w:ilvl="8" w:tplc="041C0005" w:tentative="1">
      <w:start w:val="1"/>
      <w:numFmt w:val="bullet"/>
      <w:lvlText w:val=""/>
      <w:lvlJc w:val="left"/>
      <w:pPr>
        <w:ind w:left="6934" w:hanging="360"/>
      </w:pPr>
      <w:rPr>
        <w:rFonts w:ascii="Wingdings" w:hAnsi="Wingdings" w:hint="default"/>
      </w:rPr>
    </w:lvl>
  </w:abstractNum>
  <w:abstractNum w:abstractNumId="7">
    <w:nsid w:val="21AA33CE"/>
    <w:multiLevelType w:val="hybridMultilevel"/>
    <w:tmpl w:val="2852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8C3BDC"/>
    <w:multiLevelType w:val="hybridMultilevel"/>
    <w:tmpl w:val="2B802D98"/>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60BC6913"/>
    <w:multiLevelType w:val="hybridMultilevel"/>
    <w:tmpl w:val="B5B2265E"/>
    <w:lvl w:ilvl="0" w:tplc="2C5657E0">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CA293A"/>
    <w:multiLevelType w:val="hybridMultilevel"/>
    <w:tmpl w:val="A298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851CDE"/>
    <w:multiLevelType w:val="hybridMultilevel"/>
    <w:tmpl w:val="5B1E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8"/>
  </w:num>
  <w:num w:numId="5">
    <w:abstractNumId w:val="5"/>
  </w:num>
  <w:num w:numId="6">
    <w:abstractNumId w:val="4"/>
  </w:num>
  <w:num w:numId="7">
    <w:abstractNumId w:val="11"/>
  </w:num>
  <w:num w:numId="8">
    <w:abstractNumId w:val="3"/>
  </w:num>
  <w:num w:numId="9">
    <w:abstractNumId w:val="2"/>
  </w:num>
  <w:num w:numId="10">
    <w:abstractNumId w:val="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68"/>
    <w:rsid w:val="00006BF8"/>
    <w:rsid w:val="00014D00"/>
    <w:rsid w:val="0001551A"/>
    <w:rsid w:val="00026493"/>
    <w:rsid w:val="00026B19"/>
    <w:rsid w:val="000311F5"/>
    <w:rsid w:val="0006067A"/>
    <w:rsid w:val="00084C38"/>
    <w:rsid w:val="00096FE1"/>
    <w:rsid w:val="000A3D80"/>
    <w:rsid w:val="000A5613"/>
    <w:rsid w:val="000B400B"/>
    <w:rsid w:val="000B62ED"/>
    <w:rsid w:val="000D1D8D"/>
    <w:rsid w:val="000D6C5E"/>
    <w:rsid w:val="000F03C7"/>
    <w:rsid w:val="00111A19"/>
    <w:rsid w:val="00112692"/>
    <w:rsid w:val="00115987"/>
    <w:rsid w:val="00123712"/>
    <w:rsid w:val="0014367B"/>
    <w:rsid w:val="00151AB1"/>
    <w:rsid w:val="00153EC1"/>
    <w:rsid w:val="0015792C"/>
    <w:rsid w:val="001668A9"/>
    <w:rsid w:val="00184910"/>
    <w:rsid w:val="001A46CE"/>
    <w:rsid w:val="001A5DBB"/>
    <w:rsid w:val="001B1798"/>
    <w:rsid w:val="00210641"/>
    <w:rsid w:val="002112A2"/>
    <w:rsid w:val="00217F50"/>
    <w:rsid w:val="00221A6C"/>
    <w:rsid w:val="0023737E"/>
    <w:rsid w:val="002446D5"/>
    <w:rsid w:val="00251C4F"/>
    <w:rsid w:val="0025551A"/>
    <w:rsid w:val="0025611B"/>
    <w:rsid w:val="00262932"/>
    <w:rsid w:val="0028007C"/>
    <w:rsid w:val="00294277"/>
    <w:rsid w:val="0029448F"/>
    <w:rsid w:val="002A3584"/>
    <w:rsid w:val="002A3A1A"/>
    <w:rsid w:val="002A5401"/>
    <w:rsid w:val="002B1D9F"/>
    <w:rsid w:val="002C0D8A"/>
    <w:rsid w:val="002D265C"/>
    <w:rsid w:val="002E175F"/>
    <w:rsid w:val="002E6577"/>
    <w:rsid w:val="002F11CC"/>
    <w:rsid w:val="00300496"/>
    <w:rsid w:val="00315AC5"/>
    <w:rsid w:val="00322FF5"/>
    <w:rsid w:val="00324866"/>
    <w:rsid w:val="00337A14"/>
    <w:rsid w:val="00354CFB"/>
    <w:rsid w:val="00365A1E"/>
    <w:rsid w:val="003802AD"/>
    <w:rsid w:val="003841D9"/>
    <w:rsid w:val="00385E8E"/>
    <w:rsid w:val="00397E3A"/>
    <w:rsid w:val="003A1884"/>
    <w:rsid w:val="003A3729"/>
    <w:rsid w:val="003A6A6D"/>
    <w:rsid w:val="003D22F4"/>
    <w:rsid w:val="003E4F75"/>
    <w:rsid w:val="0041657F"/>
    <w:rsid w:val="00425AB8"/>
    <w:rsid w:val="004468DE"/>
    <w:rsid w:val="00456D79"/>
    <w:rsid w:val="00457768"/>
    <w:rsid w:val="00462E50"/>
    <w:rsid w:val="00467A2D"/>
    <w:rsid w:val="0047284B"/>
    <w:rsid w:val="00483C64"/>
    <w:rsid w:val="00483C6B"/>
    <w:rsid w:val="00491873"/>
    <w:rsid w:val="004A3C7C"/>
    <w:rsid w:val="004D17D4"/>
    <w:rsid w:val="004F0F68"/>
    <w:rsid w:val="004F37BA"/>
    <w:rsid w:val="00503BEA"/>
    <w:rsid w:val="005273FB"/>
    <w:rsid w:val="005377B6"/>
    <w:rsid w:val="00547902"/>
    <w:rsid w:val="00552D70"/>
    <w:rsid w:val="00560B16"/>
    <w:rsid w:val="00565280"/>
    <w:rsid w:val="005674AE"/>
    <w:rsid w:val="00571F42"/>
    <w:rsid w:val="00575273"/>
    <w:rsid w:val="00591031"/>
    <w:rsid w:val="00592407"/>
    <w:rsid w:val="00596C5A"/>
    <w:rsid w:val="005A30E7"/>
    <w:rsid w:val="005B042F"/>
    <w:rsid w:val="005E1342"/>
    <w:rsid w:val="005E6E23"/>
    <w:rsid w:val="00600658"/>
    <w:rsid w:val="00600C53"/>
    <w:rsid w:val="00600D5D"/>
    <w:rsid w:val="006042D1"/>
    <w:rsid w:val="00612865"/>
    <w:rsid w:val="0062170C"/>
    <w:rsid w:val="00623C8C"/>
    <w:rsid w:val="00634ACD"/>
    <w:rsid w:val="006413D8"/>
    <w:rsid w:val="0065590A"/>
    <w:rsid w:val="00664C2E"/>
    <w:rsid w:val="00665879"/>
    <w:rsid w:val="00676545"/>
    <w:rsid w:val="006777D2"/>
    <w:rsid w:val="0068144C"/>
    <w:rsid w:val="006A2711"/>
    <w:rsid w:val="006A6098"/>
    <w:rsid w:val="006B4701"/>
    <w:rsid w:val="006D71D9"/>
    <w:rsid w:val="006E6D7D"/>
    <w:rsid w:val="006F3F0C"/>
    <w:rsid w:val="00723DB3"/>
    <w:rsid w:val="0073540F"/>
    <w:rsid w:val="00745B8D"/>
    <w:rsid w:val="007A6184"/>
    <w:rsid w:val="007B2E07"/>
    <w:rsid w:val="007B58C1"/>
    <w:rsid w:val="007C794E"/>
    <w:rsid w:val="007D2C74"/>
    <w:rsid w:val="007E1069"/>
    <w:rsid w:val="007E31AB"/>
    <w:rsid w:val="00822D03"/>
    <w:rsid w:val="008253E1"/>
    <w:rsid w:val="00845745"/>
    <w:rsid w:val="008527CB"/>
    <w:rsid w:val="0085298F"/>
    <w:rsid w:val="0086040B"/>
    <w:rsid w:val="00865860"/>
    <w:rsid w:val="00867173"/>
    <w:rsid w:val="00867318"/>
    <w:rsid w:val="008939A9"/>
    <w:rsid w:val="00894F66"/>
    <w:rsid w:val="008A7EE7"/>
    <w:rsid w:val="008C497C"/>
    <w:rsid w:val="008C6C55"/>
    <w:rsid w:val="008E5560"/>
    <w:rsid w:val="008F144D"/>
    <w:rsid w:val="008F3736"/>
    <w:rsid w:val="00950256"/>
    <w:rsid w:val="00985E43"/>
    <w:rsid w:val="00987D71"/>
    <w:rsid w:val="009A4B21"/>
    <w:rsid w:val="009C33E1"/>
    <w:rsid w:val="009C798B"/>
    <w:rsid w:val="009D1C5F"/>
    <w:rsid w:val="009D4748"/>
    <w:rsid w:val="009D5F99"/>
    <w:rsid w:val="009D75AA"/>
    <w:rsid w:val="009E3202"/>
    <w:rsid w:val="009E3AB0"/>
    <w:rsid w:val="009F0F09"/>
    <w:rsid w:val="009F7075"/>
    <w:rsid w:val="009F76BE"/>
    <w:rsid w:val="00A13764"/>
    <w:rsid w:val="00A171D8"/>
    <w:rsid w:val="00A26358"/>
    <w:rsid w:val="00A425A2"/>
    <w:rsid w:val="00A527E9"/>
    <w:rsid w:val="00A669EA"/>
    <w:rsid w:val="00A75204"/>
    <w:rsid w:val="00A80544"/>
    <w:rsid w:val="00A936BF"/>
    <w:rsid w:val="00A968A4"/>
    <w:rsid w:val="00AB602A"/>
    <w:rsid w:val="00AC4B0D"/>
    <w:rsid w:val="00AE2768"/>
    <w:rsid w:val="00AE3127"/>
    <w:rsid w:val="00AF2E28"/>
    <w:rsid w:val="00B14808"/>
    <w:rsid w:val="00B20F36"/>
    <w:rsid w:val="00B22BFE"/>
    <w:rsid w:val="00B2467A"/>
    <w:rsid w:val="00B278A8"/>
    <w:rsid w:val="00B318DF"/>
    <w:rsid w:val="00B34D88"/>
    <w:rsid w:val="00B354CB"/>
    <w:rsid w:val="00B63863"/>
    <w:rsid w:val="00B77061"/>
    <w:rsid w:val="00B86206"/>
    <w:rsid w:val="00B961BC"/>
    <w:rsid w:val="00BA6E3C"/>
    <w:rsid w:val="00BB48B0"/>
    <w:rsid w:val="00BB6B7A"/>
    <w:rsid w:val="00BC2C70"/>
    <w:rsid w:val="00BD2E34"/>
    <w:rsid w:val="00BF0368"/>
    <w:rsid w:val="00C017B5"/>
    <w:rsid w:val="00C03941"/>
    <w:rsid w:val="00C04D3A"/>
    <w:rsid w:val="00C337D6"/>
    <w:rsid w:val="00C43860"/>
    <w:rsid w:val="00C55F6A"/>
    <w:rsid w:val="00C932F2"/>
    <w:rsid w:val="00C96B1E"/>
    <w:rsid w:val="00CA0E3C"/>
    <w:rsid w:val="00CA4CD1"/>
    <w:rsid w:val="00CB39FA"/>
    <w:rsid w:val="00CB4E8D"/>
    <w:rsid w:val="00CB7787"/>
    <w:rsid w:val="00CC2BFA"/>
    <w:rsid w:val="00CC6AED"/>
    <w:rsid w:val="00CF2E3A"/>
    <w:rsid w:val="00D05FE8"/>
    <w:rsid w:val="00D1412A"/>
    <w:rsid w:val="00D16F3A"/>
    <w:rsid w:val="00D23C9C"/>
    <w:rsid w:val="00D24DC9"/>
    <w:rsid w:val="00D31182"/>
    <w:rsid w:val="00D31F8B"/>
    <w:rsid w:val="00D4473E"/>
    <w:rsid w:val="00D530C6"/>
    <w:rsid w:val="00DA4CE0"/>
    <w:rsid w:val="00DB1354"/>
    <w:rsid w:val="00DB4CB8"/>
    <w:rsid w:val="00DB4F39"/>
    <w:rsid w:val="00DC3775"/>
    <w:rsid w:val="00DC4BDA"/>
    <w:rsid w:val="00DD1574"/>
    <w:rsid w:val="00E232EB"/>
    <w:rsid w:val="00E24AC8"/>
    <w:rsid w:val="00E57F36"/>
    <w:rsid w:val="00E621EA"/>
    <w:rsid w:val="00E8551D"/>
    <w:rsid w:val="00EC2D18"/>
    <w:rsid w:val="00EC3A1E"/>
    <w:rsid w:val="00EE17D6"/>
    <w:rsid w:val="00F02A9A"/>
    <w:rsid w:val="00F2380B"/>
    <w:rsid w:val="00F436BF"/>
    <w:rsid w:val="00F54503"/>
    <w:rsid w:val="00F612CD"/>
    <w:rsid w:val="00F67A90"/>
    <w:rsid w:val="00F82A0E"/>
    <w:rsid w:val="00F960BB"/>
    <w:rsid w:val="00FA7DC4"/>
    <w:rsid w:val="00FB695A"/>
    <w:rsid w:val="00FC19E0"/>
    <w:rsid w:val="00FC4A04"/>
    <w:rsid w:val="00FC50C6"/>
    <w:rsid w:val="00FE5E5E"/>
    <w:rsid w:val="00FF12F2"/>
    <w:rsid w:val="00FF2CF2"/>
    <w:rsid w:val="00FF584B"/>
    <w:rsid w:val="00FF71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E78D7-CCAC-430B-9096-BA8F1844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E4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0F68"/>
    <w:pPr>
      <w:spacing w:after="0" w:line="240" w:lineRule="auto"/>
    </w:pPr>
    <w:rPr>
      <w:rFonts w:ascii="Times New Roman" w:eastAsia="MS Mincho" w:hAnsi="Times New Roman" w:cs="Times New Roman"/>
      <w:sz w:val="20"/>
      <w:szCs w:val="20"/>
      <w:lang w:val="sq-AL"/>
    </w:rPr>
  </w:style>
  <w:style w:type="character" w:customStyle="1" w:styleId="NoSpacingChar">
    <w:name w:val="No Spacing Char"/>
    <w:link w:val="NoSpacing"/>
    <w:uiPriority w:val="1"/>
    <w:locked/>
    <w:rsid w:val="004F0F68"/>
    <w:rPr>
      <w:rFonts w:ascii="Times New Roman" w:eastAsia="MS Mincho" w:hAnsi="Times New Roman" w:cs="Times New Roman"/>
      <w:sz w:val="20"/>
      <w:szCs w:val="20"/>
      <w:lang w:val="sq-AL"/>
    </w:rPr>
  </w:style>
  <w:style w:type="paragraph" w:styleId="FootnoteText">
    <w:name w:val="footnote text"/>
    <w:basedOn w:val="Normal"/>
    <w:link w:val="FootnoteTextChar"/>
    <w:uiPriority w:val="99"/>
    <w:rsid w:val="00867173"/>
    <w:pPr>
      <w:spacing w:after="0" w:line="240" w:lineRule="auto"/>
    </w:pPr>
    <w:rPr>
      <w:rFonts w:ascii="Times New Roman" w:eastAsia="MS Mincho" w:hAnsi="Times New Roman" w:cs="Times New Roman"/>
      <w:sz w:val="20"/>
      <w:szCs w:val="20"/>
      <w:lang w:val="sq-AL"/>
    </w:rPr>
  </w:style>
  <w:style w:type="character" w:customStyle="1" w:styleId="FootnoteTextChar">
    <w:name w:val="Footnote Text Char"/>
    <w:basedOn w:val="DefaultParagraphFont"/>
    <w:link w:val="FootnoteText"/>
    <w:uiPriority w:val="99"/>
    <w:rsid w:val="00867173"/>
    <w:rPr>
      <w:rFonts w:ascii="Times New Roman" w:eastAsia="MS Mincho" w:hAnsi="Times New Roman" w:cs="Times New Roman"/>
      <w:sz w:val="20"/>
      <w:szCs w:val="20"/>
      <w:lang w:val="sq-AL"/>
    </w:rPr>
  </w:style>
  <w:style w:type="character" w:styleId="FootnoteReference">
    <w:name w:val="footnote reference"/>
    <w:basedOn w:val="DefaultParagraphFont"/>
    <w:uiPriority w:val="99"/>
    <w:rsid w:val="00867173"/>
    <w:rPr>
      <w:vertAlign w:val="superscript"/>
    </w:rPr>
  </w:style>
  <w:style w:type="paragraph" w:customStyle="1" w:styleId="Default">
    <w:name w:val="Default"/>
    <w:rsid w:val="0086717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67173"/>
    <w:rPr>
      <w:color w:val="0563C1" w:themeColor="hyperlink"/>
      <w:u w:val="single"/>
    </w:rPr>
  </w:style>
  <w:style w:type="paragraph" w:styleId="NormalWeb">
    <w:name w:val="Normal (Web)"/>
    <w:basedOn w:val="Normal"/>
    <w:link w:val="NormalWebChar"/>
    <w:uiPriority w:val="99"/>
    <w:unhideWhenUsed/>
    <w:rsid w:val="00867173"/>
    <w:pPr>
      <w:spacing w:before="100" w:beforeAutospacing="1" w:after="100" w:afterAutospacing="1" w:line="240" w:lineRule="auto"/>
    </w:pPr>
    <w:rPr>
      <w:rFonts w:ascii="Times New Roman" w:eastAsia="Times New Roman" w:hAnsi="Times New Roman" w:cs="Times New Roman"/>
      <w:sz w:val="24"/>
      <w:szCs w:val="24"/>
      <w:lang w:val="sq-AL"/>
    </w:rPr>
  </w:style>
  <w:style w:type="character" w:customStyle="1" w:styleId="NormalWebChar">
    <w:name w:val="Normal (Web) Char"/>
    <w:link w:val="NormalWeb"/>
    <w:uiPriority w:val="99"/>
    <w:locked/>
    <w:rsid w:val="00867173"/>
    <w:rPr>
      <w:rFonts w:ascii="Times New Roman" w:eastAsia="Times New Roman" w:hAnsi="Times New Roman" w:cs="Times New Roman"/>
      <w:sz w:val="24"/>
      <w:szCs w:val="24"/>
      <w:lang w:val="sq-AL"/>
    </w:rPr>
  </w:style>
  <w:style w:type="paragraph" w:styleId="ListParagraph">
    <w:name w:val="List Paragraph"/>
    <w:basedOn w:val="Normal"/>
    <w:link w:val="ListParagraphChar"/>
    <w:uiPriority w:val="34"/>
    <w:qFormat/>
    <w:rsid w:val="00AC4B0D"/>
    <w:pPr>
      <w:ind w:left="720"/>
      <w:contextualSpacing/>
    </w:pPr>
  </w:style>
  <w:style w:type="paragraph" w:styleId="Title">
    <w:name w:val="Title"/>
    <w:basedOn w:val="Normal"/>
    <w:link w:val="TitleChar"/>
    <w:uiPriority w:val="99"/>
    <w:qFormat/>
    <w:rsid w:val="00FB695A"/>
    <w:pPr>
      <w:spacing w:after="0" w:line="240" w:lineRule="auto"/>
      <w:jc w:val="center"/>
    </w:pPr>
    <w:rPr>
      <w:rFonts w:ascii="Times New Roman" w:eastAsia="MS Mincho" w:hAnsi="Times New Roman" w:cs="Times New Roman"/>
      <w:b/>
      <w:sz w:val="24"/>
      <w:szCs w:val="20"/>
      <w:lang w:val="sq-AL"/>
    </w:rPr>
  </w:style>
  <w:style w:type="character" w:customStyle="1" w:styleId="TitleChar">
    <w:name w:val="Title Char"/>
    <w:basedOn w:val="DefaultParagraphFont"/>
    <w:link w:val="Title"/>
    <w:uiPriority w:val="99"/>
    <w:rsid w:val="00FB695A"/>
    <w:rPr>
      <w:rFonts w:ascii="Times New Roman" w:eastAsia="MS Mincho" w:hAnsi="Times New Roman" w:cs="Times New Roman"/>
      <w:b/>
      <w:sz w:val="24"/>
      <w:szCs w:val="20"/>
      <w:lang w:val="sq-AL"/>
    </w:rPr>
  </w:style>
  <w:style w:type="paragraph" w:styleId="IntenseQuote">
    <w:name w:val="Intense Quote"/>
    <w:basedOn w:val="Normal"/>
    <w:next w:val="Normal"/>
    <w:link w:val="IntenseQuoteChar"/>
    <w:uiPriority w:val="99"/>
    <w:qFormat/>
    <w:rsid w:val="00FB695A"/>
    <w:pPr>
      <w:pBdr>
        <w:bottom w:val="single" w:sz="4" w:space="4" w:color="4F81BD"/>
      </w:pBdr>
      <w:spacing w:before="200" w:after="280" w:line="276" w:lineRule="auto"/>
      <w:ind w:left="936" w:right="936"/>
    </w:pPr>
    <w:rPr>
      <w:rFonts w:ascii="Calibri" w:eastAsia="MS Mincho" w:hAnsi="Calibri" w:cs="Times New Roman"/>
      <w:b/>
      <w:i/>
      <w:color w:val="4F81BD"/>
      <w:sz w:val="20"/>
      <w:szCs w:val="20"/>
    </w:rPr>
  </w:style>
  <w:style w:type="character" w:customStyle="1" w:styleId="IntenseQuoteChar">
    <w:name w:val="Intense Quote Char"/>
    <w:basedOn w:val="DefaultParagraphFont"/>
    <w:link w:val="IntenseQuote"/>
    <w:uiPriority w:val="99"/>
    <w:rsid w:val="00FB695A"/>
    <w:rPr>
      <w:rFonts w:ascii="Calibri" w:eastAsia="MS Mincho" w:hAnsi="Calibri" w:cs="Times New Roman"/>
      <w:b/>
      <w:i/>
      <w:color w:val="4F81BD"/>
      <w:sz w:val="20"/>
      <w:szCs w:val="20"/>
    </w:rPr>
  </w:style>
  <w:style w:type="paragraph" w:styleId="BalloonText">
    <w:name w:val="Balloon Text"/>
    <w:basedOn w:val="Normal"/>
    <w:link w:val="BalloonTextChar"/>
    <w:uiPriority w:val="99"/>
    <w:semiHidden/>
    <w:unhideWhenUsed/>
    <w:rsid w:val="00FB6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95A"/>
    <w:rPr>
      <w:rFonts w:ascii="Segoe UI" w:hAnsi="Segoe UI" w:cs="Segoe UI"/>
      <w:sz w:val="18"/>
      <w:szCs w:val="18"/>
      <w:lang w:val="en-GB"/>
    </w:rPr>
  </w:style>
  <w:style w:type="table" w:customStyle="1" w:styleId="GridTable1Light-Accent51">
    <w:name w:val="Grid Table 1 Light - Accent 51"/>
    <w:basedOn w:val="TableNormal"/>
    <w:uiPriority w:val="46"/>
    <w:rsid w:val="006413D8"/>
    <w:pPr>
      <w:spacing w:after="0" w:line="240" w:lineRule="auto"/>
    </w:pPr>
    <w:rPr>
      <w:sz w:val="24"/>
      <w:szCs w:val="24"/>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PageNumber">
    <w:name w:val="page number"/>
    <w:rsid w:val="00184910"/>
  </w:style>
  <w:style w:type="paragraph" w:styleId="Footer">
    <w:name w:val="footer"/>
    <w:basedOn w:val="Normal"/>
    <w:link w:val="FooterChar"/>
    <w:uiPriority w:val="99"/>
    <w:unhideWhenUsed/>
    <w:rsid w:val="00184910"/>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rsid w:val="00184910"/>
    <w:rPr>
      <w:sz w:val="24"/>
      <w:szCs w:val="24"/>
      <w:lang w:val="en-GB"/>
    </w:rPr>
  </w:style>
  <w:style w:type="paragraph" w:customStyle="1" w:styleId="gmail-msonormal">
    <w:name w:val="gmail-msonormal"/>
    <w:basedOn w:val="Normal"/>
    <w:rsid w:val="000F03C7"/>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CB3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9FA"/>
    <w:rPr>
      <w:lang w:val="en-GB"/>
    </w:rPr>
  </w:style>
  <w:style w:type="character" w:customStyle="1" w:styleId="ListParagraphChar">
    <w:name w:val="List Paragraph Char"/>
    <w:link w:val="ListParagraph"/>
    <w:uiPriority w:val="34"/>
    <w:rsid w:val="00A171D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4519">
      <w:bodyDiv w:val="1"/>
      <w:marLeft w:val="0"/>
      <w:marRight w:val="0"/>
      <w:marTop w:val="0"/>
      <w:marBottom w:val="0"/>
      <w:divBdr>
        <w:top w:val="none" w:sz="0" w:space="0" w:color="auto"/>
        <w:left w:val="none" w:sz="0" w:space="0" w:color="auto"/>
        <w:bottom w:val="none" w:sz="0" w:space="0" w:color="auto"/>
        <w:right w:val="none" w:sz="0" w:space="0" w:color="auto"/>
      </w:divBdr>
    </w:div>
    <w:div w:id="71317678">
      <w:bodyDiv w:val="1"/>
      <w:marLeft w:val="0"/>
      <w:marRight w:val="0"/>
      <w:marTop w:val="0"/>
      <w:marBottom w:val="0"/>
      <w:divBdr>
        <w:top w:val="none" w:sz="0" w:space="0" w:color="auto"/>
        <w:left w:val="none" w:sz="0" w:space="0" w:color="auto"/>
        <w:bottom w:val="none" w:sz="0" w:space="0" w:color="auto"/>
        <w:right w:val="none" w:sz="0" w:space="0" w:color="auto"/>
      </w:divBdr>
    </w:div>
    <w:div w:id="158158374">
      <w:bodyDiv w:val="1"/>
      <w:marLeft w:val="0"/>
      <w:marRight w:val="0"/>
      <w:marTop w:val="0"/>
      <w:marBottom w:val="0"/>
      <w:divBdr>
        <w:top w:val="none" w:sz="0" w:space="0" w:color="auto"/>
        <w:left w:val="none" w:sz="0" w:space="0" w:color="auto"/>
        <w:bottom w:val="none" w:sz="0" w:space="0" w:color="auto"/>
        <w:right w:val="none" w:sz="0" w:space="0" w:color="auto"/>
      </w:divBdr>
    </w:div>
    <w:div w:id="167526909">
      <w:bodyDiv w:val="1"/>
      <w:marLeft w:val="0"/>
      <w:marRight w:val="0"/>
      <w:marTop w:val="0"/>
      <w:marBottom w:val="0"/>
      <w:divBdr>
        <w:top w:val="none" w:sz="0" w:space="0" w:color="auto"/>
        <w:left w:val="none" w:sz="0" w:space="0" w:color="auto"/>
        <w:bottom w:val="none" w:sz="0" w:space="0" w:color="auto"/>
        <w:right w:val="none" w:sz="0" w:space="0" w:color="auto"/>
      </w:divBdr>
    </w:div>
    <w:div w:id="281310474">
      <w:bodyDiv w:val="1"/>
      <w:marLeft w:val="0"/>
      <w:marRight w:val="0"/>
      <w:marTop w:val="0"/>
      <w:marBottom w:val="0"/>
      <w:divBdr>
        <w:top w:val="none" w:sz="0" w:space="0" w:color="auto"/>
        <w:left w:val="none" w:sz="0" w:space="0" w:color="auto"/>
        <w:bottom w:val="none" w:sz="0" w:space="0" w:color="auto"/>
        <w:right w:val="none" w:sz="0" w:space="0" w:color="auto"/>
      </w:divBdr>
    </w:div>
    <w:div w:id="293601486">
      <w:bodyDiv w:val="1"/>
      <w:marLeft w:val="0"/>
      <w:marRight w:val="0"/>
      <w:marTop w:val="0"/>
      <w:marBottom w:val="0"/>
      <w:divBdr>
        <w:top w:val="none" w:sz="0" w:space="0" w:color="auto"/>
        <w:left w:val="none" w:sz="0" w:space="0" w:color="auto"/>
        <w:bottom w:val="none" w:sz="0" w:space="0" w:color="auto"/>
        <w:right w:val="none" w:sz="0" w:space="0" w:color="auto"/>
      </w:divBdr>
    </w:div>
    <w:div w:id="438378716">
      <w:bodyDiv w:val="1"/>
      <w:marLeft w:val="0"/>
      <w:marRight w:val="0"/>
      <w:marTop w:val="0"/>
      <w:marBottom w:val="0"/>
      <w:divBdr>
        <w:top w:val="none" w:sz="0" w:space="0" w:color="auto"/>
        <w:left w:val="none" w:sz="0" w:space="0" w:color="auto"/>
        <w:bottom w:val="none" w:sz="0" w:space="0" w:color="auto"/>
        <w:right w:val="none" w:sz="0" w:space="0" w:color="auto"/>
      </w:divBdr>
    </w:div>
    <w:div w:id="461072561">
      <w:bodyDiv w:val="1"/>
      <w:marLeft w:val="0"/>
      <w:marRight w:val="0"/>
      <w:marTop w:val="0"/>
      <w:marBottom w:val="0"/>
      <w:divBdr>
        <w:top w:val="none" w:sz="0" w:space="0" w:color="auto"/>
        <w:left w:val="none" w:sz="0" w:space="0" w:color="auto"/>
        <w:bottom w:val="none" w:sz="0" w:space="0" w:color="auto"/>
        <w:right w:val="none" w:sz="0" w:space="0" w:color="auto"/>
      </w:divBdr>
    </w:div>
    <w:div w:id="692002554">
      <w:bodyDiv w:val="1"/>
      <w:marLeft w:val="0"/>
      <w:marRight w:val="0"/>
      <w:marTop w:val="0"/>
      <w:marBottom w:val="0"/>
      <w:divBdr>
        <w:top w:val="none" w:sz="0" w:space="0" w:color="auto"/>
        <w:left w:val="none" w:sz="0" w:space="0" w:color="auto"/>
        <w:bottom w:val="none" w:sz="0" w:space="0" w:color="auto"/>
        <w:right w:val="none" w:sz="0" w:space="0" w:color="auto"/>
      </w:divBdr>
    </w:div>
    <w:div w:id="869683811">
      <w:bodyDiv w:val="1"/>
      <w:marLeft w:val="0"/>
      <w:marRight w:val="0"/>
      <w:marTop w:val="0"/>
      <w:marBottom w:val="0"/>
      <w:divBdr>
        <w:top w:val="none" w:sz="0" w:space="0" w:color="auto"/>
        <w:left w:val="none" w:sz="0" w:space="0" w:color="auto"/>
        <w:bottom w:val="none" w:sz="0" w:space="0" w:color="auto"/>
        <w:right w:val="none" w:sz="0" w:space="0" w:color="auto"/>
      </w:divBdr>
    </w:div>
    <w:div w:id="883061516">
      <w:bodyDiv w:val="1"/>
      <w:marLeft w:val="0"/>
      <w:marRight w:val="0"/>
      <w:marTop w:val="0"/>
      <w:marBottom w:val="0"/>
      <w:divBdr>
        <w:top w:val="none" w:sz="0" w:space="0" w:color="auto"/>
        <w:left w:val="none" w:sz="0" w:space="0" w:color="auto"/>
        <w:bottom w:val="none" w:sz="0" w:space="0" w:color="auto"/>
        <w:right w:val="none" w:sz="0" w:space="0" w:color="auto"/>
      </w:divBdr>
    </w:div>
    <w:div w:id="909923071">
      <w:bodyDiv w:val="1"/>
      <w:marLeft w:val="0"/>
      <w:marRight w:val="0"/>
      <w:marTop w:val="0"/>
      <w:marBottom w:val="0"/>
      <w:divBdr>
        <w:top w:val="none" w:sz="0" w:space="0" w:color="auto"/>
        <w:left w:val="none" w:sz="0" w:space="0" w:color="auto"/>
        <w:bottom w:val="none" w:sz="0" w:space="0" w:color="auto"/>
        <w:right w:val="none" w:sz="0" w:space="0" w:color="auto"/>
      </w:divBdr>
    </w:div>
    <w:div w:id="1058941401">
      <w:bodyDiv w:val="1"/>
      <w:marLeft w:val="0"/>
      <w:marRight w:val="0"/>
      <w:marTop w:val="0"/>
      <w:marBottom w:val="0"/>
      <w:divBdr>
        <w:top w:val="none" w:sz="0" w:space="0" w:color="auto"/>
        <w:left w:val="none" w:sz="0" w:space="0" w:color="auto"/>
        <w:bottom w:val="none" w:sz="0" w:space="0" w:color="auto"/>
        <w:right w:val="none" w:sz="0" w:space="0" w:color="auto"/>
      </w:divBdr>
    </w:div>
    <w:div w:id="1193151683">
      <w:bodyDiv w:val="1"/>
      <w:marLeft w:val="0"/>
      <w:marRight w:val="0"/>
      <w:marTop w:val="0"/>
      <w:marBottom w:val="0"/>
      <w:divBdr>
        <w:top w:val="none" w:sz="0" w:space="0" w:color="auto"/>
        <w:left w:val="none" w:sz="0" w:space="0" w:color="auto"/>
        <w:bottom w:val="none" w:sz="0" w:space="0" w:color="auto"/>
        <w:right w:val="none" w:sz="0" w:space="0" w:color="auto"/>
      </w:divBdr>
    </w:div>
    <w:div w:id="1479877492">
      <w:bodyDiv w:val="1"/>
      <w:marLeft w:val="0"/>
      <w:marRight w:val="0"/>
      <w:marTop w:val="0"/>
      <w:marBottom w:val="0"/>
      <w:divBdr>
        <w:top w:val="none" w:sz="0" w:space="0" w:color="auto"/>
        <w:left w:val="none" w:sz="0" w:space="0" w:color="auto"/>
        <w:bottom w:val="none" w:sz="0" w:space="0" w:color="auto"/>
        <w:right w:val="none" w:sz="0" w:space="0" w:color="auto"/>
      </w:divBdr>
    </w:div>
    <w:div w:id="1547764903">
      <w:bodyDiv w:val="1"/>
      <w:marLeft w:val="0"/>
      <w:marRight w:val="0"/>
      <w:marTop w:val="0"/>
      <w:marBottom w:val="0"/>
      <w:divBdr>
        <w:top w:val="none" w:sz="0" w:space="0" w:color="auto"/>
        <w:left w:val="none" w:sz="0" w:space="0" w:color="auto"/>
        <w:bottom w:val="none" w:sz="0" w:space="0" w:color="auto"/>
        <w:right w:val="none" w:sz="0" w:space="0" w:color="auto"/>
      </w:divBdr>
    </w:div>
    <w:div w:id="1570458161">
      <w:bodyDiv w:val="1"/>
      <w:marLeft w:val="0"/>
      <w:marRight w:val="0"/>
      <w:marTop w:val="0"/>
      <w:marBottom w:val="0"/>
      <w:divBdr>
        <w:top w:val="none" w:sz="0" w:space="0" w:color="auto"/>
        <w:left w:val="none" w:sz="0" w:space="0" w:color="auto"/>
        <w:bottom w:val="none" w:sz="0" w:space="0" w:color="auto"/>
        <w:right w:val="none" w:sz="0" w:space="0" w:color="auto"/>
      </w:divBdr>
    </w:div>
    <w:div w:id="1716543260">
      <w:bodyDiv w:val="1"/>
      <w:marLeft w:val="0"/>
      <w:marRight w:val="0"/>
      <w:marTop w:val="0"/>
      <w:marBottom w:val="0"/>
      <w:divBdr>
        <w:top w:val="none" w:sz="0" w:space="0" w:color="auto"/>
        <w:left w:val="none" w:sz="0" w:space="0" w:color="auto"/>
        <w:bottom w:val="none" w:sz="0" w:space="0" w:color="auto"/>
        <w:right w:val="none" w:sz="0" w:space="0" w:color="auto"/>
      </w:divBdr>
    </w:div>
    <w:div w:id="1784227106">
      <w:bodyDiv w:val="1"/>
      <w:marLeft w:val="0"/>
      <w:marRight w:val="0"/>
      <w:marTop w:val="0"/>
      <w:marBottom w:val="0"/>
      <w:divBdr>
        <w:top w:val="none" w:sz="0" w:space="0" w:color="auto"/>
        <w:left w:val="none" w:sz="0" w:space="0" w:color="auto"/>
        <w:bottom w:val="none" w:sz="0" w:space="0" w:color="auto"/>
        <w:right w:val="none" w:sz="0" w:space="0" w:color="auto"/>
      </w:divBdr>
    </w:div>
    <w:div w:id="1788693592">
      <w:bodyDiv w:val="1"/>
      <w:marLeft w:val="0"/>
      <w:marRight w:val="0"/>
      <w:marTop w:val="0"/>
      <w:marBottom w:val="0"/>
      <w:divBdr>
        <w:top w:val="none" w:sz="0" w:space="0" w:color="auto"/>
        <w:left w:val="none" w:sz="0" w:space="0" w:color="auto"/>
        <w:bottom w:val="none" w:sz="0" w:space="0" w:color="auto"/>
        <w:right w:val="none" w:sz="0" w:space="0" w:color="auto"/>
      </w:divBdr>
    </w:div>
    <w:div w:id="1807118478">
      <w:bodyDiv w:val="1"/>
      <w:marLeft w:val="0"/>
      <w:marRight w:val="0"/>
      <w:marTop w:val="0"/>
      <w:marBottom w:val="0"/>
      <w:divBdr>
        <w:top w:val="none" w:sz="0" w:space="0" w:color="auto"/>
        <w:left w:val="none" w:sz="0" w:space="0" w:color="auto"/>
        <w:bottom w:val="none" w:sz="0" w:space="0" w:color="auto"/>
        <w:right w:val="none" w:sz="0" w:space="0" w:color="auto"/>
      </w:divBdr>
    </w:div>
    <w:div w:id="1817070430">
      <w:bodyDiv w:val="1"/>
      <w:marLeft w:val="0"/>
      <w:marRight w:val="0"/>
      <w:marTop w:val="0"/>
      <w:marBottom w:val="0"/>
      <w:divBdr>
        <w:top w:val="none" w:sz="0" w:space="0" w:color="auto"/>
        <w:left w:val="none" w:sz="0" w:space="0" w:color="auto"/>
        <w:bottom w:val="none" w:sz="0" w:space="0" w:color="auto"/>
        <w:right w:val="none" w:sz="0" w:space="0" w:color="auto"/>
      </w:divBdr>
    </w:div>
    <w:div w:id="1863934270">
      <w:bodyDiv w:val="1"/>
      <w:marLeft w:val="0"/>
      <w:marRight w:val="0"/>
      <w:marTop w:val="0"/>
      <w:marBottom w:val="0"/>
      <w:divBdr>
        <w:top w:val="none" w:sz="0" w:space="0" w:color="auto"/>
        <w:left w:val="none" w:sz="0" w:space="0" w:color="auto"/>
        <w:bottom w:val="none" w:sz="0" w:space="0" w:color="auto"/>
        <w:right w:val="none" w:sz="0" w:space="0" w:color="auto"/>
      </w:divBdr>
    </w:div>
    <w:div w:id="1893880501">
      <w:bodyDiv w:val="1"/>
      <w:marLeft w:val="0"/>
      <w:marRight w:val="0"/>
      <w:marTop w:val="0"/>
      <w:marBottom w:val="0"/>
      <w:divBdr>
        <w:top w:val="none" w:sz="0" w:space="0" w:color="auto"/>
        <w:left w:val="none" w:sz="0" w:space="0" w:color="auto"/>
        <w:bottom w:val="none" w:sz="0" w:space="0" w:color="auto"/>
        <w:right w:val="none" w:sz="0" w:space="0" w:color="auto"/>
      </w:divBdr>
    </w:div>
    <w:div w:id="2012877150">
      <w:bodyDiv w:val="1"/>
      <w:marLeft w:val="0"/>
      <w:marRight w:val="0"/>
      <w:marTop w:val="0"/>
      <w:marBottom w:val="0"/>
      <w:divBdr>
        <w:top w:val="none" w:sz="0" w:space="0" w:color="auto"/>
        <w:left w:val="none" w:sz="0" w:space="0" w:color="auto"/>
        <w:bottom w:val="none" w:sz="0" w:space="0" w:color="auto"/>
        <w:right w:val="none" w:sz="0" w:space="0" w:color="auto"/>
      </w:divBdr>
    </w:div>
    <w:div w:id="2057386533">
      <w:bodyDiv w:val="1"/>
      <w:marLeft w:val="0"/>
      <w:marRight w:val="0"/>
      <w:marTop w:val="0"/>
      <w:marBottom w:val="0"/>
      <w:divBdr>
        <w:top w:val="none" w:sz="0" w:space="0" w:color="auto"/>
        <w:left w:val="none" w:sz="0" w:space="0" w:color="auto"/>
        <w:bottom w:val="none" w:sz="0" w:space="0" w:color="auto"/>
        <w:right w:val="none" w:sz="0" w:space="0" w:color="auto"/>
      </w:divBdr>
    </w:div>
    <w:div w:id="2103646201">
      <w:bodyDiv w:val="1"/>
      <w:marLeft w:val="0"/>
      <w:marRight w:val="0"/>
      <w:marTop w:val="0"/>
      <w:marBottom w:val="0"/>
      <w:divBdr>
        <w:top w:val="none" w:sz="0" w:space="0" w:color="auto"/>
        <w:left w:val="none" w:sz="0" w:space="0" w:color="auto"/>
        <w:bottom w:val="none" w:sz="0" w:space="0" w:color="auto"/>
        <w:right w:val="none" w:sz="0" w:space="0" w:color="auto"/>
      </w:divBdr>
    </w:div>
    <w:div w:id="210969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6626</Words>
  <Characters>37771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Hyseni Kelmendi</dc:creator>
  <cp:lastModifiedBy>Vera Rexhepi</cp:lastModifiedBy>
  <cp:revision>3</cp:revision>
  <cp:lastPrinted>2017-11-17T14:37:00Z</cp:lastPrinted>
  <dcterms:created xsi:type="dcterms:W3CDTF">2019-02-28T09:18:00Z</dcterms:created>
  <dcterms:modified xsi:type="dcterms:W3CDTF">2019-02-28T09:18:00Z</dcterms:modified>
</cp:coreProperties>
</file>