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82" w:rsidRPr="001946C7" w:rsidRDefault="00B61718" w:rsidP="00880E82">
      <w:pPr>
        <w:ind w:left="-90"/>
        <w:jc w:val="center"/>
        <w:rPr>
          <w:rFonts w:ascii="TimesNewRoman" w:hAnsi="TimesNewRoman" w:cs="Book Antiqua"/>
          <w:lang w:val="sq-AL"/>
        </w:rPr>
      </w:pPr>
      <w:r>
        <w:rPr>
          <w:rFonts w:ascii="TimesNewRoman" w:hAnsi="TimesNewRoman" w:cs="Book Antiqua"/>
          <w:lang w:val="sq-AL"/>
        </w:rPr>
        <w:t xml:space="preserve">       </w:t>
      </w:r>
      <w:r w:rsidR="00880E82" w:rsidRPr="001946C7">
        <w:rPr>
          <w:rFonts w:ascii="TimesNewRoman" w:hAnsi="TimesNewRoman" w:cs="Book Antiqua"/>
          <w:noProof/>
          <w:lang w:val="sq-AL" w:eastAsia="sq-AL"/>
        </w:rPr>
        <w:drawing>
          <wp:inline distT="0" distB="0" distL="0" distR="0" wp14:anchorId="43DF6499" wp14:editId="77EEED5F">
            <wp:extent cx="923925" cy="9283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8370"/>
                    </a:xfrm>
                    <a:prstGeom prst="rect">
                      <a:avLst/>
                    </a:prstGeom>
                    <a:noFill/>
                    <a:ln>
                      <a:noFill/>
                    </a:ln>
                  </pic:spPr>
                </pic:pic>
              </a:graphicData>
            </a:graphic>
          </wp:inline>
        </w:drawing>
      </w:r>
    </w:p>
    <w:p w:rsidR="00880E82" w:rsidRPr="001946C7" w:rsidRDefault="00880E82" w:rsidP="00880E82">
      <w:pPr>
        <w:pStyle w:val="Title"/>
        <w:rPr>
          <w:rFonts w:ascii="TimesNewRoman" w:hAnsi="TimesNewRoman"/>
          <w:iCs/>
          <w:sz w:val="32"/>
          <w:szCs w:val="32"/>
        </w:rPr>
      </w:pPr>
      <w:r w:rsidRPr="001946C7">
        <w:rPr>
          <w:rFonts w:ascii="TimesNewRoman" w:hAnsi="TimesNewRoman"/>
          <w:iCs/>
          <w:sz w:val="32"/>
          <w:szCs w:val="32"/>
        </w:rPr>
        <w:t>Republika e Kosovës</w:t>
      </w:r>
    </w:p>
    <w:p w:rsidR="00880E82" w:rsidRPr="001946C7" w:rsidRDefault="00880E82" w:rsidP="00880E82">
      <w:pPr>
        <w:pStyle w:val="Title"/>
        <w:rPr>
          <w:rFonts w:ascii="TimesNewRoman" w:hAnsi="TimesNewRoman"/>
          <w:iCs/>
          <w:sz w:val="26"/>
          <w:szCs w:val="26"/>
        </w:rPr>
      </w:pPr>
      <w:r w:rsidRPr="001946C7">
        <w:rPr>
          <w:rFonts w:ascii="TimesNewRoman" w:hAnsi="TimesNewRoman"/>
          <w:iCs/>
          <w:sz w:val="26"/>
          <w:szCs w:val="26"/>
        </w:rPr>
        <w:t xml:space="preserve">Republika Kosova - </w:t>
      </w:r>
      <w:proofErr w:type="spellStart"/>
      <w:r w:rsidRPr="001946C7">
        <w:rPr>
          <w:rFonts w:ascii="TimesNewRoman" w:hAnsi="TimesNewRoman"/>
          <w:iCs/>
          <w:sz w:val="26"/>
          <w:szCs w:val="26"/>
        </w:rPr>
        <w:t>Republic</w:t>
      </w:r>
      <w:proofErr w:type="spellEnd"/>
      <w:r w:rsidRPr="001946C7">
        <w:rPr>
          <w:rFonts w:ascii="TimesNewRoman" w:hAnsi="TimesNewRoman"/>
          <w:iCs/>
          <w:sz w:val="26"/>
          <w:szCs w:val="26"/>
        </w:rPr>
        <w:t xml:space="preserve"> </w:t>
      </w:r>
      <w:proofErr w:type="spellStart"/>
      <w:r w:rsidRPr="001946C7">
        <w:rPr>
          <w:rFonts w:ascii="TimesNewRoman" w:hAnsi="TimesNewRoman"/>
          <w:iCs/>
          <w:sz w:val="26"/>
          <w:szCs w:val="26"/>
        </w:rPr>
        <w:t>of</w:t>
      </w:r>
      <w:proofErr w:type="spellEnd"/>
      <w:r w:rsidRPr="001946C7">
        <w:rPr>
          <w:rFonts w:ascii="TimesNewRoman" w:hAnsi="TimesNewRoman"/>
          <w:iCs/>
          <w:sz w:val="26"/>
          <w:szCs w:val="26"/>
        </w:rPr>
        <w:t xml:space="preserve"> </w:t>
      </w:r>
      <w:proofErr w:type="spellStart"/>
      <w:r w:rsidRPr="001946C7">
        <w:rPr>
          <w:rFonts w:ascii="TimesNewRoman" w:hAnsi="TimesNewRoman"/>
          <w:iCs/>
          <w:sz w:val="26"/>
          <w:szCs w:val="26"/>
        </w:rPr>
        <w:t>Kosovo</w:t>
      </w:r>
      <w:proofErr w:type="spellEnd"/>
    </w:p>
    <w:p w:rsidR="00880E82" w:rsidRPr="001946C7" w:rsidRDefault="00880E82" w:rsidP="00880E82">
      <w:pPr>
        <w:pStyle w:val="Title"/>
        <w:rPr>
          <w:rFonts w:ascii="TimesNewRoman" w:hAnsi="TimesNewRoman"/>
          <w:i/>
          <w:iCs/>
        </w:rPr>
      </w:pPr>
      <w:r w:rsidRPr="001946C7">
        <w:rPr>
          <w:rFonts w:ascii="TimesNewRoman" w:hAnsi="TimesNewRoman"/>
          <w:i/>
          <w:iCs/>
        </w:rPr>
        <w:t xml:space="preserve">Qeveria - </w:t>
      </w:r>
      <w:proofErr w:type="spellStart"/>
      <w:r w:rsidRPr="001946C7">
        <w:rPr>
          <w:rFonts w:ascii="TimesNewRoman" w:hAnsi="TimesNewRoman"/>
          <w:i/>
          <w:iCs/>
        </w:rPr>
        <w:t>Vlada</w:t>
      </w:r>
      <w:proofErr w:type="spellEnd"/>
      <w:r w:rsidRPr="001946C7">
        <w:rPr>
          <w:rFonts w:ascii="TimesNewRoman" w:hAnsi="TimesNewRoman"/>
          <w:i/>
          <w:iCs/>
        </w:rPr>
        <w:t xml:space="preserve"> - </w:t>
      </w:r>
      <w:proofErr w:type="spellStart"/>
      <w:r w:rsidRPr="001946C7">
        <w:rPr>
          <w:rFonts w:ascii="TimesNewRoman" w:hAnsi="TimesNewRoman"/>
          <w:i/>
          <w:iCs/>
        </w:rPr>
        <w:t>Government</w:t>
      </w:r>
      <w:proofErr w:type="spellEnd"/>
    </w:p>
    <w:p w:rsidR="00880E82" w:rsidRPr="009D3366" w:rsidRDefault="00880E82" w:rsidP="00880E82">
      <w:pPr>
        <w:jc w:val="center"/>
        <w:rPr>
          <w:rFonts w:ascii="TimesNewRoman" w:hAnsi="TimesNewRoman" w:cs="Calibri"/>
          <w:b/>
          <w:sz w:val="28"/>
          <w:szCs w:val="28"/>
          <w:lang w:val="sq-AL"/>
        </w:rPr>
      </w:pPr>
    </w:p>
    <w:p w:rsidR="00FB257B" w:rsidRPr="004775F2" w:rsidRDefault="00FB257B" w:rsidP="00FB257B">
      <w:pPr>
        <w:jc w:val="center"/>
        <w:rPr>
          <w:rFonts w:ascii="Times New Roman" w:hAnsi="Times New Roman"/>
          <w:b/>
          <w:lang w:val="sq-AL"/>
        </w:rPr>
      </w:pPr>
      <w:r w:rsidRPr="004775F2">
        <w:rPr>
          <w:rFonts w:ascii="Times New Roman" w:hAnsi="Times New Roman"/>
          <w:b/>
          <w:lang w:val="sq-AL"/>
        </w:rPr>
        <w:t>MINISTRIA E DREJTËSISË</w:t>
      </w:r>
    </w:p>
    <w:p w:rsidR="00FB257B" w:rsidRPr="004775F2" w:rsidRDefault="00FB257B" w:rsidP="00FB257B">
      <w:pPr>
        <w:jc w:val="center"/>
        <w:rPr>
          <w:rFonts w:ascii="Times New Roman" w:hAnsi="Times New Roman"/>
          <w:b/>
          <w:bCs/>
          <w:lang w:val="sq-AL"/>
        </w:rPr>
      </w:pPr>
      <w:r w:rsidRPr="004775F2">
        <w:rPr>
          <w:rFonts w:ascii="Times New Roman" w:hAnsi="Times New Roman"/>
          <w:b/>
          <w:bCs/>
          <w:lang w:val="sq-AL"/>
        </w:rPr>
        <w:t>MINISTARSTVO PRAVDE /MINISTRY OF JUSTICE</w:t>
      </w:r>
    </w:p>
    <w:p w:rsidR="00F73351" w:rsidRPr="009D3366" w:rsidRDefault="00F73351" w:rsidP="00353331">
      <w:pPr>
        <w:jc w:val="center"/>
        <w:rPr>
          <w:b/>
          <w:bCs/>
          <w:smallCaps/>
          <w:sz w:val="28"/>
          <w:szCs w:val="28"/>
          <w:lang w:val="sq-AL"/>
        </w:rPr>
      </w:pPr>
    </w:p>
    <w:p w:rsidR="00F73351" w:rsidRPr="009D3366" w:rsidRDefault="00F73351" w:rsidP="00353331">
      <w:pPr>
        <w:jc w:val="center"/>
        <w:rPr>
          <w:b/>
          <w:bCs/>
          <w:smallCaps/>
          <w:sz w:val="28"/>
          <w:szCs w:val="28"/>
          <w:lang w:val="sq-AL"/>
        </w:rPr>
      </w:pPr>
    </w:p>
    <w:p w:rsidR="00F73351" w:rsidRPr="001946C7" w:rsidRDefault="00F73351" w:rsidP="00353331">
      <w:pPr>
        <w:jc w:val="center"/>
        <w:rPr>
          <w:b/>
          <w:bCs/>
          <w:smallCaps/>
          <w:sz w:val="32"/>
          <w:lang w:val="sq-AL"/>
        </w:rPr>
      </w:pPr>
    </w:p>
    <w:p w:rsidR="00F73351" w:rsidRPr="001946C7" w:rsidRDefault="00F73351" w:rsidP="00353331">
      <w:pPr>
        <w:jc w:val="center"/>
        <w:rPr>
          <w:b/>
          <w:bCs/>
          <w:smallCaps/>
          <w:sz w:val="32"/>
          <w:lang w:val="sq-AL"/>
        </w:rPr>
      </w:pPr>
    </w:p>
    <w:p w:rsidR="00F73351" w:rsidRPr="001946C7" w:rsidRDefault="00F73351" w:rsidP="00353331">
      <w:pPr>
        <w:jc w:val="center"/>
        <w:rPr>
          <w:b/>
          <w:bCs/>
          <w:smallCaps/>
          <w:sz w:val="32"/>
          <w:lang w:val="sq-AL"/>
        </w:rPr>
      </w:pPr>
    </w:p>
    <w:p w:rsidR="00F73351" w:rsidRPr="001946C7" w:rsidRDefault="00F73351" w:rsidP="00353331">
      <w:pPr>
        <w:jc w:val="center"/>
        <w:rPr>
          <w:b/>
          <w:bCs/>
          <w:smallCaps/>
          <w:sz w:val="32"/>
          <w:lang w:val="sq-AL"/>
        </w:rPr>
      </w:pPr>
    </w:p>
    <w:p w:rsidR="00F73351" w:rsidRPr="001946C7" w:rsidRDefault="00F73351" w:rsidP="00353331">
      <w:pPr>
        <w:jc w:val="center"/>
        <w:rPr>
          <w:b/>
          <w:bCs/>
          <w:smallCaps/>
          <w:sz w:val="32"/>
          <w:lang w:val="sq-AL"/>
        </w:rPr>
      </w:pPr>
    </w:p>
    <w:p w:rsidR="00F73351" w:rsidRPr="001946C7" w:rsidRDefault="00F73351" w:rsidP="00353331">
      <w:pPr>
        <w:jc w:val="center"/>
        <w:rPr>
          <w:b/>
          <w:bCs/>
          <w:smallCaps/>
          <w:sz w:val="32"/>
          <w:lang w:val="sq-AL"/>
        </w:rPr>
      </w:pPr>
    </w:p>
    <w:p w:rsidR="00F73351" w:rsidRPr="001946C7" w:rsidRDefault="00F73351" w:rsidP="00353331">
      <w:pPr>
        <w:jc w:val="center"/>
        <w:rPr>
          <w:b/>
          <w:bCs/>
          <w:smallCaps/>
          <w:sz w:val="32"/>
          <w:lang w:val="sq-AL"/>
        </w:rPr>
      </w:pPr>
    </w:p>
    <w:p w:rsidR="00FB257B" w:rsidRPr="004775F2" w:rsidRDefault="00353331" w:rsidP="00FB257B">
      <w:pPr>
        <w:autoSpaceDE w:val="0"/>
        <w:autoSpaceDN w:val="0"/>
        <w:adjustRightInd w:val="0"/>
        <w:spacing w:before="240" w:after="120"/>
        <w:jc w:val="center"/>
        <w:rPr>
          <w:rFonts w:ascii="Times New Roman" w:hAnsi="Times New Roman"/>
          <w:lang w:val="sq-AL"/>
        </w:rPr>
      </w:pPr>
      <w:r w:rsidRPr="001946C7">
        <w:rPr>
          <w:b/>
          <w:bCs/>
          <w:smallCaps/>
          <w:sz w:val="32"/>
          <w:lang w:val="sq-AL"/>
        </w:rPr>
        <w:t>Raporti nga procesi</w:t>
      </w:r>
      <w:r w:rsidR="00C63D1C" w:rsidRPr="001946C7">
        <w:rPr>
          <w:b/>
          <w:bCs/>
          <w:smallCaps/>
          <w:sz w:val="32"/>
          <w:lang w:val="sq-AL"/>
        </w:rPr>
        <w:t xml:space="preserve"> i </w:t>
      </w:r>
      <w:r w:rsidRPr="001946C7">
        <w:rPr>
          <w:b/>
          <w:bCs/>
          <w:smallCaps/>
          <w:sz w:val="32"/>
          <w:lang w:val="sq-AL"/>
        </w:rPr>
        <w:t>konsultimit</w:t>
      </w:r>
      <w:r w:rsidR="00F73351" w:rsidRPr="001946C7">
        <w:rPr>
          <w:b/>
          <w:bCs/>
          <w:smallCaps/>
          <w:sz w:val="32"/>
          <w:lang w:val="sq-AL"/>
        </w:rPr>
        <w:t xml:space="preserve"> </w:t>
      </w:r>
      <w:r w:rsidR="00FB257B" w:rsidRPr="004775F2">
        <w:rPr>
          <w:rFonts w:ascii="Times New Roman" w:hAnsi="Times New Roman"/>
          <w:b/>
          <w:lang w:val="sq-AL"/>
        </w:rPr>
        <w:t>PЁR FUSHËN E AGJENCISË KUNDËR KORRUPSIONIT DHE PËR DEKLARIMIN DHE PREJARDHJEN E PASURISË</w:t>
      </w:r>
    </w:p>
    <w:p w:rsidR="00353331" w:rsidRPr="001946C7" w:rsidRDefault="00353331" w:rsidP="00353331">
      <w:pPr>
        <w:jc w:val="center"/>
        <w:rPr>
          <w:b/>
          <w:bCs/>
          <w:smallCaps/>
          <w:sz w:val="32"/>
          <w:lang w:val="sq-AL"/>
        </w:rPr>
      </w:pPr>
    </w:p>
    <w:p w:rsidR="00353331" w:rsidRPr="001946C7" w:rsidRDefault="00353331" w:rsidP="00353331">
      <w:pPr>
        <w:rPr>
          <w:lang w:val="sq-AL"/>
        </w:rPr>
      </w:pPr>
    </w:p>
    <w:p w:rsidR="00353331" w:rsidRPr="001946C7" w:rsidRDefault="0035333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F73351" w:rsidRPr="001946C7" w:rsidRDefault="00FB257B" w:rsidP="00061561">
      <w:pPr>
        <w:jc w:val="center"/>
        <w:rPr>
          <w:lang w:val="sq-AL"/>
        </w:rPr>
      </w:pPr>
      <w:r>
        <w:rPr>
          <w:lang w:val="sq-AL"/>
        </w:rPr>
        <w:t>N</w:t>
      </w:r>
      <w:r w:rsidRPr="00FB257B">
        <w:rPr>
          <w:rFonts w:ascii="Book Antiqua" w:hAnsi="Book Antiqua"/>
          <w:lang w:val="sq-AL"/>
        </w:rPr>
        <w:t>ë</w:t>
      </w:r>
      <w:r>
        <w:rPr>
          <w:rFonts w:ascii="Book Antiqua" w:hAnsi="Book Antiqua"/>
          <w:lang w:val="sq-AL"/>
        </w:rPr>
        <w:t>n</w:t>
      </w:r>
      <w:r w:rsidR="00223C8B">
        <w:rPr>
          <w:lang w:val="sq-AL"/>
        </w:rPr>
        <w:t>tor</w:t>
      </w:r>
      <w:r w:rsidR="00061561" w:rsidRPr="001946C7">
        <w:rPr>
          <w:lang w:val="sq-AL"/>
        </w:rPr>
        <w:t xml:space="preserve"> 2017</w:t>
      </w:r>
    </w:p>
    <w:p w:rsidR="00F73351" w:rsidRPr="001946C7" w:rsidRDefault="00F73351" w:rsidP="00353331">
      <w:pPr>
        <w:rPr>
          <w:lang w:val="sq-AL"/>
        </w:rPr>
      </w:pPr>
    </w:p>
    <w:p w:rsidR="00F73351" w:rsidRPr="001946C7" w:rsidRDefault="00F73351" w:rsidP="00353331">
      <w:pPr>
        <w:rPr>
          <w:lang w:val="sq-AL"/>
        </w:rPr>
      </w:pPr>
    </w:p>
    <w:p w:rsidR="00F73351" w:rsidRPr="001946C7" w:rsidRDefault="00F73351" w:rsidP="00353331">
      <w:pPr>
        <w:rPr>
          <w:lang w:val="sq-AL"/>
        </w:rPr>
      </w:pPr>
    </w:p>
    <w:p w:rsidR="00353331" w:rsidRPr="001946C7" w:rsidRDefault="00353331" w:rsidP="00353331">
      <w:pPr>
        <w:rPr>
          <w:lang w:val="sq-AL"/>
        </w:rPr>
      </w:pPr>
    </w:p>
    <w:p w:rsidR="00F80858" w:rsidRDefault="00F80858" w:rsidP="00353331">
      <w:pPr>
        <w:jc w:val="center"/>
        <w:rPr>
          <w:b/>
          <w:lang w:val="sq-AL"/>
        </w:rPr>
      </w:pPr>
    </w:p>
    <w:p w:rsidR="00F80858" w:rsidRDefault="00F80858" w:rsidP="00353331">
      <w:pPr>
        <w:jc w:val="center"/>
        <w:rPr>
          <w:b/>
          <w:lang w:val="sq-AL"/>
        </w:rPr>
      </w:pPr>
    </w:p>
    <w:p w:rsidR="00353331" w:rsidRPr="00BE7BF2" w:rsidRDefault="000149C9" w:rsidP="00353331">
      <w:pPr>
        <w:jc w:val="center"/>
        <w:rPr>
          <w:b/>
          <w:lang w:val="sq-AL"/>
        </w:rPr>
      </w:pPr>
      <w:r w:rsidRPr="00BE7BF2">
        <w:rPr>
          <w:b/>
          <w:lang w:val="sq-AL"/>
        </w:rPr>
        <w:t>Hyrje</w:t>
      </w:r>
    </w:p>
    <w:p w:rsidR="00FB257B" w:rsidRPr="00BE7BF2" w:rsidRDefault="00FB257B" w:rsidP="00353331">
      <w:pPr>
        <w:jc w:val="center"/>
        <w:rPr>
          <w:b/>
          <w:lang w:val="sq-AL"/>
        </w:rPr>
      </w:pPr>
    </w:p>
    <w:p w:rsidR="00FB257B" w:rsidRPr="00BE7BF2" w:rsidRDefault="00FB257B" w:rsidP="00FB257B">
      <w:pPr>
        <w:jc w:val="both"/>
        <w:rPr>
          <w:rFonts w:ascii="Times New Roman" w:hAnsi="Times New Roman"/>
          <w:bCs/>
          <w:lang w:val="sq-AL"/>
        </w:rPr>
      </w:pPr>
      <w:r w:rsidRPr="00BE7BF2">
        <w:rPr>
          <w:rFonts w:ascii="Times New Roman" w:hAnsi="Times New Roman"/>
          <w:bCs/>
          <w:lang w:val="sq-AL"/>
        </w:rPr>
        <w:t xml:space="preserve">AKK-ja që nga funksionalizimi i saj të gjitha rastet të cilat ka hetuar dhe kur ka gjetur prova përtej dyshimit të arsyeshëm dhe të bazuar ka vepruar sipas kompetencave të saj dhe deri më tani ka </w:t>
      </w:r>
      <w:r w:rsidR="00B774A1" w:rsidRPr="00BE7BF2">
        <w:rPr>
          <w:rFonts w:ascii="Times New Roman" w:hAnsi="Times New Roman"/>
          <w:bCs/>
          <w:lang w:val="sq-AL"/>
        </w:rPr>
        <w:t>përcjellë</w:t>
      </w:r>
      <w:r w:rsidRPr="00BE7BF2">
        <w:rPr>
          <w:rFonts w:ascii="Times New Roman" w:hAnsi="Times New Roman"/>
          <w:bCs/>
          <w:lang w:val="sq-AL"/>
        </w:rPr>
        <w:t xml:space="preserve"> tek autoritetet kompetente gjithsej 718 raste. AKK ka adresuar numrin më të madh të kallëzimeve penale në raport me vitet paraprake.  Kjo është si rrjedhojë që Kodi Penal i Kosovës (i hyrë në fuqi në fillim të vitit 2013) ka paraparë si vepër penale ”mos deklarimin e pasurisë” dhe “deklarimin e  rrem të pasurisë”. </w:t>
      </w:r>
    </w:p>
    <w:p w:rsidR="00FB257B" w:rsidRPr="00BE7BF2" w:rsidRDefault="00FB257B" w:rsidP="00FB257B">
      <w:pPr>
        <w:jc w:val="both"/>
        <w:rPr>
          <w:rFonts w:ascii="Times New Roman" w:hAnsi="Times New Roman"/>
          <w:bCs/>
          <w:lang w:val="sq-AL"/>
        </w:rPr>
      </w:pPr>
    </w:p>
    <w:p w:rsidR="00FB257B" w:rsidRPr="00BE7BF2" w:rsidRDefault="00FB257B" w:rsidP="00FB257B">
      <w:pPr>
        <w:jc w:val="both"/>
        <w:rPr>
          <w:rFonts w:ascii="Times New Roman" w:hAnsi="Times New Roman"/>
          <w:lang w:val="sq-AL"/>
        </w:rPr>
      </w:pPr>
      <w:r w:rsidRPr="00BE7BF2">
        <w:rPr>
          <w:rFonts w:ascii="Times New Roman" w:hAnsi="Times New Roman"/>
          <w:bCs/>
          <w:lang w:val="sq-AL"/>
        </w:rPr>
        <w:t xml:space="preserve">Korniza ligjore në bazë të së cilës Agjencia ka realizuar mandatin e saj është: </w:t>
      </w:r>
      <w:r w:rsidRPr="00BE7BF2">
        <w:rPr>
          <w:rFonts w:ascii="Times New Roman" w:hAnsi="Times New Roman"/>
          <w:lang w:val="sq-AL"/>
        </w:rPr>
        <w:t xml:space="preserve">Ligji nr. 03/L-159 për Agjencinë Kundër Korrupsionit, Ligji nr. 04/L-050 për Deklarimin, Prejardhjen dhe Kontrollin e Pasurisë të Zyrtarëve të Lartë Publik dhe Deklarimin, Prejardhjen dhe Kontrollin e Dhuratave për të gjithë Personat Zyrtarë, Ligji nr. 04/L-228 për Ndryshimin dhe Plotësimin e Ligjit nr. 04/L-050 për Deklarimin, Prejardhjen dhe Kontrollin e Pasurisë të Zyrtarëve të Lartë Publik dhe Deklarimin, Prejardhjen dhe Kontrollin e Dhuratave për të gjithë Personat Zyrtarë, (i cili ka hyrë në fuqi më 2014); Ligji nr. 04/L-051 për Parandalimin e Konfliktit të Interesit në Ushtrimin e Funksionit Publik. Legjislacioni dytësor ekzistues nuk është plotësuar dhe ndryshuar.  </w:t>
      </w:r>
    </w:p>
    <w:p w:rsidR="00FB257B" w:rsidRPr="00BE7BF2" w:rsidRDefault="00FB257B" w:rsidP="00FB257B">
      <w:pPr>
        <w:jc w:val="both"/>
        <w:rPr>
          <w:rFonts w:ascii="Times New Roman" w:hAnsi="Times New Roman"/>
          <w:lang w:val="sq-AL"/>
        </w:rPr>
      </w:pPr>
    </w:p>
    <w:p w:rsidR="00FB257B" w:rsidRPr="00BE7BF2" w:rsidRDefault="00FB257B" w:rsidP="00FB257B">
      <w:pPr>
        <w:jc w:val="both"/>
        <w:rPr>
          <w:rFonts w:ascii="Times New Roman" w:hAnsi="Times New Roman"/>
          <w:lang w:val="sq-AL"/>
        </w:rPr>
      </w:pPr>
      <w:r w:rsidRPr="00BE7BF2">
        <w:rPr>
          <w:rFonts w:ascii="Times New Roman" w:hAnsi="Times New Roman"/>
          <w:lang w:val="sq-AL"/>
        </w:rPr>
        <w:t>Aktualisht, pjesa më e madhe e punës së AKK-së bazohet dhe funksionon përmes monitorimit dhe sistemit të raportimit që akoma</w:t>
      </w:r>
      <w:r w:rsidRPr="00BE7BF2">
        <w:rPr>
          <w:rFonts w:ascii="Times New Roman" w:hAnsi="Times New Roman"/>
          <w:color w:val="FF0000"/>
          <w:lang w:val="sq-AL"/>
        </w:rPr>
        <w:t xml:space="preserve"> </w:t>
      </w:r>
      <w:r w:rsidRPr="00BE7BF2">
        <w:rPr>
          <w:rFonts w:ascii="Times New Roman" w:hAnsi="Times New Roman"/>
          <w:lang w:val="sq-AL"/>
        </w:rPr>
        <w:t>nuk</w:t>
      </w:r>
      <w:r w:rsidRPr="00BE7BF2">
        <w:rPr>
          <w:rFonts w:ascii="Times New Roman" w:hAnsi="Times New Roman"/>
          <w:color w:val="FF0000"/>
          <w:lang w:val="sq-AL"/>
        </w:rPr>
        <w:t xml:space="preserve"> </w:t>
      </w:r>
      <w:r w:rsidRPr="00BE7BF2">
        <w:rPr>
          <w:rFonts w:ascii="Times New Roman" w:hAnsi="Times New Roman"/>
          <w:lang w:val="sq-AL"/>
        </w:rPr>
        <w:t xml:space="preserve">është shumë i zhvilluar. Pa mbledhjen dhe trajtimin sistematik të informacionit, do të ishte e pamundshme që AKK të identifikonte, kuptonte dhe vepronte ndaj rreziqeve të korrupsionit dhe të dinte nëse rregullat dhe standardet e vendosura janë të përshtatshme, të mjaftueshme dhe nëse përputhshmëria e tyre është efektive. Për këtë arsye, ndryshimi i ligjit thekson domosdoshmërinë që mbledhja e informacionit dhe prodhimi i analizave mbi </w:t>
      </w:r>
      <w:proofErr w:type="spellStart"/>
      <w:r w:rsidRPr="00BE7BF2">
        <w:rPr>
          <w:rFonts w:ascii="Times New Roman" w:hAnsi="Times New Roman"/>
          <w:lang w:val="sq-AL"/>
        </w:rPr>
        <w:t>trendet</w:t>
      </w:r>
      <w:proofErr w:type="spellEnd"/>
      <w:r w:rsidRPr="00BE7BF2">
        <w:rPr>
          <w:rFonts w:ascii="Times New Roman" w:hAnsi="Times New Roman"/>
          <w:lang w:val="sq-AL"/>
        </w:rPr>
        <w:t xml:space="preserve"> dhe zonat e rrezikut të jenë në qendër të misionit të AKK-së. </w:t>
      </w:r>
    </w:p>
    <w:p w:rsidR="00FB257B" w:rsidRPr="00BE7BF2" w:rsidRDefault="00FB257B" w:rsidP="00FB257B">
      <w:pPr>
        <w:jc w:val="both"/>
        <w:rPr>
          <w:rFonts w:ascii="Times New Roman" w:hAnsi="Times New Roman"/>
          <w:lang w:val="sq-AL"/>
        </w:rPr>
      </w:pPr>
    </w:p>
    <w:p w:rsidR="00FB257B" w:rsidRPr="00BE7BF2" w:rsidRDefault="00FB257B" w:rsidP="00FB257B">
      <w:pPr>
        <w:jc w:val="both"/>
        <w:rPr>
          <w:rFonts w:ascii="Times New Roman" w:hAnsi="Times New Roman"/>
          <w:lang w:val="sq-AL"/>
        </w:rPr>
      </w:pPr>
      <w:r w:rsidRPr="00BE7BF2">
        <w:rPr>
          <w:rFonts w:ascii="Times New Roman" w:hAnsi="Times New Roman"/>
          <w:lang w:val="sq-AL"/>
        </w:rPr>
        <w:t xml:space="preserve">AKK ka vendosur një rrjet të personave kontaktues në administratat e ndryshme për të mbledhur deklarimet e pasurisë të zyrtarëve të këtyre institucioneve, organeve, zyrave dhe agjencive. Në procedurat për mbledhjen, përpunimin dhe shqyrtimin e deklarimeve të pasurisë janë vërejtur se ekzistojnë mangësi në zbatim të tyre. Në këtë aspekt vërehet mungesa e akteve të brendshme në lidhje me punën e zyrtarëve kontaktues dhe shpërndarja e duhur e udhëzimeve për mbushjen e formularëve të deklarimit të pasurisë nga zyrtarët kontaktues dhe shpërndarja e këtyre formularëve tek zyrtarët e lartë. </w:t>
      </w:r>
    </w:p>
    <w:p w:rsidR="00FB257B" w:rsidRPr="00BE7BF2" w:rsidRDefault="00FB257B" w:rsidP="00FB257B">
      <w:pPr>
        <w:jc w:val="both"/>
        <w:rPr>
          <w:rFonts w:ascii="Times New Roman" w:hAnsi="Times New Roman"/>
          <w:lang w:val="sq-AL"/>
        </w:rPr>
      </w:pPr>
    </w:p>
    <w:p w:rsidR="00FB257B" w:rsidRPr="00BE7BF2" w:rsidRDefault="00FB257B" w:rsidP="00FB257B">
      <w:pPr>
        <w:jc w:val="both"/>
        <w:rPr>
          <w:b/>
          <w:lang w:val="sq-AL"/>
        </w:rPr>
      </w:pPr>
      <w:r w:rsidRPr="00BE7BF2">
        <w:rPr>
          <w:rFonts w:ascii="Times New Roman" w:hAnsi="Times New Roman"/>
          <w:lang w:val="sq-AL"/>
        </w:rPr>
        <w:t xml:space="preserve">AKK mund të kontrolloj ndryshimet dhe modelet në pasurinë e raportuar të zyrtarëve të lartë publikë; por nuk mund të hetojë origjinën e mundshme penale të pasurisë së pajustifikuar (kjo është kompetencë e Prokurorisë së Shtetit) ose çështjet e pronësisë së dobishme sa u përket pasurive të caktuara (kjo bie nën mandatin e Njësisë për Inteligjencë Financiare). </w:t>
      </w:r>
    </w:p>
    <w:p w:rsidR="00353331" w:rsidRPr="00BE7BF2" w:rsidRDefault="00353331" w:rsidP="00353331">
      <w:pPr>
        <w:jc w:val="center"/>
        <w:rPr>
          <w:b/>
          <w:lang w:val="sq-AL"/>
        </w:rPr>
      </w:pPr>
    </w:p>
    <w:p w:rsidR="00B408B9" w:rsidRPr="00BE7BF2" w:rsidRDefault="00FB257B" w:rsidP="00055165">
      <w:pPr>
        <w:jc w:val="both"/>
        <w:rPr>
          <w:lang w:val="sq-AL"/>
        </w:rPr>
      </w:pPr>
      <w:r w:rsidRPr="00BE7BF2">
        <w:rPr>
          <w:lang w:val="sq-AL"/>
        </w:rPr>
        <w:lastRenderedPageBreak/>
        <w:t xml:space="preserve">është propozuar </w:t>
      </w:r>
      <w:r w:rsidR="00B408B9" w:rsidRPr="00BE7BF2">
        <w:rPr>
          <w:lang w:val="sq-AL"/>
        </w:rPr>
        <w:t>të</w:t>
      </w:r>
      <w:r w:rsidRPr="00BE7BF2">
        <w:rPr>
          <w:lang w:val="sq-AL"/>
        </w:rPr>
        <w:t xml:space="preserve"> hartohet koncept dokumenti për fushën e Agjencisë Kundër Korrupsionit dhe për deklarimin dhe prejardhjen e pasurisë </w:t>
      </w:r>
      <w:r w:rsidR="00B408B9" w:rsidRPr="00BE7BF2">
        <w:rPr>
          <w:lang w:val="sq-AL"/>
        </w:rPr>
        <w:t>zhvillim Rajonal, për hartimin e  këtij dokumenti është funksionalizuar Grupi Punues, i cili tashmë ka arritur në fazën finale.</w:t>
      </w:r>
    </w:p>
    <w:p w:rsidR="00055165" w:rsidRPr="00BE7BF2" w:rsidRDefault="00055165" w:rsidP="00055165">
      <w:pPr>
        <w:jc w:val="both"/>
        <w:rPr>
          <w:lang w:val="sq-AL"/>
        </w:rPr>
      </w:pPr>
    </w:p>
    <w:p w:rsidR="00E57F00" w:rsidRPr="00BE7BF2" w:rsidRDefault="00B408B9" w:rsidP="00F745CD">
      <w:pPr>
        <w:pStyle w:val="Default"/>
        <w:jc w:val="both"/>
        <w:rPr>
          <w:rFonts w:asciiTheme="minorHAnsi" w:hAnsiTheme="minorHAnsi"/>
          <w:lang w:val="sq-AL"/>
        </w:rPr>
      </w:pPr>
      <w:r w:rsidRPr="00BE7BF2">
        <w:rPr>
          <w:rFonts w:asciiTheme="minorHAnsi" w:hAnsiTheme="minorHAnsi"/>
          <w:lang w:val="sq-AL"/>
        </w:rPr>
        <w:t>Pra, h</w:t>
      </w:r>
      <w:r w:rsidR="00055165" w:rsidRPr="00BE7BF2">
        <w:rPr>
          <w:rFonts w:asciiTheme="minorHAnsi" w:hAnsiTheme="minorHAnsi"/>
          <w:lang w:val="sq-AL"/>
        </w:rPr>
        <w:t>artimi</w:t>
      </w:r>
      <w:r w:rsidR="00C63D1C" w:rsidRPr="00BE7BF2">
        <w:rPr>
          <w:rFonts w:asciiTheme="minorHAnsi" w:hAnsiTheme="minorHAnsi"/>
          <w:lang w:val="sq-AL"/>
        </w:rPr>
        <w:t xml:space="preserve"> i </w:t>
      </w:r>
      <w:r w:rsidR="00F73351" w:rsidRPr="00BE7BF2">
        <w:rPr>
          <w:rFonts w:asciiTheme="minorHAnsi" w:hAnsiTheme="minorHAnsi"/>
          <w:lang w:val="sq-AL"/>
        </w:rPr>
        <w:t>draft Koncept D</w:t>
      </w:r>
      <w:r w:rsidR="00055165" w:rsidRPr="00BE7BF2">
        <w:rPr>
          <w:rFonts w:asciiTheme="minorHAnsi" w:hAnsiTheme="minorHAnsi"/>
          <w:lang w:val="sq-AL"/>
        </w:rPr>
        <w:t>okum</w:t>
      </w:r>
      <w:r w:rsidR="00F745CD" w:rsidRPr="00BE7BF2">
        <w:rPr>
          <w:rFonts w:asciiTheme="minorHAnsi" w:hAnsiTheme="minorHAnsi"/>
          <w:lang w:val="sq-AL"/>
        </w:rPr>
        <w:t xml:space="preserve">entit është bërë nga </w:t>
      </w:r>
      <w:r w:rsidR="000B3E22" w:rsidRPr="00BE7BF2">
        <w:rPr>
          <w:rFonts w:asciiTheme="minorHAnsi" w:hAnsiTheme="minorHAnsi"/>
          <w:lang w:val="sq-AL"/>
        </w:rPr>
        <w:t>G</w:t>
      </w:r>
      <w:r w:rsidR="00F745CD" w:rsidRPr="00BE7BF2">
        <w:rPr>
          <w:rFonts w:asciiTheme="minorHAnsi" w:hAnsiTheme="minorHAnsi"/>
          <w:lang w:val="sq-AL"/>
        </w:rPr>
        <w:t xml:space="preserve">rupi </w:t>
      </w:r>
      <w:r w:rsidR="000B3E22" w:rsidRPr="00BE7BF2">
        <w:rPr>
          <w:rFonts w:asciiTheme="minorHAnsi" w:hAnsiTheme="minorHAnsi"/>
          <w:lang w:val="sq-AL"/>
        </w:rPr>
        <w:t>P</w:t>
      </w:r>
      <w:r w:rsidR="00F745CD" w:rsidRPr="00BE7BF2">
        <w:rPr>
          <w:rFonts w:asciiTheme="minorHAnsi" w:hAnsiTheme="minorHAnsi"/>
          <w:lang w:val="sq-AL"/>
        </w:rPr>
        <w:t>unue</w:t>
      </w:r>
      <w:r w:rsidR="00055165" w:rsidRPr="00BE7BF2">
        <w:rPr>
          <w:rFonts w:asciiTheme="minorHAnsi" w:hAnsiTheme="minorHAnsi"/>
          <w:lang w:val="sq-AL"/>
        </w:rPr>
        <w:t>s</w:t>
      </w:r>
      <w:r w:rsidR="00C63D1C" w:rsidRPr="00BE7BF2">
        <w:rPr>
          <w:rFonts w:asciiTheme="minorHAnsi" w:hAnsiTheme="minorHAnsi"/>
          <w:lang w:val="sq-AL"/>
        </w:rPr>
        <w:t xml:space="preserve"> i </w:t>
      </w:r>
      <w:r w:rsidR="00FC508E" w:rsidRPr="00BE7BF2">
        <w:rPr>
          <w:rFonts w:asciiTheme="minorHAnsi" w:hAnsiTheme="minorHAnsi"/>
          <w:lang w:val="sq-AL"/>
        </w:rPr>
        <w:t>udhëhequr nga Departamenti Ligjor</w:t>
      </w:r>
      <w:r w:rsidRPr="00BE7BF2">
        <w:rPr>
          <w:rFonts w:asciiTheme="minorHAnsi" w:hAnsiTheme="minorHAnsi"/>
          <w:lang w:val="sq-AL"/>
        </w:rPr>
        <w:t xml:space="preserve">, në kuadër Ministrisë së </w:t>
      </w:r>
      <w:r w:rsidR="00FC508E" w:rsidRPr="00BE7BF2">
        <w:rPr>
          <w:rFonts w:asciiTheme="minorHAnsi" w:hAnsiTheme="minorHAnsi"/>
          <w:lang w:val="sq-AL"/>
        </w:rPr>
        <w:t>Drejt</w:t>
      </w:r>
      <w:r w:rsidR="00FC508E" w:rsidRPr="00BE7BF2">
        <w:rPr>
          <w:rFonts w:ascii="Book Antiqua" w:hAnsi="Book Antiqua"/>
          <w:lang w:val="sq-AL"/>
        </w:rPr>
        <w:t>ësisë</w:t>
      </w:r>
      <w:r w:rsidRPr="00BE7BF2">
        <w:rPr>
          <w:rFonts w:asciiTheme="minorHAnsi" w:hAnsiTheme="minorHAnsi"/>
          <w:lang w:val="sq-AL"/>
        </w:rPr>
        <w:t xml:space="preserve">, </w:t>
      </w:r>
      <w:r w:rsidR="00FC508E" w:rsidRPr="00BE7BF2">
        <w:rPr>
          <w:rFonts w:asciiTheme="minorHAnsi" w:hAnsiTheme="minorHAnsi"/>
          <w:lang w:val="sq-AL"/>
        </w:rPr>
        <w:t>(MD</w:t>
      </w:r>
      <w:r w:rsidR="00E57F00" w:rsidRPr="00BE7BF2">
        <w:rPr>
          <w:rFonts w:asciiTheme="minorHAnsi" w:hAnsiTheme="minorHAnsi"/>
          <w:lang w:val="sq-AL"/>
        </w:rPr>
        <w:t>).</w:t>
      </w:r>
      <w:r w:rsidR="00055165" w:rsidRPr="00BE7BF2">
        <w:rPr>
          <w:rFonts w:asciiTheme="minorHAnsi" w:hAnsiTheme="minorHAnsi"/>
          <w:lang w:val="sq-AL"/>
        </w:rPr>
        <w:t xml:space="preserve"> </w:t>
      </w:r>
      <w:r w:rsidR="00E57F00" w:rsidRPr="00BE7BF2">
        <w:rPr>
          <w:rFonts w:asciiTheme="minorHAnsi" w:hAnsiTheme="minorHAnsi"/>
          <w:lang w:val="sq-AL"/>
        </w:rPr>
        <w:t>Pjesëmarrës të tjerë në Grupin Punues, për hartimin</w:t>
      </w:r>
      <w:r w:rsidR="00FC508E" w:rsidRPr="00BE7BF2">
        <w:rPr>
          <w:rFonts w:asciiTheme="minorHAnsi" w:hAnsiTheme="minorHAnsi"/>
          <w:lang w:val="sq-AL"/>
        </w:rPr>
        <w:t xml:space="preserve"> e dokumentit në fjalë kanë </w:t>
      </w:r>
      <w:r w:rsidR="00B50D47" w:rsidRPr="00BE7BF2">
        <w:rPr>
          <w:rFonts w:asciiTheme="minorHAnsi" w:hAnsiTheme="minorHAnsi"/>
          <w:lang w:val="sq-AL"/>
        </w:rPr>
        <w:t xml:space="preserve"> </w:t>
      </w:r>
      <w:r w:rsidR="00FC508E" w:rsidRPr="00BE7BF2">
        <w:rPr>
          <w:rFonts w:asciiTheme="minorHAnsi" w:hAnsiTheme="minorHAnsi"/>
          <w:lang w:val="sq-AL"/>
        </w:rPr>
        <w:t>Agjencia Kund</w:t>
      </w:r>
      <w:r w:rsidR="00FC508E" w:rsidRPr="00BE7BF2">
        <w:rPr>
          <w:rFonts w:ascii="Book Antiqua" w:hAnsi="Book Antiqua"/>
          <w:lang w:val="sq-AL"/>
        </w:rPr>
        <w:t>ër Korrupsionit</w:t>
      </w:r>
      <w:r w:rsidR="00E57F00" w:rsidRPr="00BE7BF2">
        <w:rPr>
          <w:rFonts w:asciiTheme="minorHAnsi" w:hAnsiTheme="minorHAnsi"/>
          <w:lang w:val="sq-AL"/>
        </w:rPr>
        <w:t>.</w:t>
      </w:r>
    </w:p>
    <w:p w:rsidR="004F60F8" w:rsidRPr="00BE7BF2" w:rsidRDefault="00F745CD" w:rsidP="00F745CD">
      <w:pPr>
        <w:pStyle w:val="Default"/>
        <w:jc w:val="both"/>
        <w:rPr>
          <w:rFonts w:asciiTheme="minorHAnsi" w:hAnsiTheme="minorHAnsi"/>
          <w:lang w:val="sq-AL"/>
        </w:rPr>
      </w:pPr>
      <w:r w:rsidRPr="00BE7BF2">
        <w:rPr>
          <w:rFonts w:asciiTheme="minorHAnsi" w:hAnsiTheme="minorHAnsi"/>
          <w:lang w:val="sq-AL"/>
        </w:rPr>
        <w:t>Hartimi</w:t>
      </w:r>
      <w:r w:rsidR="00C63D1C" w:rsidRPr="00BE7BF2">
        <w:rPr>
          <w:rFonts w:asciiTheme="minorHAnsi" w:hAnsiTheme="minorHAnsi"/>
          <w:lang w:val="sq-AL"/>
        </w:rPr>
        <w:t xml:space="preserve"> i </w:t>
      </w:r>
      <w:r w:rsidR="00251EA2" w:rsidRPr="00BE7BF2">
        <w:rPr>
          <w:rFonts w:asciiTheme="minorHAnsi" w:hAnsiTheme="minorHAnsi"/>
          <w:lang w:val="sq-AL"/>
        </w:rPr>
        <w:t xml:space="preserve">draft </w:t>
      </w:r>
      <w:r w:rsidRPr="00BE7BF2">
        <w:rPr>
          <w:rFonts w:asciiTheme="minorHAnsi" w:hAnsiTheme="minorHAnsi"/>
          <w:lang w:val="sq-AL"/>
        </w:rPr>
        <w:t>Konce</w:t>
      </w:r>
      <w:r w:rsidR="00055165" w:rsidRPr="00BE7BF2">
        <w:rPr>
          <w:rFonts w:asciiTheme="minorHAnsi" w:hAnsiTheme="minorHAnsi"/>
          <w:lang w:val="sq-AL"/>
        </w:rPr>
        <w:t xml:space="preserve">pt </w:t>
      </w:r>
      <w:r w:rsidR="00251EA2" w:rsidRPr="00BE7BF2">
        <w:rPr>
          <w:rFonts w:asciiTheme="minorHAnsi" w:hAnsiTheme="minorHAnsi"/>
          <w:lang w:val="sq-AL"/>
        </w:rPr>
        <w:t>D</w:t>
      </w:r>
      <w:r w:rsidR="00055165" w:rsidRPr="00BE7BF2">
        <w:rPr>
          <w:rFonts w:asciiTheme="minorHAnsi" w:hAnsiTheme="minorHAnsi"/>
          <w:lang w:val="sq-AL"/>
        </w:rPr>
        <w:t>okumentit gjithashtu është mbështe</w:t>
      </w:r>
      <w:r w:rsidR="00FC508E" w:rsidRPr="00BE7BF2">
        <w:rPr>
          <w:rFonts w:asciiTheme="minorHAnsi" w:hAnsiTheme="minorHAnsi"/>
          <w:lang w:val="sq-AL"/>
        </w:rPr>
        <w:t xml:space="preserve">tur nga ana e ekspertëve </w:t>
      </w:r>
      <w:r w:rsidR="00FC508E" w:rsidRPr="00BE7BF2">
        <w:rPr>
          <w:lang w:val="sq-AL"/>
        </w:rPr>
        <w:t>nga projekti PECK II dhe nga dy ekspertë të mbështetur nga projekti i UNDP-së SAEK II, të cilët kanë rekomanduar ndryshime në pjesën materiale, procedurale, strukturore – organizative. Drafti i këtij koncept dokumenti është analizuar në një varg punëtorish ku përveç Ministrisë së Drejtësisë e Agjencisë kundër Korrupsionit</w:t>
      </w:r>
      <w:r w:rsidR="00FC508E" w:rsidRPr="00BE7BF2">
        <w:rPr>
          <w:rFonts w:asciiTheme="minorHAnsi" w:hAnsiTheme="minorHAnsi"/>
          <w:lang w:val="sq-AL"/>
        </w:rPr>
        <w:t xml:space="preserve">. </w:t>
      </w:r>
    </w:p>
    <w:p w:rsidR="00055165" w:rsidRPr="00BE7BF2" w:rsidRDefault="00055165" w:rsidP="00F745CD">
      <w:pPr>
        <w:pStyle w:val="Default"/>
        <w:jc w:val="both"/>
        <w:rPr>
          <w:rFonts w:asciiTheme="minorHAnsi" w:eastAsiaTheme="minorEastAsia" w:hAnsiTheme="minorHAnsi"/>
          <w:lang w:val="sq-AL"/>
        </w:rPr>
      </w:pPr>
      <w:r w:rsidRPr="00BE7BF2">
        <w:rPr>
          <w:rFonts w:asciiTheme="minorHAnsi" w:hAnsiTheme="minorHAnsi"/>
          <w:lang w:val="sq-AL"/>
        </w:rPr>
        <w:t>Finalizimi</w:t>
      </w:r>
      <w:r w:rsidR="00C63D1C" w:rsidRPr="00BE7BF2">
        <w:rPr>
          <w:rFonts w:asciiTheme="minorHAnsi" w:hAnsiTheme="minorHAnsi"/>
          <w:lang w:val="sq-AL"/>
        </w:rPr>
        <w:t xml:space="preserve"> i </w:t>
      </w:r>
      <w:r w:rsidR="00F745CD" w:rsidRPr="00BE7BF2">
        <w:rPr>
          <w:rFonts w:asciiTheme="minorHAnsi" w:hAnsiTheme="minorHAnsi"/>
          <w:lang w:val="sq-AL"/>
        </w:rPr>
        <w:t>draft</w:t>
      </w:r>
      <w:r w:rsidR="00FC508E" w:rsidRPr="00BE7BF2">
        <w:rPr>
          <w:rFonts w:asciiTheme="minorHAnsi" w:hAnsiTheme="minorHAnsi"/>
          <w:lang w:val="sq-AL"/>
        </w:rPr>
        <w:t>it t</w:t>
      </w:r>
      <w:r w:rsidR="00FC508E" w:rsidRPr="00BE7BF2">
        <w:rPr>
          <w:rFonts w:ascii="Book Antiqua" w:hAnsi="Book Antiqua"/>
          <w:lang w:val="sq-AL"/>
        </w:rPr>
        <w:t>ë këtij</w:t>
      </w:r>
      <w:r w:rsidR="00F745CD" w:rsidRPr="00BE7BF2">
        <w:rPr>
          <w:rFonts w:asciiTheme="minorHAnsi" w:hAnsiTheme="minorHAnsi"/>
          <w:lang w:val="sq-AL"/>
        </w:rPr>
        <w:t xml:space="preserve"> Ko</w:t>
      </w:r>
      <w:r w:rsidR="00FC508E" w:rsidRPr="00BE7BF2">
        <w:rPr>
          <w:rFonts w:asciiTheme="minorHAnsi" w:hAnsiTheme="minorHAnsi"/>
          <w:lang w:val="sq-AL"/>
        </w:rPr>
        <w:t>ncept Dokumenti</w:t>
      </w:r>
      <w:r w:rsidR="00B50D47" w:rsidRPr="00BE7BF2">
        <w:rPr>
          <w:rFonts w:asciiTheme="minorHAnsi" w:hAnsiTheme="minorHAnsi"/>
          <w:lang w:val="sq-AL"/>
        </w:rPr>
        <w:t>,</w:t>
      </w:r>
      <w:r w:rsidRPr="00BE7BF2">
        <w:rPr>
          <w:rFonts w:asciiTheme="minorHAnsi" w:hAnsiTheme="minorHAnsi"/>
          <w:lang w:val="sq-AL"/>
        </w:rPr>
        <w:t xml:space="preserve"> është pasuar nga procesi</w:t>
      </w:r>
      <w:r w:rsidR="00C63D1C" w:rsidRPr="00BE7BF2">
        <w:rPr>
          <w:rFonts w:asciiTheme="minorHAnsi" w:hAnsiTheme="minorHAnsi"/>
          <w:lang w:val="sq-AL"/>
        </w:rPr>
        <w:t xml:space="preserve"> i </w:t>
      </w:r>
      <w:r w:rsidRPr="00BE7BF2">
        <w:rPr>
          <w:rFonts w:asciiTheme="minorHAnsi" w:hAnsiTheme="minorHAnsi"/>
          <w:lang w:val="sq-AL"/>
        </w:rPr>
        <w:t>konsultimit</w:t>
      </w:r>
      <w:r w:rsidR="00C63D1C" w:rsidRPr="00BE7BF2">
        <w:rPr>
          <w:rFonts w:asciiTheme="minorHAnsi" w:hAnsiTheme="minorHAnsi"/>
          <w:lang w:val="sq-AL"/>
        </w:rPr>
        <w:t xml:space="preserve"> i </w:t>
      </w:r>
      <w:r w:rsidRPr="00BE7BF2">
        <w:rPr>
          <w:rFonts w:asciiTheme="minorHAnsi" w:hAnsiTheme="minorHAnsi"/>
          <w:lang w:val="sq-AL"/>
        </w:rPr>
        <w:t>cili është bërë në formë elektronike</w:t>
      </w:r>
      <w:r w:rsidR="00B50D47" w:rsidRPr="00BE7BF2">
        <w:rPr>
          <w:rFonts w:asciiTheme="minorHAnsi" w:hAnsiTheme="minorHAnsi"/>
          <w:lang w:val="sq-AL"/>
        </w:rPr>
        <w:t>.</w:t>
      </w:r>
      <w:r w:rsidRPr="00BE7BF2">
        <w:rPr>
          <w:rFonts w:asciiTheme="minorHAnsi" w:hAnsiTheme="minorHAnsi"/>
          <w:lang w:val="sq-AL"/>
        </w:rPr>
        <w:t xml:space="preserve"> </w:t>
      </w:r>
      <w:r w:rsidR="00F3220B" w:rsidRPr="00BE7BF2">
        <w:rPr>
          <w:rFonts w:asciiTheme="minorHAnsi" w:hAnsiTheme="minorHAnsi"/>
          <w:lang w:val="sq-AL"/>
        </w:rPr>
        <w:t>P</w:t>
      </w:r>
      <w:r w:rsidRPr="00BE7BF2">
        <w:rPr>
          <w:rFonts w:asciiTheme="minorHAnsi" w:hAnsiTheme="minorHAnsi"/>
          <w:lang w:val="sq-AL"/>
        </w:rPr>
        <w:t>or mundësinë për të dhënë komente e ka</w:t>
      </w:r>
      <w:r w:rsidR="00F745CD" w:rsidRPr="00BE7BF2">
        <w:rPr>
          <w:rFonts w:asciiTheme="minorHAnsi" w:hAnsiTheme="minorHAnsi"/>
          <w:lang w:val="sq-AL"/>
        </w:rPr>
        <w:t>në pasur të gjithë qytetarët e Republikës së Kosovës dhe eksp</w:t>
      </w:r>
      <w:r w:rsidRPr="00BE7BF2">
        <w:rPr>
          <w:rFonts w:asciiTheme="minorHAnsi" w:hAnsiTheme="minorHAnsi"/>
          <w:lang w:val="sq-AL"/>
        </w:rPr>
        <w:t>ertë të ndryshëm</w:t>
      </w:r>
      <w:r w:rsidR="00F3220B" w:rsidRPr="00BE7BF2">
        <w:rPr>
          <w:rFonts w:asciiTheme="minorHAnsi" w:hAnsiTheme="minorHAnsi"/>
          <w:lang w:val="sq-AL"/>
        </w:rPr>
        <w:t xml:space="preserve"> përmes platformës elektronike</w:t>
      </w:r>
      <w:r w:rsidR="00BF0BD4" w:rsidRPr="00BE7BF2">
        <w:rPr>
          <w:rFonts w:asciiTheme="minorHAnsi" w:hAnsiTheme="minorHAnsi"/>
          <w:lang w:val="sq-AL"/>
        </w:rPr>
        <w:t xml:space="preserve"> te publikuar ne </w:t>
      </w:r>
      <w:proofErr w:type="spellStart"/>
      <w:r w:rsidR="00BF0BD4" w:rsidRPr="00BE7BF2">
        <w:rPr>
          <w:rFonts w:asciiTheme="minorHAnsi" w:hAnsiTheme="minorHAnsi"/>
          <w:lang w:val="sq-AL"/>
        </w:rPr>
        <w:t>web</w:t>
      </w:r>
      <w:proofErr w:type="spellEnd"/>
      <w:r w:rsidR="00BF0BD4" w:rsidRPr="00BE7BF2">
        <w:rPr>
          <w:rFonts w:asciiTheme="minorHAnsi" w:hAnsiTheme="minorHAnsi"/>
          <w:lang w:val="sq-AL"/>
        </w:rPr>
        <w:t xml:space="preserve"> faqen e </w:t>
      </w:r>
      <w:proofErr w:type="spellStart"/>
      <w:r w:rsidR="00BF0BD4" w:rsidRPr="00BE7BF2">
        <w:rPr>
          <w:rFonts w:asciiTheme="minorHAnsi" w:hAnsiTheme="minorHAnsi"/>
          <w:lang w:val="sq-AL"/>
        </w:rPr>
        <w:t>Zyres</w:t>
      </w:r>
      <w:proofErr w:type="spellEnd"/>
      <w:r w:rsidR="00BF0BD4" w:rsidRPr="00BE7BF2">
        <w:rPr>
          <w:rFonts w:asciiTheme="minorHAnsi" w:hAnsiTheme="minorHAnsi"/>
          <w:lang w:val="sq-AL"/>
        </w:rPr>
        <w:t xml:space="preserve"> </w:t>
      </w:r>
      <w:r w:rsidR="00A6097A" w:rsidRPr="00BE7BF2">
        <w:rPr>
          <w:rFonts w:asciiTheme="minorHAnsi" w:hAnsiTheme="minorHAnsi"/>
          <w:lang w:val="sq-AL"/>
        </w:rPr>
        <w:t>së</w:t>
      </w:r>
      <w:r w:rsidR="00BF0BD4" w:rsidRPr="00BE7BF2">
        <w:rPr>
          <w:rFonts w:asciiTheme="minorHAnsi" w:hAnsiTheme="minorHAnsi"/>
          <w:lang w:val="sq-AL"/>
        </w:rPr>
        <w:t xml:space="preserve"> Kryeministrit</w:t>
      </w:r>
      <w:r w:rsidRPr="00BE7BF2">
        <w:rPr>
          <w:rFonts w:asciiTheme="minorHAnsi" w:hAnsiTheme="minorHAnsi"/>
          <w:lang w:val="sq-AL"/>
        </w:rPr>
        <w:t xml:space="preserve">. </w:t>
      </w:r>
      <w:r w:rsidR="00FA188C" w:rsidRPr="00BE7BF2">
        <w:rPr>
          <w:rFonts w:asciiTheme="minorHAnsi" w:hAnsiTheme="minorHAnsi"/>
          <w:lang w:val="sq-AL"/>
        </w:rPr>
        <w:t>Konsultimi i</w:t>
      </w:r>
      <w:r w:rsidR="00F3220B" w:rsidRPr="00BE7BF2">
        <w:rPr>
          <w:rFonts w:asciiTheme="minorHAnsi" w:hAnsiTheme="minorHAnsi"/>
          <w:lang w:val="sq-AL"/>
        </w:rPr>
        <w:t xml:space="preserve"> </w:t>
      </w:r>
      <w:r w:rsidR="009E21D4" w:rsidRPr="00BE7BF2">
        <w:rPr>
          <w:rFonts w:asciiTheme="minorHAnsi" w:hAnsiTheme="minorHAnsi"/>
          <w:lang w:val="sq-AL"/>
        </w:rPr>
        <w:t>këtij</w:t>
      </w:r>
      <w:r w:rsidR="00F745CD" w:rsidRPr="00BE7BF2">
        <w:rPr>
          <w:rFonts w:asciiTheme="minorHAnsi" w:hAnsiTheme="minorHAnsi"/>
          <w:lang w:val="sq-AL"/>
        </w:rPr>
        <w:t xml:space="preserve"> draft Koncept Dokumentit </w:t>
      </w:r>
      <w:r w:rsidR="00711CF2" w:rsidRPr="00BE7BF2">
        <w:rPr>
          <w:rFonts w:asciiTheme="minorHAnsi" w:hAnsiTheme="minorHAnsi"/>
          <w:lang w:val="sq-AL"/>
        </w:rPr>
        <w:t>ë</w:t>
      </w:r>
      <w:r w:rsidR="00F745CD" w:rsidRPr="00BE7BF2">
        <w:rPr>
          <w:rFonts w:asciiTheme="minorHAnsi" w:hAnsiTheme="minorHAnsi"/>
          <w:lang w:val="sq-AL"/>
        </w:rPr>
        <w:t>sht</w:t>
      </w:r>
      <w:r w:rsidR="00711CF2" w:rsidRPr="00BE7BF2">
        <w:rPr>
          <w:rFonts w:asciiTheme="minorHAnsi" w:hAnsiTheme="minorHAnsi"/>
          <w:lang w:val="sq-AL"/>
        </w:rPr>
        <w:t>ë</w:t>
      </w:r>
      <w:r w:rsidR="00F745CD" w:rsidRPr="00BE7BF2">
        <w:rPr>
          <w:rFonts w:asciiTheme="minorHAnsi" w:hAnsiTheme="minorHAnsi"/>
          <w:lang w:val="sq-AL"/>
        </w:rPr>
        <w:t xml:space="preserve"> b</w:t>
      </w:r>
      <w:r w:rsidR="00711CF2" w:rsidRPr="00BE7BF2">
        <w:rPr>
          <w:rFonts w:asciiTheme="minorHAnsi" w:hAnsiTheme="minorHAnsi"/>
          <w:lang w:val="sq-AL"/>
        </w:rPr>
        <w:t>ë</w:t>
      </w:r>
      <w:r w:rsidR="00F745CD" w:rsidRPr="00BE7BF2">
        <w:rPr>
          <w:rFonts w:asciiTheme="minorHAnsi" w:hAnsiTheme="minorHAnsi"/>
          <w:lang w:val="sq-AL"/>
        </w:rPr>
        <w:t>r</w:t>
      </w:r>
      <w:r w:rsidR="00711CF2" w:rsidRPr="00BE7BF2">
        <w:rPr>
          <w:rFonts w:asciiTheme="minorHAnsi" w:hAnsiTheme="minorHAnsi"/>
          <w:lang w:val="sq-AL"/>
        </w:rPr>
        <w:t>ë</w:t>
      </w:r>
      <w:r w:rsidR="00F745CD" w:rsidRPr="00BE7BF2">
        <w:rPr>
          <w:rFonts w:asciiTheme="minorHAnsi" w:hAnsiTheme="minorHAnsi"/>
          <w:lang w:val="sq-AL"/>
        </w:rPr>
        <w:t xml:space="preserve"> ne pajtim t</w:t>
      </w:r>
      <w:r w:rsidR="00711CF2" w:rsidRPr="00BE7BF2">
        <w:rPr>
          <w:rFonts w:asciiTheme="minorHAnsi" w:hAnsiTheme="minorHAnsi"/>
          <w:lang w:val="sq-AL"/>
        </w:rPr>
        <w:t>ë</w:t>
      </w:r>
      <w:r w:rsidR="00F745CD" w:rsidRPr="00BE7BF2">
        <w:rPr>
          <w:rFonts w:asciiTheme="minorHAnsi" w:hAnsiTheme="minorHAnsi"/>
          <w:lang w:val="sq-AL"/>
        </w:rPr>
        <w:t xml:space="preserve"> plot</w:t>
      </w:r>
      <w:r w:rsidR="00711CF2" w:rsidRPr="00BE7BF2">
        <w:rPr>
          <w:rFonts w:asciiTheme="minorHAnsi" w:hAnsiTheme="minorHAnsi"/>
          <w:lang w:val="sq-AL"/>
        </w:rPr>
        <w:t>ë</w:t>
      </w:r>
      <w:r w:rsidR="00F745CD" w:rsidRPr="00BE7BF2">
        <w:rPr>
          <w:rFonts w:asciiTheme="minorHAnsi" w:hAnsiTheme="minorHAnsi"/>
          <w:lang w:val="sq-AL"/>
        </w:rPr>
        <w:t xml:space="preserve"> me </w:t>
      </w:r>
      <w:r w:rsidR="00F745CD" w:rsidRPr="00BE7BF2">
        <w:rPr>
          <w:rFonts w:asciiTheme="minorHAnsi" w:eastAsiaTheme="minorEastAsia" w:hAnsiTheme="minorHAnsi"/>
          <w:lang w:val="sq-AL"/>
        </w:rPr>
        <w:t xml:space="preserve">Rregulloren Nr.05/2016 për standardet minimale për procesin e konsultimit publik. </w:t>
      </w:r>
    </w:p>
    <w:p w:rsidR="00055165" w:rsidRPr="00BE7BF2" w:rsidRDefault="00055165" w:rsidP="00353331">
      <w:pPr>
        <w:jc w:val="both"/>
        <w:rPr>
          <w:i/>
          <w:lang w:val="sq-AL"/>
        </w:rPr>
      </w:pPr>
    </w:p>
    <w:p w:rsidR="00353331" w:rsidRPr="00BE7BF2" w:rsidRDefault="00353331" w:rsidP="00353331">
      <w:pPr>
        <w:jc w:val="both"/>
        <w:rPr>
          <w:i/>
          <w:lang w:val="sq-AL"/>
        </w:rPr>
      </w:pPr>
    </w:p>
    <w:p w:rsidR="00353331" w:rsidRPr="00BE7BF2" w:rsidRDefault="00353331" w:rsidP="00353331">
      <w:pPr>
        <w:jc w:val="both"/>
        <w:rPr>
          <w:i/>
          <w:lang w:val="sq-AL"/>
        </w:rPr>
      </w:pPr>
    </w:p>
    <w:p w:rsidR="00353331" w:rsidRPr="00BE7BF2" w:rsidRDefault="00353331" w:rsidP="00353331">
      <w:pPr>
        <w:jc w:val="center"/>
        <w:rPr>
          <w:b/>
          <w:lang w:val="sq-AL"/>
        </w:rPr>
      </w:pPr>
      <w:r w:rsidRPr="00BE7BF2">
        <w:rPr>
          <w:b/>
          <w:lang w:val="sq-AL"/>
        </w:rPr>
        <w:t>Ecuria procesit të konsultimit</w:t>
      </w:r>
    </w:p>
    <w:p w:rsidR="00353331" w:rsidRPr="00BE7BF2" w:rsidRDefault="00353331" w:rsidP="00353331">
      <w:pPr>
        <w:jc w:val="center"/>
        <w:rPr>
          <w:b/>
          <w:lang w:val="sq-AL"/>
        </w:rPr>
      </w:pPr>
    </w:p>
    <w:p w:rsidR="00513795" w:rsidRPr="00BE7BF2" w:rsidRDefault="00513795" w:rsidP="00353331">
      <w:pPr>
        <w:jc w:val="both"/>
        <w:rPr>
          <w:lang w:val="sq-AL"/>
        </w:rPr>
      </w:pPr>
      <w:r w:rsidRPr="00BE7BF2">
        <w:rPr>
          <w:lang w:val="sq-AL"/>
        </w:rPr>
        <w:t xml:space="preserve">Koncept dokumenti </w:t>
      </w:r>
      <w:proofErr w:type="spellStart"/>
      <w:r w:rsidR="00C31557" w:rsidRPr="00BE7BF2">
        <w:rPr>
          <w:lang w:val="sq-AL"/>
        </w:rPr>
        <w:t>pёr</w:t>
      </w:r>
      <w:proofErr w:type="spellEnd"/>
      <w:r w:rsidR="00C31557" w:rsidRPr="00BE7BF2">
        <w:rPr>
          <w:lang w:val="sq-AL"/>
        </w:rPr>
        <w:t xml:space="preserve"> fushën e Agjencisë Kundër Korrupsionit dhe për Deklarimin dhe Prejardhjen e Pasurisë</w:t>
      </w:r>
      <w:r w:rsidRPr="00BE7BF2">
        <w:rPr>
          <w:lang w:val="sq-AL"/>
        </w:rPr>
        <w:t xml:space="preserve"> </w:t>
      </w:r>
      <w:r w:rsidR="00055165" w:rsidRPr="00BE7BF2">
        <w:rPr>
          <w:lang w:val="sq-AL"/>
        </w:rPr>
        <w:t>ë</w:t>
      </w:r>
      <w:r w:rsidRPr="00BE7BF2">
        <w:rPr>
          <w:lang w:val="sq-AL"/>
        </w:rPr>
        <w:t>sht</w:t>
      </w:r>
      <w:r w:rsidR="00055165" w:rsidRPr="00BE7BF2">
        <w:rPr>
          <w:lang w:val="sq-AL"/>
        </w:rPr>
        <w:t>ë</w:t>
      </w:r>
      <w:r w:rsidRPr="00BE7BF2">
        <w:rPr>
          <w:lang w:val="sq-AL"/>
        </w:rPr>
        <w:t xml:space="preserve"> publikuar p</w:t>
      </w:r>
      <w:r w:rsidR="00055165" w:rsidRPr="00BE7BF2">
        <w:rPr>
          <w:lang w:val="sq-AL"/>
        </w:rPr>
        <w:t>ë</w:t>
      </w:r>
      <w:r w:rsidRPr="00BE7BF2">
        <w:rPr>
          <w:lang w:val="sq-AL"/>
        </w:rPr>
        <w:t>r konsultim me publikun n</w:t>
      </w:r>
      <w:r w:rsidR="00055165" w:rsidRPr="00BE7BF2">
        <w:rPr>
          <w:lang w:val="sq-AL"/>
        </w:rPr>
        <w:t>ë</w:t>
      </w:r>
      <w:r w:rsidRPr="00BE7BF2">
        <w:rPr>
          <w:lang w:val="sq-AL"/>
        </w:rPr>
        <w:t xml:space="preserve"> platform</w:t>
      </w:r>
      <w:r w:rsidR="00055165" w:rsidRPr="00BE7BF2">
        <w:rPr>
          <w:lang w:val="sq-AL"/>
        </w:rPr>
        <w:t>ë</w:t>
      </w:r>
      <w:r w:rsidRPr="00BE7BF2">
        <w:rPr>
          <w:lang w:val="sq-AL"/>
        </w:rPr>
        <w:t>n elektronike p</w:t>
      </w:r>
      <w:r w:rsidR="00055165" w:rsidRPr="00BE7BF2">
        <w:rPr>
          <w:lang w:val="sq-AL"/>
        </w:rPr>
        <w:t>ë</w:t>
      </w:r>
      <w:r w:rsidR="00F745CD" w:rsidRPr="00BE7BF2">
        <w:rPr>
          <w:lang w:val="sq-AL"/>
        </w:rPr>
        <w:t xml:space="preserve">r konsultimet me </w:t>
      </w:r>
      <w:r w:rsidRPr="00BE7BF2">
        <w:rPr>
          <w:lang w:val="sq-AL"/>
        </w:rPr>
        <w:t>dat</w:t>
      </w:r>
      <w:r w:rsidR="00055165" w:rsidRPr="00BE7BF2">
        <w:rPr>
          <w:lang w:val="sq-AL"/>
        </w:rPr>
        <w:t>ë</w:t>
      </w:r>
      <w:r w:rsidR="00C31557" w:rsidRPr="00BE7BF2">
        <w:rPr>
          <w:lang w:val="sq-AL"/>
        </w:rPr>
        <w:t xml:space="preserve"> 06</w:t>
      </w:r>
      <w:r w:rsidR="004B1A86" w:rsidRPr="00BE7BF2">
        <w:rPr>
          <w:lang w:val="sq-AL"/>
        </w:rPr>
        <w:t>/10/</w:t>
      </w:r>
      <w:r w:rsidR="00F745CD" w:rsidRPr="00BE7BF2">
        <w:rPr>
          <w:lang w:val="sq-AL"/>
        </w:rPr>
        <w:t>2017</w:t>
      </w:r>
      <w:r w:rsidRPr="00BE7BF2">
        <w:rPr>
          <w:lang w:val="sq-AL"/>
        </w:rPr>
        <w:t xml:space="preserve"> dhe ka qen</w:t>
      </w:r>
      <w:r w:rsidR="00055165" w:rsidRPr="00BE7BF2">
        <w:rPr>
          <w:lang w:val="sq-AL"/>
        </w:rPr>
        <w:t>ë</w:t>
      </w:r>
      <w:r w:rsidRPr="00BE7BF2">
        <w:rPr>
          <w:lang w:val="sq-AL"/>
        </w:rPr>
        <w:t xml:space="preserve"> e hapur p</w:t>
      </w:r>
      <w:r w:rsidR="00055165" w:rsidRPr="00BE7BF2">
        <w:rPr>
          <w:lang w:val="sq-AL"/>
        </w:rPr>
        <w:t>ë</w:t>
      </w:r>
      <w:r w:rsidRPr="00BE7BF2">
        <w:rPr>
          <w:lang w:val="sq-AL"/>
        </w:rPr>
        <w:t>r komente deri me dat</w:t>
      </w:r>
      <w:r w:rsidR="00055165" w:rsidRPr="00BE7BF2">
        <w:rPr>
          <w:lang w:val="sq-AL"/>
        </w:rPr>
        <w:t>ë</w:t>
      </w:r>
      <w:r w:rsidR="00C23324" w:rsidRPr="00BE7BF2">
        <w:rPr>
          <w:lang w:val="sq-AL"/>
        </w:rPr>
        <w:t>n</w:t>
      </w:r>
      <w:r w:rsidR="00C31557" w:rsidRPr="00BE7BF2">
        <w:rPr>
          <w:lang w:val="sq-AL"/>
        </w:rPr>
        <w:t xml:space="preserve"> 26/10</w:t>
      </w:r>
      <w:r w:rsidR="000775D2" w:rsidRPr="00BE7BF2">
        <w:rPr>
          <w:lang w:val="sq-AL"/>
        </w:rPr>
        <w:t>/</w:t>
      </w:r>
      <w:r w:rsidR="00F745CD" w:rsidRPr="00BE7BF2">
        <w:rPr>
          <w:lang w:val="sq-AL"/>
        </w:rPr>
        <w:t xml:space="preserve">2017. </w:t>
      </w:r>
      <w:r w:rsidR="000775D2" w:rsidRPr="00BE7BF2">
        <w:rPr>
          <w:lang w:val="sq-AL"/>
        </w:rPr>
        <w:t xml:space="preserve"> </w:t>
      </w:r>
      <w:r w:rsidR="00F745CD" w:rsidRPr="00BE7BF2">
        <w:rPr>
          <w:lang w:val="sq-AL"/>
        </w:rPr>
        <w:t xml:space="preserve">Sipas </w:t>
      </w:r>
      <w:r w:rsidR="00995424" w:rsidRPr="00BE7BF2">
        <w:rPr>
          <w:lang w:val="sq-AL"/>
        </w:rPr>
        <w:t>Rregullores</w:t>
      </w:r>
      <w:r w:rsidR="000002E6" w:rsidRPr="00BE7BF2">
        <w:rPr>
          <w:lang w:val="sq-AL"/>
        </w:rPr>
        <w:t xml:space="preserve"> p</w:t>
      </w:r>
      <w:r w:rsidR="00711CF2" w:rsidRPr="00BE7BF2">
        <w:rPr>
          <w:lang w:val="sq-AL"/>
        </w:rPr>
        <w:t>ë</w:t>
      </w:r>
      <w:r w:rsidR="000002E6" w:rsidRPr="00BE7BF2">
        <w:rPr>
          <w:lang w:val="sq-AL"/>
        </w:rPr>
        <w:t>r standardet minimale t</w:t>
      </w:r>
      <w:r w:rsidR="00711CF2" w:rsidRPr="00BE7BF2">
        <w:rPr>
          <w:lang w:val="sq-AL"/>
        </w:rPr>
        <w:t>ë</w:t>
      </w:r>
      <w:r w:rsidR="000002E6" w:rsidRPr="00BE7BF2">
        <w:rPr>
          <w:lang w:val="sq-AL"/>
        </w:rPr>
        <w:t xml:space="preserve"> konsultimit publik</w:t>
      </w:r>
      <w:r w:rsidR="00F3220B" w:rsidRPr="00BE7BF2">
        <w:rPr>
          <w:lang w:val="sq-AL"/>
        </w:rPr>
        <w:t>,</w:t>
      </w:r>
      <w:r w:rsidRPr="00BE7BF2">
        <w:rPr>
          <w:lang w:val="sq-AL"/>
        </w:rPr>
        <w:t xml:space="preserve"> Draft Koncept dokumenti</w:t>
      </w:r>
      <w:r w:rsidR="00105401" w:rsidRPr="00BE7BF2">
        <w:rPr>
          <w:lang w:val="sq-AL"/>
        </w:rPr>
        <w:t xml:space="preserve"> në fjalë</w:t>
      </w:r>
      <w:r w:rsidRPr="00BE7BF2">
        <w:rPr>
          <w:lang w:val="sq-AL"/>
        </w:rPr>
        <w:t xml:space="preserve"> </w:t>
      </w:r>
      <w:r w:rsidR="00711CF2" w:rsidRPr="00BE7BF2">
        <w:rPr>
          <w:lang w:val="sq-AL"/>
        </w:rPr>
        <w:t>ë</w:t>
      </w:r>
      <w:r w:rsidR="000002E6" w:rsidRPr="00BE7BF2">
        <w:rPr>
          <w:lang w:val="sq-AL"/>
        </w:rPr>
        <w:t>sh</w:t>
      </w:r>
      <w:r w:rsidR="00F3220B" w:rsidRPr="00BE7BF2">
        <w:rPr>
          <w:lang w:val="sq-AL"/>
        </w:rPr>
        <w:t>t</w:t>
      </w:r>
      <w:r w:rsidR="00711CF2" w:rsidRPr="00BE7BF2">
        <w:rPr>
          <w:lang w:val="sq-AL"/>
        </w:rPr>
        <w:t>ë</w:t>
      </w:r>
      <w:r w:rsidR="000002E6" w:rsidRPr="00BE7BF2">
        <w:rPr>
          <w:lang w:val="sq-AL"/>
        </w:rPr>
        <w:t xml:space="preserve"> publikuar s</w:t>
      </w:r>
      <w:r w:rsidR="00055165" w:rsidRPr="00BE7BF2">
        <w:rPr>
          <w:lang w:val="sq-AL"/>
        </w:rPr>
        <w:t>ë</w:t>
      </w:r>
      <w:r w:rsidRPr="00BE7BF2">
        <w:rPr>
          <w:lang w:val="sq-AL"/>
        </w:rPr>
        <w:t xml:space="preserve"> bashku me Dokumentin e Konsultimit</w:t>
      </w:r>
      <w:r w:rsidR="000002E6" w:rsidRPr="00BE7BF2">
        <w:rPr>
          <w:lang w:val="sq-AL"/>
        </w:rPr>
        <w:t xml:space="preserve"> p</w:t>
      </w:r>
      <w:r w:rsidR="00711CF2" w:rsidRPr="00BE7BF2">
        <w:rPr>
          <w:lang w:val="sq-AL"/>
        </w:rPr>
        <w:t>ë</w:t>
      </w:r>
      <w:r w:rsidR="000002E6" w:rsidRPr="00BE7BF2">
        <w:rPr>
          <w:lang w:val="sq-AL"/>
        </w:rPr>
        <w:t>r Koncept dokumentin</w:t>
      </w:r>
      <w:r w:rsidR="00C63D1C" w:rsidRPr="00BE7BF2">
        <w:rPr>
          <w:lang w:val="sq-AL"/>
        </w:rPr>
        <w:t xml:space="preserve"> i </w:t>
      </w:r>
      <w:r w:rsidRPr="00BE7BF2">
        <w:rPr>
          <w:lang w:val="sq-AL"/>
        </w:rPr>
        <w:t>cili n</w:t>
      </w:r>
      <w:r w:rsidR="00055165" w:rsidRPr="00BE7BF2">
        <w:rPr>
          <w:lang w:val="sq-AL"/>
        </w:rPr>
        <w:t>ë</w:t>
      </w:r>
      <w:r w:rsidRPr="00BE7BF2">
        <w:rPr>
          <w:lang w:val="sq-AL"/>
        </w:rPr>
        <w:t xml:space="preserve"> form</w:t>
      </w:r>
      <w:r w:rsidR="00055165" w:rsidRPr="00BE7BF2">
        <w:rPr>
          <w:lang w:val="sq-AL"/>
        </w:rPr>
        <w:t>ë</w:t>
      </w:r>
      <w:r w:rsidRPr="00BE7BF2">
        <w:rPr>
          <w:lang w:val="sq-AL"/>
        </w:rPr>
        <w:t xml:space="preserve"> t</w:t>
      </w:r>
      <w:r w:rsidR="00055165" w:rsidRPr="00BE7BF2">
        <w:rPr>
          <w:lang w:val="sq-AL"/>
        </w:rPr>
        <w:t>ë</w:t>
      </w:r>
      <w:r w:rsidRPr="00BE7BF2">
        <w:rPr>
          <w:lang w:val="sq-AL"/>
        </w:rPr>
        <w:t xml:space="preserve"> shkurt</w:t>
      </w:r>
      <w:r w:rsidR="00055165" w:rsidRPr="00BE7BF2">
        <w:rPr>
          <w:lang w:val="sq-AL"/>
        </w:rPr>
        <w:t>ë</w:t>
      </w:r>
      <w:r w:rsidRPr="00BE7BF2">
        <w:rPr>
          <w:lang w:val="sq-AL"/>
        </w:rPr>
        <w:t>r ka paraqitur informatat e p</w:t>
      </w:r>
      <w:r w:rsidR="00055165" w:rsidRPr="00BE7BF2">
        <w:rPr>
          <w:lang w:val="sq-AL"/>
        </w:rPr>
        <w:t>ë</w:t>
      </w:r>
      <w:r w:rsidR="000002E6" w:rsidRPr="00BE7BF2">
        <w:rPr>
          <w:lang w:val="sq-AL"/>
        </w:rPr>
        <w:t>r</w:t>
      </w:r>
      <w:r w:rsidRPr="00BE7BF2">
        <w:rPr>
          <w:lang w:val="sq-AL"/>
        </w:rPr>
        <w:t>mbledhura p</w:t>
      </w:r>
      <w:r w:rsidR="00055165" w:rsidRPr="00BE7BF2">
        <w:rPr>
          <w:lang w:val="sq-AL"/>
        </w:rPr>
        <w:t>ë</w:t>
      </w:r>
      <w:r w:rsidRPr="00BE7BF2">
        <w:rPr>
          <w:lang w:val="sq-AL"/>
        </w:rPr>
        <w:t>r Koncept dokumentin, q</w:t>
      </w:r>
      <w:r w:rsidR="00055165" w:rsidRPr="00BE7BF2">
        <w:rPr>
          <w:lang w:val="sq-AL"/>
        </w:rPr>
        <w:t>ë</w:t>
      </w:r>
      <w:r w:rsidRPr="00BE7BF2">
        <w:rPr>
          <w:lang w:val="sq-AL"/>
        </w:rPr>
        <w:t>llimet, objektivat</w:t>
      </w:r>
      <w:r w:rsidR="000002E6" w:rsidRPr="00BE7BF2">
        <w:rPr>
          <w:lang w:val="sq-AL"/>
        </w:rPr>
        <w:t>,</w:t>
      </w:r>
      <w:r w:rsidRPr="00BE7BF2">
        <w:rPr>
          <w:lang w:val="sq-AL"/>
        </w:rPr>
        <w:t xml:space="preserve"> </w:t>
      </w:r>
      <w:r w:rsidR="007C4683" w:rsidRPr="00BE7BF2">
        <w:rPr>
          <w:lang w:val="sq-AL"/>
        </w:rPr>
        <w:t>opsionet</w:t>
      </w:r>
      <w:r w:rsidRPr="00BE7BF2">
        <w:rPr>
          <w:lang w:val="sq-AL"/>
        </w:rPr>
        <w:t xml:space="preserve"> dhe hap</w:t>
      </w:r>
      <w:r w:rsidR="00055165" w:rsidRPr="00BE7BF2">
        <w:rPr>
          <w:lang w:val="sq-AL"/>
        </w:rPr>
        <w:t>ë</w:t>
      </w:r>
      <w:r w:rsidRPr="00BE7BF2">
        <w:rPr>
          <w:lang w:val="sq-AL"/>
        </w:rPr>
        <w:t>sir</w:t>
      </w:r>
      <w:r w:rsidR="00055165" w:rsidRPr="00BE7BF2">
        <w:rPr>
          <w:lang w:val="sq-AL"/>
        </w:rPr>
        <w:t>ë</w:t>
      </w:r>
      <w:r w:rsidRPr="00BE7BF2">
        <w:rPr>
          <w:lang w:val="sq-AL"/>
        </w:rPr>
        <w:t>n p</w:t>
      </w:r>
      <w:r w:rsidR="00055165" w:rsidRPr="00BE7BF2">
        <w:rPr>
          <w:lang w:val="sq-AL"/>
        </w:rPr>
        <w:t>ë</w:t>
      </w:r>
      <w:r w:rsidRPr="00BE7BF2">
        <w:rPr>
          <w:lang w:val="sq-AL"/>
        </w:rPr>
        <w:t>r kons</w:t>
      </w:r>
      <w:r w:rsidR="007E5ADE" w:rsidRPr="00BE7BF2">
        <w:rPr>
          <w:lang w:val="sq-AL"/>
        </w:rPr>
        <w:t>ultim, informatat p</w:t>
      </w:r>
      <w:r w:rsidR="00055165" w:rsidRPr="00BE7BF2">
        <w:rPr>
          <w:lang w:val="sq-AL"/>
        </w:rPr>
        <w:t>ë</w:t>
      </w:r>
      <w:r w:rsidR="007E5ADE" w:rsidRPr="00BE7BF2">
        <w:rPr>
          <w:lang w:val="sq-AL"/>
        </w:rPr>
        <w:t>r hapat pas p</w:t>
      </w:r>
      <w:r w:rsidR="00055165" w:rsidRPr="00BE7BF2">
        <w:rPr>
          <w:lang w:val="sq-AL"/>
        </w:rPr>
        <w:t>ë</w:t>
      </w:r>
      <w:r w:rsidR="007E5ADE" w:rsidRPr="00BE7BF2">
        <w:rPr>
          <w:lang w:val="sq-AL"/>
        </w:rPr>
        <w:t>rfundimit t</w:t>
      </w:r>
      <w:r w:rsidR="00055165" w:rsidRPr="00BE7BF2">
        <w:rPr>
          <w:lang w:val="sq-AL"/>
        </w:rPr>
        <w:t>ë</w:t>
      </w:r>
      <w:r w:rsidR="007E5ADE" w:rsidRPr="00BE7BF2">
        <w:rPr>
          <w:lang w:val="sq-AL"/>
        </w:rPr>
        <w:t xml:space="preserve"> procesit t</w:t>
      </w:r>
      <w:r w:rsidR="00055165" w:rsidRPr="00BE7BF2">
        <w:rPr>
          <w:lang w:val="sq-AL"/>
        </w:rPr>
        <w:t>ë</w:t>
      </w:r>
      <w:r w:rsidR="007E5ADE" w:rsidRPr="00BE7BF2">
        <w:rPr>
          <w:lang w:val="sq-AL"/>
        </w:rPr>
        <w:t xml:space="preserve"> konsultimit etj. </w:t>
      </w:r>
    </w:p>
    <w:p w:rsidR="008A686E" w:rsidRPr="00BE7BF2" w:rsidRDefault="008A686E" w:rsidP="00353331">
      <w:pPr>
        <w:jc w:val="both"/>
        <w:rPr>
          <w:lang w:val="sq-AL"/>
        </w:rPr>
      </w:pPr>
    </w:p>
    <w:p w:rsidR="007E5ADE" w:rsidRPr="00BE7BF2" w:rsidRDefault="008A686E" w:rsidP="00353331">
      <w:pPr>
        <w:jc w:val="both"/>
        <w:rPr>
          <w:lang w:val="sq-AL"/>
        </w:rPr>
      </w:pPr>
      <w:r w:rsidRPr="00BE7BF2">
        <w:rPr>
          <w:lang w:val="sq-AL"/>
        </w:rPr>
        <w:t>Konsid</w:t>
      </w:r>
      <w:r w:rsidR="00477008" w:rsidRPr="00BE7BF2">
        <w:rPr>
          <w:lang w:val="sq-AL"/>
        </w:rPr>
        <w:t xml:space="preserve">erohet se </w:t>
      </w:r>
      <w:r w:rsidRPr="00BE7BF2">
        <w:rPr>
          <w:lang w:val="sq-AL"/>
        </w:rPr>
        <w:t xml:space="preserve">konsultimi </w:t>
      </w:r>
      <w:r w:rsidR="00477008" w:rsidRPr="00BE7BF2">
        <w:rPr>
          <w:lang w:val="sq-AL"/>
        </w:rPr>
        <w:t xml:space="preserve">paraprak dhe </w:t>
      </w:r>
      <w:r w:rsidRPr="00BE7BF2">
        <w:rPr>
          <w:lang w:val="sq-AL"/>
        </w:rPr>
        <w:t>p</w:t>
      </w:r>
      <w:r w:rsidR="00055165" w:rsidRPr="00BE7BF2">
        <w:rPr>
          <w:lang w:val="sq-AL"/>
        </w:rPr>
        <w:t>ë</w:t>
      </w:r>
      <w:r w:rsidRPr="00BE7BF2">
        <w:rPr>
          <w:lang w:val="sq-AL"/>
        </w:rPr>
        <w:t>rmes platform</w:t>
      </w:r>
      <w:r w:rsidR="00055165" w:rsidRPr="00BE7BF2">
        <w:rPr>
          <w:lang w:val="sq-AL"/>
        </w:rPr>
        <w:t>ë</w:t>
      </w:r>
      <w:r w:rsidRPr="00BE7BF2">
        <w:rPr>
          <w:lang w:val="sq-AL"/>
        </w:rPr>
        <w:t>s elektronike</w:t>
      </w:r>
      <w:r w:rsidR="007C4683" w:rsidRPr="00BE7BF2">
        <w:rPr>
          <w:lang w:val="sq-AL"/>
        </w:rPr>
        <w:t>,</w:t>
      </w:r>
      <w:r w:rsidRPr="00BE7BF2">
        <w:rPr>
          <w:lang w:val="sq-AL"/>
        </w:rPr>
        <w:t xml:space="preserve"> kan</w:t>
      </w:r>
      <w:r w:rsidR="00055165" w:rsidRPr="00BE7BF2">
        <w:rPr>
          <w:lang w:val="sq-AL"/>
        </w:rPr>
        <w:t>ë</w:t>
      </w:r>
      <w:r w:rsidRPr="00BE7BF2">
        <w:rPr>
          <w:lang w:val="sq-AL"/>
        </w:rPr>
        <w:t xml:space="preserve"> qen</w:t>
      </w:r>
      <w:r w:rsidR="00055165" w:rsidRPr="00BE7BF2">
        <w:rPr>
          <w:lang w:val="sq-AL"/>
        </w:rPr>
        <w:t>ë</w:t>
      </w:r>
      <w:r w:rsidRPr="00BE7BF2">
        <w:rPr>
          <w:lang w:val="sq-AL"/>
        </w:rPr>
        <w:t xml:space="preserve"> mjete </w:t>
      </w:r>
      <w:r w:rsidR="007C4683" w:rsidRPr="00BE7BF2">
        <w:rPr>
          <w:lang w:val="sq-AL"/>
        </w:rPr>
        <w:t>të</w:t>
      </w:r>
      <w:r w:rsidRPr="00BE7BF2">
        <w:rPr>
          <w:lang w:val="sq-AL"/>
        </w:rPr>
        <w:t xml:space="preserve"> mjaftueshme p</w:t>
      </w:r>
      <w:r w:rsidR="00055165" w:rsidRPr="00BE7BF2">
        <w:rPr>
          <w:lang w:val="sq-AL"/>
        </w:rPr>
        <w:t>ë</w:t>
      </w:r>
      <w:r w:rsidRPr="00BE7BF2">
        <w:rPr>
          <w:lang w:val="sq-AL"/>
        </w:rPr>
        <w:t>r t</w:t>
      </w:r>
      <w:r w:rsidR="00055165" w:rsidRPr="00BE7BF2">
        <w:rPr>
          <w:lang w:val="sq-AL"/>
        </w:rPr>
        <w:t>ë</w:t>
      </w:r>
      <w:r w:rsidRPr="00BE7BF2">
        <w:rPr>
          <w:lang w:val="sq-AL"/>
        </w:rPr>
        <w:t xml:space="preserve"> marr</w:t>
      </w:r>
      <w:r w:rsidR="00055165" w:rsidRPr="00BE7BF2">
        <w:rPr>
          <w:lang w:val="sq-AL"/>
        </w:rPr>
        <w:t>ë</w:t>
      </w:r>
      <w:r w:rsidRPr="00BE7BF2">
        <w:rPr>
          <w:lang w:val="sq-AL"/>
        </w:rPr>
        <w:t xml:space="preserve"> t</w:t>
      </w:r>
      <w:r w:rsidR="00055165" w:rsidRPr="00BE7BF2">
        <w:rPr>
          <w:lang w:val="sq-AL"/>
        </w:rPr>
        <w:t>ë</w:t>
      </w:r>
      <w:r w:rsidRPr="00BE7BF2">
        <w:rPr>
          <w:lang w:val="sq-AL"/>
        </w:rPr>
        <w:t xml:space="preserve"> gjitha kontributet nga ana e pal</w:t>
      </w:r>
      <w:r w:rsidR="00055165" w:rsidRPr="00BE7BF2">
        <w:rPr>
          <w:lang w:val="sq-AL"/>
        </w:rPr>
        <w:t>ë</w:t>
      </w:r>
      <w:r w:rsidRPr="00BE7BF2">
        <w:rPr>
          <w:lang w:val="sq-AL"/>
        </w:rPr>
        <w:t>ve t</w:t>
      </w:r>
      <w:r w:rsidR="00055165" w:rsidRPr="00BE7BF2">
        <w:rPr>
          <w:lang w:val="sq-AL"/>
        </w:rPr>
        <w:t>ë</w:t>
      </w:r>
      <w:r w:rsidRPr="00BE7BF2">
        <w:rPr>
          <w:lang w:val="sq-AL"/>
        </w:rPr>
        <w:t xml:space="preserve"> interesit, duke marr</w:t>
      </w:r>
      <w:r w:rsidR="00055165" w:rsidRPr="00BE7BF2">
        <w:rPr>
          <w:lang w:val="sq-AL"/>
        </w:rPr>
        <w:t>ë</w:t>
      </w:r>
      <w:r w:rsidRPr="00BE7BF2">
        <w:rPr>
          <w:lang w:val="sq-AL"/>
        </w:rPr>
        <w:t xml:space="preserve"> gjithashtu parasysh edhe natyr</w:t>
      </w:r>
      <w:r w:rsidR="00055165" w:rsidRPr="00BE7BF2">
        <w:rPr>
          <w:lang w:val="sq-AL"/>
        </w:rPr>
        <w:t>ë</w:t>
      </w:r>
      <w:r w:rsidRPr="00BE7BF2">
        <w:rPr>
          <w:lang w:val="sq-AL"/>
        </w:rPr>
        <w:t>n e tyr</w:t>
      </w:r>
      <w:r w:rsidR="007C4683" w:rsidRPr="00BE7BF2">
        <w:rPr>
          <w:lang w:val="sq-AL"/>
        </w:rPr>
        <w:t xml:space="preserve">e </w:t>
      </w:r>
      <w:r w:rsidRPr="00BE7BF2">
        <w:rPr>
          <w:lang w:val="sq-AL"/>
        </w:rPr>
        <w:t>dhe interesat q</w:t>
      </w:r>
      <w:r w:rsidR="00055165" w:rsidRPr="00BE7BF2">
        <w:rPr>
          <w:lang w:val="sq-AL"/>
        </w:rPr>
        <w:t>ë</w:t>
      </w:r>
      <w:r w:rsidRPr="00BE7BF2">
        <w:rPr>
          <w:lang w:val="sq-AL"/>
        </w:rPr>
        <w:t xml:space="preserve"> prek draft Koncept Dokumenti </w:t>
      </w:r>
      <w:proofErr w:type="spellStart"/>
      <w:r w:rsidR="00477008" w:rsidRPr="00BE7BF2">
        <w:rPr>
          <w:lang w:val="sq-AL"/>
        </w:rPr>
        <w:t>pёr</w:t>
      </w:r>
      <w:proofErr w:type="spellEnd"/>
      <w:r w:rsidR="00477008" w:rsidRPr="00BE7BF2">
        <w:rPr>
          <w:lang w:val="sq-AL"/>
        </w:rPr>
        <w:t xml:space="preserve"> fushën e Agjencisë Kundër Korrupsionit dhe për Deklarimin dhe Prejardhjen e Pasurisë.</w:t>
      </w:r>
    </w:p>
    <w:p w:rsidR="008A686E" w:rsidRPr="00BE7BF2" w:rsidRDefault="008A686E" w:rsidP="00353331">
      <w:pPr>
        <w:jc w:val="both"/>
        <w:rPr>
          <w:lang w:val="sq-AL"/>
        </w:rPr>
      </w:pPr>
    </w:p>
    <w:p w:rsidR="00353331" w:rsidRDefault="00353331" w:rsidP="00353331">
      <w:pPr>
        <w:jc w:val="both"/>
        <w:rPr>
          <w:i/>
          <w:lang w:val="sq-AL"/>
        </w:rPr>
      </w:pPr>
    </w:p>
    <w:p w:rsidR="008738FC" w:rsidRPr="00BE7BF2" w:rsidRDefault="008738FC" w:rsidP="00353331">
      <w:pPr>
        <w:jc w:val="both"/>
        <w:rPr>
          <w:i/>
          <w:lang w:val="sq-AL"/>
        </w:rPr>
      </w:pPr>
    </w:p>
    <w:tbl>
      <w:tblPr>
        <w:tblStyle w:val="GridTable1Light-Accent51"/>
        <w:tblW w:w="0" w:type="auto"/>
        <w:tblInd w:w="18" w:type="dxa"/>
        <w:tblLook w:val="04A0" w:firstRow="1" w:lastRow="0" w:firstColumn="1" w:lastColumn="0" w:noHBand="0" w:noVBand="1"/>
      </w:tblPr>
      <w:tblGrid>
        <w:gridCol w:w="3080"/>
        <w:gridCol w:w="2309"/>
        <w:gridCol w:w="3449"/>
      </w:tblGrid>
      <w:tr w:rsidR="00353331" w:rsidRPr="00BE7BF2" w:rsidTr="007A5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rsidR="00353331" w:rsidRPr="00BE7BF2" w:rsidRDefault="00353331" w:rsidP="007E5ADE">
            <w:pPr>
              <w:pStyle w:val="Default"/>
              <w:rPr>
                <w:rFonts w:asciiTheme="minorHAnsi" w:hAnsiTheme="minorHAnsi"/>
                <w:color w:val="auto"/>
                <w:lang w:val="sq-AL"/>
              </w:rPr>
            </w:pPr>
            <w:r w:rsidRPr="00BE7BF2">
              <w:rPr>
                <w:rFonts w:asciiTheme="minorHAnsi" w:hAnsiTheme="minorHAnsi"/>
                <w:color w:val="auto"/>
                <w:lang w:val="sq-AL"/>
              </w:rPr>
              <w:lastRenderedPageBreak/>
              <w:t>Metodat e Konsultimit</w:t>
            </w:r>
          </w:p>
        </w:tc>
        <w:tc>
          <w:tcPr>
            <w:tcW w:w="2346" w:type="dxa"/>
            <w:shd w:val="clear" w:color="auto" w:fill="F2DBDB" w:themeFill="accent2" w:themeFillTint="33"/>
          </w:tcPr>
          <w:p w:rsidR="00353331" w:rsidRPr="00BE7BF2"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sq-AL"/>
              </w:rPr>
            </w:pPr>
            <w:r w:rsidRPr="00BE7BF2">
              <w:rPr>
                <w:rFonts w:asciiTheme="minorHAnsi" w:hAnsiTheme="minorHAnsi"/>
                <w:color w:val="auto"/>
                <w:lang w:val="sq-AL"/>
              </w:rPr>
              <w:t>Datat/kohëzgjatja</w:t>
            </w:r>
          </w:p>
        </w:tc>
        <w:tc>
          <w:tcPr>
            <w:tcW w:w="2911" w:type="dxa"/>
            <w:shd w:val="clear" w:color="auto" w:fill="F2DBDB" w:themeFill="accent2" w:themeFillTint="33"/>
          </w:tcPr>
          <w:p w:rsidR="00353331" w:rsidRPr="00BE7BF2"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sq-AL"/>
              </w:rPr>
            </w:pPr>
            <w:r w:rsidRPr="00BE7BF2">
              <w:rPr>
                <w:rFonts w:asciiTheme="minorHAnsi" w:hAnsiTheme="minorHAnsi"/>
                <w:color w:val="auto"/>
                <w:lang w:val="sq-AL"/>
              </w:rPr>
              <w:t>Numri</w:t>
            </w:r>
            <w:r w:rsidR="00C63D1C" w:rsidRPr="00BE7BF2">
              <w:rPr>
                <w:rFonts w:asciiTheme="minorHAnsi" w:hAnsiTheme="minorHAnsi"/>
                <w:color w:val="auto"/>
                <w:lang w:val="sq-AL"/>
              </w:rPr>
              <w:t xml:space="preserve"> i </w:t>
            </w:r>
            <w:r w:rsidRPr="00BE7BF2">
              <w:rPr>
                <w:rFonts w:asciiTheme="minorHAnsi" w:hAnsiTheme="minorHAnsi"/>
                <w:color w:val="auto"/>
                <w:lang w:val="sq-AL"/>
              </w:rPr>
              <w:t>pjes</w:t>
            </w:r>
            <w:r w:rsidR="009713FA" w:rsidRPr="00BE7BF2">
              <w:rPr>
                <w:rFonts w:asciiTheme="minorHAnsi" w:hAnsiTheme="minorHAnsi"/>
                <w:color w:val="auto"/>
                <w:lang w:val="sq-AL"/>
              </w:rPr>
              <w:t>ë</w:t>
            </w:r>
            <w:r w:rsidRPr="00BE7BF2">
              <w:rPr>
                <w:rFonts w:asciiTheme="minorHAnsi" w:hAnsiTheme="minorHAnsi"/>
                <w:color w:val="auto"/>
                <w:lang w:val="sq-AL"/>
              </w:rPr>
              <w:t>marrësve/</w:t>
            </w:r>
            <w:proofErr w:type="spellStart"/>
            <w:r w:rsidRPr="00BE7BF2">
              <w:rPr>
                <w:rFonts w:asciiTheme="minorHAnsi" w:hAnsiTheme="minorHAnsi"/>
                <w:color w:val="auto"/>
                <w:lang w:val="sq-AL"/>
              </w:rPr>
              <w:t>kontribuesve</w:t>
            </w:r>
            <w:proofErr w:type="spellEnd"/>
          </w:p>
        </w:tc>
      </w:tr>
      <w:tr w:rsidR="00353331" w:rsidRPr="00BE7BF2" w:rsidTr="007A523D">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rsidR="00353331" w:rsidRPr="00BE7BF2" w:rsidRDefault="00353331" w:rsidP="00353331">
            <w:pPr>
              <w:pStyle w:val="Default"/>
              <w:numPr>
                <w:ilvl w:val="0"/>
                <w:numId w:val="1"/>
              </w:numPr>
              <w:ind w:left="454"/>
              <w:rPr>
                <w:rFonts w:asciiTheme="minorHAnsi" w:hAnsiTheme="minorHAnsi"/>
                <w:b w:val="0"/>
                <w:lang w:val="sq-AL"/>
              </w:rPr>
            </w:pPr>
            <w:r w:rsidRPr="00BE7BF2">
              <w:rPr>
                <w:rFonts w:asciiTheme="minorHAnsi" w:hAnsiTheme="minorHAnsi"/>
                <w:b w:val="0"/>
                <w:lang w:val="sq-AL"/>
              </w:rPr>
              <w:t>Konsultimet me shkrim / në mënyrë elektronike;</w:t>
            </w:r>
          </w:p>
        </w:tc>
        <w:tc>
          <w:tcPr>
            <w:tcW w:w="2346" w:type="dxa"/>
          </w:tcPr>
          <w:p w:rsidR="00353331" w:rsidRPr="00BE7BF2"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sq-AL"/>
              </w:rPr>
            </w:pPr>
            <w:r w:rsidRPr="00BE7BF2">
              <w:rPr>
                <w:rFonts w:asciiTheme="minorHAnsi" w:hAnsiTheme="minorHAnsi"/>
                <w:color w:val="auto"/>
                <w:lang w:val="sq-AL"/>
              </w:rPr>
              <w:t>15 dit</w:t>
            </w:r>
            <w:r w:rsidR="00055165" w:rsidRPr="00BE7BF2">
              <w:rPr>
                <w:rFonts w:asciiTheme="minorHAnsi" w:hAnsiTheme="minorHAnsi"/>
                <w:color w:val="auto"/>
                <w:lang w:val="sq-AL"/>
              </w:rPr>
              <w:t>ë</w:t>
            </w:r>
            <w:r w:rsidRPr="00BE7BF2">
              <w:rPr>
                <w:rFonts w:asciiTheme="minorHAnsi" w:hAnsiTheme="minorHAnsi"/>
                <w:color w:val="auto"/>
                <w:lang w:val="sq-AL"/>
              </w:rPr>
              <w:t xml:space="preserve"> pune </w:t>
            </w:r>
          </w:p>
        </w:tc>
        <w:tc>
          <w:tcPr>
            <w:tcW w:w="2911" w:type="dxa"/>
          </w:tcPr>
          <w:p w:rsidR="00353331" w:rsidRPr="00BE7BF2" w:rsidRDefault="007A523D"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sq-AL"/>
              </w:rPr>
            </w:pPr>
            <w:r w:rsidRPr="00BE7BF2">
              <w:rPr>
                <w:rFonts w:asciiTheme="minorHAnsi" w:hAnsiTheme="minorHAnsi"/>
                <w:color w:val="auto"/>
                <w:lang w:val="sq-AL"/>
              </w:rPr>
              <w:t>5</w:t>
            </w:r>
            <w:r w:rsidR="0068116F" w:rsidRPr="00BE7BF2">
              <w:rPr>
                <w:rFonts w:asciiTheme="minorHAnsi" w:hAnsiTheme="minorHAnsi"/>
                <w:color w:val="auto"/>
                <w:lang w:val="sq-AL"/>
              </w:rPr>
              <w:t>0</w:t>
            </w:r>
            <w:r w:rsidR="00696DCC" w:rsidRPr="00BE7BF2">
              <w:rPr>
                <w:rFonts w:asciiTheme="minorHAnsi" w:hAnsiTheme="minorHAnsi"/>
                <w:color w:val="auto"/>
                <w:lang w:val="sq-AL"/>
              </w:rPr>
              <w:t xml:space="preserve"> </w:t>
            </w:r>
            <w:proofErr w:type="spellStart"/>
            <w:r w:rsidR="00056B2F" w:rsidRPr="00BE7BF2">
              <w:rPr>
                <w:rFonts w:asciiTheme="minorHAnsi" w:hAnsiTheme="minorHAnsi"/>
                <w:color w:val="auto"/>
                <w:lang w:val="sq-AL"/>
              </w:rPr>
              <w:t>Kontribues</w:t>
            </w:r>
            <w:proofErr w:type="spellEnd"/>
            <w:r w:rsidR="008A686E" w:rsidRPr="00BE7BF2">
              <w:rPr>
                <w:rFonts w:asciiTheme="minorHAnsi" w:hAnsiTheme="minorHAnsi"/>
                <w:color w:val="auto"/>
                <w:lang w:val="sq-AL"/>
              </w:rPr>
              <w:t xml:space="preserve"> </w:t>
            </w:r>
          </w:p>
        </w:tc>
      </w:tr>
      <w:tr w:rsidR="00353331" w:rsidRPr="00BE7BF2" w:rsidTr="007A523D">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rsidR="00353331" w:rsidRPr="00BE7BF2" w:rsidRDefault="00353331" w:rsidP="00353331">
            <w:pPr>
              <w:pStyle w:val="Default"/>
              <w:numPr>
                <w:ilvl w:val="0"/>
                <w:numId w:val="1"/>
              </w:numPr>
              <w:ind w:left="454"/>
              <w:rPr>
                <w:rFonts w:asciiTheme="minorHAnsi" w:hAnsiTheme="minorHAnsi"/>
                <w:b w:val="0"/>
                <w:color w:val="auto"/>
                <w:lang w:val="sq-AL"/>
              </w:rPr>
            </w:pPr>
            <w:r w:rsidRPr="00BE7BF2">
              <w:rPr>
                <w:rFonts w:asciiTheme="minorHAnsi" w:hAnsiTheme="minorHAnsi"/>
                <w:b w:val="0"/>
                <w:lang w:val="sq-AL"/>
              </w:rPr>
              <w:t>Publikimi në ueb faqe/Platforma elektronike</w:t>
            </w:r>
          </w:p>
        </w:tc>
        <w:tc>
          <w:tcPr>
            <w:tcW w:w="2346" w:type="dxa"/>
          </w:tcPr>
          <w:p w:rsidR="00353331" w:rsidRPr="00BE7BF2"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sq-AL"/>
              </w:rPr>
            </w:pPr>
            <w:r w:rsidRPr="00BE7BF2">
              <w:rPr>
                <w:rFonts w:asciiTheme="minorHAnsi" w:hAnsiTheme="minorHAnsi"/>
                <w:color w:val="auto"/>
                <w:lang w:val="sq-AL"/>
              </w:rPr>
              <w:t>15 dit</w:t>
            </w:r>
            <w:r w:rsidR="00055165" w:rsidRPr="00BE7BF2">
              <w:rPr>
                <w:rFonts w:asciiTheme="minorHAnsi" w:hAnsiTheme="minorHAnsi"/>
                <w:color w:val="auto"/>
                <w:lang w:val="sq-AL"/>
              </w:rPr>
              <w:t>ë</w:t>
            </w:r>
            <w:r w:rsidRPr="00BE7BF2">
              <w:rPr>
                <w:rFonts w:asciiTheme="minorHAnsi" w:hAnsiTheme="minorHAnsi"/>
                <w:color w:val="auto"/>
                <w:lang w:val="sq-AL"/>
              </w:rPr>
              <w:t xml:space="preserve"> pune </w:t>
            </w:r>
          </w:p>
        </w:tc>
        <w:tc>
          <w:tcPr>
            <w:tcW w:w="2911" w:type="dxa"/>
          </w:tcPr>
          <w:p w:rsidR="00353331" w:rsidRPr="00BE7BF2" w:rsidRDefault="00056B2F"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sq-AL"/>
              </w:rPr>
            </w:pPr>
            <w:proofErr w:type="spellStart"/>
            <w:r w:rsidRPr="00BE7BF2">
              <w:rPr>
                <w:rFonts w:asciiTheme="minorHAnsi" w:hAnsiTheme="minorHAnsi"/>
                <w:color w:val="auto"/>
                <w:lang w:val="sq-AL"/>
              </w:rPr>
              <w:t>Kontribues</w:t>
            </w:r>
            <w:proofErr w:type="spellEnd"/>
            <w:r w:rsidR="008A686E" w:rsidRPr="00BE7BF2">
              <w:rPr>
                <w:rFonts w:asciiTheme="minorHAnsi" w:hAnsiTheme="minorHAnsi"/>
                <w:color w:val="auto"/>
                <w:lang w:val="sq-AL"/>
              </w:rPr>
              <w:t xml:space="preserve"> </w:t>
            </w:r>
          </w:p>
        </w:tc>
      </w:tr>
    </w:tbl>
    <w:p w:rsidR="00353331" w:rsidRPr="00BE7BF2" w:rsidRDefault="00353331" w:rsidP="00353331">
      <w:pPr>
        <w:jc w:val="both"/>
        <w:rPr>
          <w:lang w:val="sq-AL"/>
        </w:rPr>
      </w:pPr>
    </w:p>
    <w:p w:rsidR="00353331" w:rsidRPr="00BE7BF2" w:rsidRDefault="00353331" w:rsidP="00353331">
      <w:pPr>
        <w:jc w:val="both"/>
        <w:rPr>
          <w:lang w:val="sq-AL"/>
        </w:rPr>
      </w:pPr>
    </w:p>
    <w:p w:rsidR="00353331" w:rsidRPr="00BE7BF2" w:rsidRDefault="00353331" w:rsidP="00353331">
      <w:pPr>
        <w:jc w:val="center"/>
        <w:rPr>
          <w:b/>
          <w:lang w:val="sq-AL"/>
        </w:rPr>
      </w:pPr>
      <w:r w:rsidRPr="00BE7BF2">
        <w:rPr>
          <w:b/>
          <w:lang w:val="sq-AL"/>
        </w:rPr>
        <w:t>Pë</w:t>
      </w:r>
      <w:r w:rsidR="00A07576" w:rsidRPr="00BE7BF2">
        <w:rPr>
          <w:b/>
          <w:lang w:val="sq-AL"/>
        </w:rPr>
        <w:t xml:space="preserve">rmbledhje e </w:t>
      </w:r>
      <w:r w:rsidRPr="00BE7BF2">
        <w:rPr>
          <w:b/>
          <w:lang w:val="sq-AL"/>
        </w:rPr>
        <w:t xml:space="preserve"> </w:t>
      </w:r>
      <w:r w:rsidR="00427CD1" w:rsidRPr="00BE7BF2">
        <w:rPr>
          <w:b/>
          <w:lang w:val="sq-AL"/>
        </w:rPr>
        <w:t>k</w:t>
      </w:r>
      <w:r w:rsidR="00A07576" w:rsidRPr="00BE7BF2">
        <w:rPr>
          <w:b/>
          <w:lang w:val="sq-AL"/>
        </w:rPr>
        <w:t>ontributeve t</w:t>
      </w:r>
      <w:r w:rsidR="003C2AAB" w:rsidRPr="00BE7BF2">
        <w:rPr>
          <w:b/>
          <w:lang w:val="sq-AL"/>
        </w:rPr>
        <w:t>ë</w:t>
      </w:r>
      <w:r w:rsidR="00A07576" w:rsidRPr="00BE7BF2">
        <w:rPr>
          <w:b/>
          <w:lang w:val="sq-AL"/>
        </w:rPr>
        <w:t xml:space="preserve"> pranuara gjat</w:t>
      </w:r>
      <w:r w:rsidR="003C2AAB" w:rsidRPr="00BE7BF2">
        <w:rPr>
          <w:b/>
          <w:lang w:val="sq-AL"/>
        </w:rPr>
        <w:t>ë</w:t>
      </w:r>
      <w:r w:rsidR="00A07576" w:rsidRPr="00BE7BF2">
        <w:rPr>
          <w:b/>
          <w:lang w:val="sq-AL"/>
        </w:rPr>
        <w:t xml:space="preserve"> </w:t>
      </w:r>
      <w:r w:rsidRPr="00BE7BF2">
        <w:rPr>
          <w:b/>
          <w:lang w:val="sq-AL"/>
        </w:rPr>
        <w:t>procesit të konsultimit</w:t>
      </w:r>
    </w:p>
    <w:p w:rsidR="00353331" w:rsidRPr="00BE7BF2" w:rsidRDefault="00353331" w:rsidP="00353331">
      <w:pPr>
        <w:jc w:val="both"/>
        <w:rPr>
          <w:lang w:val="sq-AL"/>
        </w:rPr>
      </w:pPr>
    </w:p>
    <w:p w:rsidR="00353331" w:rsidRPr="00BE7BF2" w:rsidRDefault="00B47C17" w:rsidP="00B60070">
      <w:pPr>
        <w:jc w:val="both"/>
        <w:rPr>
          <w:lang w:val="sq-AL"/>
        </w:rPr>
      </w:pPr>
      <w:r w:rsidRPr="00BE7BF2">
        <w:rPr>
          <w:lang w:val="sq-AL"/>
        </w:rPr>
        <w:t>Kontr</w:t>
      </w:r>
      <w:r w:rsidR="007C4683" w:rsidRPr="00BE7BF2">
        <w:rPr>
          <w:lang w:val="sq-AL"/>
        </w:rPr>
        <w:t>i</w:t>
      </w:r>
      <w:r w:rsidRPr="00BE7BF2">
        <w:rPr>
          <w:lang w:val="sq-AL"/>
        </w:rPr>
        <w:t>butet p</w:t>
      </w:r>
      <w:r w:rsidR="00055165" w:rsidRPr="00BE7BF2">
        <w:rPr>
          <w:lang w:val="sq-AL"/>
        </w:rPr>
        <w:t>ë</w:t>
      </w:r>
      <w:r w:rsidRPr="00BE7BF2">
        <w:rPr>
          <w:lang w:val="sq-AL"/>
        </w:rPr>
        <w:t xml:space="preserve">r </w:t>
      </w:r>
      <w:r w:rsidR="00711CF2" w:rsidRPr="00BE7BF2">
        <w:rPr>
          <w:lang w:val="sq-AL"/>
        </w:rPr>
        <w:t xml:space="preserve">draft </w:t>
      </w:r>
      <w:r w:rsidR="008D5EAD" w:rsidRPr="00BE7BF2">
        <w:rPr>
          <w:lang w:val="sq-AL"/>
        </w:rPr>
        <w:t xml:space="preserve">Koncept dokumentin </w:t>
      </w:r>
      <w:proofErr w:type="spellStart"/>
      <w:r w:rsidR="008D5EAD" w:rsidRPr="00BE7BF2">
        <w:rPr>
          <w:lang w:val="sq-AL"/>
        </w:rPr>
        <w:t>pёr</w:t>
      </w:r>
      <w:proofErr w:type="spellEnd"/>
      <w:r w:rsidR="008D5EAD" w:rsidRPr="00BE7BF2">
        <w:rPr>
          <w:lang w:val="sq-AL"/>
        </w:rPr>
        <w:t xml:space="preserve"> fushën e Agjencisë Kundër Korrupsionit dhe për Deklarimin dhe Prejardhjen e Pasurisë</w:t>
      </w:r>
      <w:r w:rsidRPr="00BE7BF2">
        <w:rPr>
          <w:lang w:val="sq-AL"/>
        </w:rPr>
        <w:t xml:space="preserve"> nga pal</w:t>
      </w:r>
      <w:r w:rsidR="00055165" w:rsidRPr="00BE7BF2">
        <w:rPr>
          <w:lang w:val="sq-AL"/>
        </w:rPr>
        <w:t>ë</w:t>
      </w:r>
      <w:r w:rsidRPr="00BE7BF2">
        <w:rPr>
          <w:lang w:val="sq-AL"/>
        </w:rPr>
        <w:t>t e interesit jan</w:t>
      </w:r>
      <w:r w:rsidR="00055165" w:rsidRPr="00BE7BF2">
        <w:rPr>
          <w:lang w:val="sq-AL"/>
        </w:rPr>
        <w:t>ë</w:t>
      </w:r>
      <w:r w:rsidRPr="00BE7BF2">
        <w:rPr>
          <w:lang w:val="sq-AL"/>
        </w:rPr>
        <w:t xml:space="preserve"> dh</w:t>
      </w:r>
      <w:r w:rsidR="00055165" w:rsidRPr="00BE7BF2">
        <w:rPr>
          <w:lang w:val="sq-AL"/>
        </w:rPr>
        <w:t>ë</w:t>
      </w:r>
      <w:r w:rsidRPr="00BE7BF2">
        <w:rPr>
          <w:lang w:val="sq-AL"/>
        </w:rPr>
        <w:t>n</w:t>
      </w:r>
      <w:r w:rsidR="00055165" w:rsidRPr="00BE7BF2">
        <w:rPr>
          <w:lang w:val="sq-AL"/>
        </w:rPr>
        <w:t>ë</w:t>
      </w:r>
      <w:r w:rsidRPr="00BE7BF2">
        <w:rPr>
          <w:lang w:val="sq-AL"/>
        </w:rPr>
        <w:t xml:space="preserve"> kryesisht </w:t>
      </w:r>
      <w:r w:rsidR="003B16D6" w:rsidRPr="00BE7BF2">
        <w:rPr>
          <w:lang w:val="sq-AL"/>
        </w:rPr>
        <w:t xml:space="preserve">me shkrim, </w:t>
      </w:r>
      <w:r w:rsidR="00124BD5" w:rsidRPr="00BE7BF2">
        <w:rPr>
          <w:lang w:val="sq-AL"/>
        </w:rPr>
        <w:t>gjithsejt</w:t>
      </w:r>
      <w:r w:rsidR="007C4683" w:rsidRPr="00BE7BF2">
        <w:rPr>
          <w:lang w:val="sq-AL"/>
        </w:rPr>
        <w:t>ë</w:t>
      </w:r>
      <w:r w:rsidR="009743FF" w:rsidRPr="00BE7BF2">
        <w:rPr>
          <w:lang w:val="sq-AL"/>
        </w:rPr>
        <w:t xml:space="preserve"> 6</w:t>
      </w:r>
      <w:r w:rsidR="00C94414" w:rsidRPr="00BE7BF2">
        <w:rPr>
          <w:lang w:val="sq-AL"/>
        </w:rPr>
        <w:t xml:space="preserve"> (GSJP), 1 </w:t>
      </w:r>
      <w:proofErr w:type="spellStart"/>
      <w:r w:rsidR="00C94414" w:rsidRPr="00BE7BF2">
        <w:rPr>
          <w:lang w:val="sq-AL"/>
        </w:rPr>
        <w:t>MBPZhR</w:t>
      </w:r>
      <w:proofErr w:type="spellEnd"/>
      <w:r w:rsidR="00C94414" w:rsidRPr="00BE7BF2">
        <w:rPr>
          <w:lang w:val="sq-AL"/>
        </w:rPr>
        <w:t xml:space="preserve">, 1 (OSBE), 1(PECK), 1 (ZKM-ZL), 1 (ZKM-SKQ) </w:t>
      </w:r>
      <w:r w:rsidR="008752D8" w:rsidRPr="00BE7BF2">
        <w:rPr>
          <w:lang w:val="sq-AL"/>
        </w:rPr>
        <w:t>propozimet t</w:t>
      </w:r>
      <w:r w:rsidR="003C2AAB" w:rsidRPr="00BE7BF2">
        <w:rPr>
          <w:lang w:val="sq-AL"/>
        </w:rPr>
        <w:t>ë</w:t>
      </w:r>
      <w:r w:rsidR="008752D8" w:rsidRPr="00BE7BF2">
        <w:rPr>
          <w:lang w:val="sq-AL"/>
        </w:rPr>
        <w:t xml:space="preserve"> cilat konsiderohen se jan</w:t>
      </w:r>
      <w:r w:rsidR="003C2AAB" w:rsidRPr="00BE7BF2">
        <w:rPr>
          <w:lang w:val="sq-AL"/>
        </w:rPr>
        <w:t>ë</w:t>
      </w:r>
      <w:r w:rsidR="008752D8" w:rsidRPr="00BE7BF2">
        <w:rPr>
          <w:lang w:val="sq-AL"/>
        </w:rPr>
        <w:t xml:space="preserve"> relevante p</w:t>
      </w:r>
      <w:r w:rsidR="003C2AAB" w:rsidRPr="00BE7BF2">
        <w:rPr>
          <w:lang w:val="sq-AL"/>
        </w:rPr>
        <w:t>ë</w:t>
      </w:r>
      <w:r w:rsidR="008752D8" w:rsidRPr="00BE7BF2">
        <w:rPr>
          <w:lang w:val="sq-AL"/>
        </w:rPr>
        <w:t>r temat e shqyrtuara n</w:t>
      </w:r>
      <w:r w:rsidR="003C2AAB" w:rsidRPr="00BE7BF2">
        <w:rPr>
          <w:lang w:val="sq-AL"/>
        </w:rPr>
        <w:t>ë</w:t>
      </w:r>
      <w:r w:rsidR="00E6366D" w:rsidRPr="00BE7BF2">
        <w:rPr>
          <w:lang w:val="sq-AL"/>
        </w:rPr>
        <w:t xml:space="preserve"> Koncept Dokument, t</w:t>
      </w:r>
      <w:r w:rsidR="00E6366D" w:rsidRPr="00BE7BF2">
        <w:rPr>
          <w:rFonts w:ascii="Book Antiqua" w:hAnsi="Book Antiqua"/>
          <w:lang w:val="sq-AL"/>
        </w:rPr>
        <w:t>ë cilat janë dërguar p</w:t>
      </w:r>
      <w:r w:rsidR="003C2AAB" w:rsidRPr="00BE7BF2">
        <w:rPr>
          <w:lang w:val="sq-AL"/>
        </w:rPr>
        <w:t>ë</w:t>
      </w:r>
      <w:r w:rsidR="008752D8" w:rsidRPr="00BE7BF2">
        <w:rPr>
          <w:lang w:val="sq-AL"/>
        </w:rPr>
        <w:t xml:space="preserve">rmes </w:t>
      </w:r>
      <w:r w:rsidR="00E6366D" w:rsidRPr="00BE7BF2">
        <w:rPr>
          <w:lang w:val="sq-AL"/>
        </w:rPr>
        <w:t>e-</w:t>
      </w:r>
      <w:proofErr w:type="spellStart"/>
      <w:r w:rsidR="00787850" w:rsidRPr="00BE7BF2">
        <w:rPr>
          <w:lang w:val="sq-AL"/>
        </w:rPr>
        <w:t>m</w:t>
      </w:r>
      <w:r w:rsidR="00E6366D" w:rsidRPr="00BE7BF2">
        <w:rPr>
          <w:lang w:val="sq-AL"/>
        </w:rPr>
        <w:t>a</w:t>
      </w:r>
      <w:r w:rsidR="00787850" w:rsidRPr="00BE7BF2">
        <w:rPr>
          <w:lang w:val="sq-AL"/>
        </w:rPr>
        <w:t>ilit</w:t>
      </w:r>
      <w:proofErr w:type="spellEnd"/>
      <w:r w:rsidR="00E6366D" w:rsidRPr="00BE7BF2">
        <w:rPr>
          <w:lang w:val="sq-AL"/>
        </w:rPr>
        <w:t>.</w:t>
      </w:r>
      <w:r w:rsidR="008752D8" w:rsidRPr="00BE7BF2">
        <w:rPr>
          <w:lang w:val="sq-AL"/>
        </w:rPr>
        <w:t xml:space="preserve"> </w:t>
      </w:r>
    </w:p>
    <w:p w:rsidR="00353331" w:rsidRPr="00BE7BF2" w:rsidRDefault="00353331" w:rsidP="00353331">
      <w:pPr>
        <w:jc w:val="both"/>
        <w:rPr>
          <w:lang w:val="sq-AL"/>
        </w:rPr>
      </w:pPr>
    </w:p>
    <w:p w:rsidR="00353331" w:rsidRPr="00BE7BF2" w:rsidRDefault="00B47C17" w:rsidP="00353331">
      <w:pPr>
        <w:jc w:val="center"/>
        <w:rPr>
          <w:b/>
          <w:lang w:val="sq-AL"/>
        </w:rPr>
      </w:pPr>
      <w:r w:rsidRPr="00BE7BF2">
        <w:rPr>
          <w:b/>
          <w:lang w:val="sq-AL"/>
        </w:rPr>
        <w:t>Ç</w:t>
      </w:r>
      <w:r w:rsidR="00353331" w:rsidRPr="00BE7BF2">
        <w:rPr>
          <w:b/>
          <w:lang w:val="sq-AL"/>
        </w:rPr>
        <w:t>ështje tjera</w:t>
      </w:r>
    </w:p>
    <w:p w:rsidR="00353331" w:rsidRPr="00BE7BF2" w:rsidRDefault="00353331" w:rsidP="00353331">
      <w:pPr>
        <w:jc w:val="both"/>
        <w:rPr>
          <w:i/>
          <w:lang w:val="sq-AL"/>
        </w:rPr>
      </w:pPr>
    </w:p>
    <w:p w:rsidR="00353331" w:rsidRPr="00BE7BF2" w:rsidRDefault="00B47C17" w:rsidP="00353331">
      <w:pPr>
        <w:jc w:val="both"/>
        <w:rPr>
          <w:lang w:val="sq-AL"/>
        </w:rPr>
      </w:pPr>
      <w:r w:rsidRPr="00BE7BF2">
        <w:rPr>
          <w:lang w:val="sq-AL"/>
        </w:rPr>
        <w:t>Me q</w:t>
      </w:r>
      <w:r w:rsidR="00055165" w:rsidRPr="00BE7BF2">
        <w:rPr>
          <w:lang w:val="sq-AL"/>
        </w:rPr>
        <w:t>ë</w:t>
      </w:r>
      <w:r w:rsidRPr="00BE7BF2">
        <w:rPr>
          <w:lang w:val="sq-AL"/>
        </w:rPr>
        <w:t>llim t</w:t>
      </w:r>
      <w:r w:rsidR="00055165" w:rsidRPr="00BE7BF2">
        <w:rPr>
          <w:lang w:val="sq-AL"/>
        </w:rPr>
        <w:t>ë</w:t>
      </w:r>
      <w:r w:rsidRPr="00BE7BF2">
        <w:rPr>
          <w:lang w:val="sq-AL"/>
        </w:rPr>
        <w:t xml:space="preserve"> finalizimit t</w:t>
      </w:r>
      <w:r w:rsidR="00055165" w:rsidRPr="00BE7BF2">
        <w:rPr>
          <w:lang w:val="sq-AL"/>
        </w:rPr>
        <w:t>ë</w:t>
      </w:r>
      <w:r w:rsidRPr="00BE7BF2">
        <w:rPr>
          <w:lang w:val="sq-AL"/>
        </w:rPr>
        <w:t xml:space="preserve"> </w:t>
      </w:r>
      <w:r w:rsidR="00EB3058" w:rsidRPr="00BE7BF2">
        <w:rPr>
          <w:lang w:val="sq-AL"/>
        </w:rPr>
        <w:t xml:space="preserve">Draft </w:t>
      </w:r>
      <w:r w:rsidR="00E6366D" w:rsidRPr="00BE7BF2">
        <w:rPr>
          <w:lang w:val="sq-AL"/>
        </w:rPr>
        <w:t>t</w:t>
      </w:r>
      <w:r w:rsidR="00E6366D" w:rsidRPr="00BE7BF2">
        <w:rPr>
          <w:rFonts w:ascii="Book Antiqua" w:hAnsi="Book Antiqua"/>
          <w:lang w:val="sq-AL"/>
        </w:rPr>
        <w:t xml:space="preserve">ë këtij </w:t>
      </w:r>
      <w:r w:rsidR="00E6366D" w:rsidRPr="00BE7BF2">
        <w:rPr>
          <w:lang w:val="sq-AL"/>
        </w:rPr>
        <w:t>Koncept Dokumenti dhe</w:t>
      </w:r>
      <w:r w:rsidRPr="00BE7BF2">
        <w:rPr>
          <w:lang w:val="sq-AL"/>
        </w:rPr>
        <w:t xml:space="preserve"> shqyrtimit t</w:t>
      </w:r>
      <w:r w:rsidR="00055165" w:rsidRPr="00BE7BF2">
        <w:rPr>
          <w:lang w:val="sq-AL"/>
        </w:rPr>
        <w:t>ë</w:t>
      </w:r>
      <w:r w:rsidRPr="00BE7BF2">
        <w:rPr>
          <w:lang w:val="sq-AL"/>
        </w:rPr>
        <w:t xml:space="preserve"> komenteve t</w:t>
      </w:r>
      <w:r w:rsidR="00055165" w:rsidRPr="00BE7BF2">
        <w:rPr>
          <w:lang w:val="sq-AL"/>
        </w:rPr>
        <w:t>ë</w:t>
      </w:r>
      <w:r w:rsidRPr="00BE7BF2">
        <w:rPr>
          <w:lang w:val="sq-AL"/>
        </w:rPr>
        <w:t xml:space="preserve"> pranuara</w:t>
      </w:r>
      <w:r w:rsidR="00EB3058" w:rsidRPr="00BE7BF2">
        <w:rPr>
          <w:lang w:val="sq-AL"/>
        </w:rPr>
        <w:t>,</w:t>
      </w:r>
      <w:r w:rsidR="00647489" w:rsidRPr="00BE7BF2">
        <w:rPr>
          <w:lang w:val="sq-AL"/>
        </w:rPr>
        <w:t xml:space="preserve"> jan</w:t>
      </w:r>
      <w:r w:rsidR="00647489" w:rsidRPr="00BE7BF2">
        <w:rPr>
          <w:rFonts w:ascii="Book Antiqua" w:hAnsi="Book Antiqua"/>
          <w:lang w:val="sq-AL"/>
        </w:rPr>
        <w:t>ë</w:t>
      </w:r>
      <w:r w:rsidR="00647489" w:rsidRPr="00BE7BF2">
        <w:rPr>
          <w:lang w:val="sq-AL"/>
        </w:rPr>
        <w:t xml:space="preserve"> mbajtur takimet</w:t>
      </w:r>
      <w:r w:rsidR="00622315" w:rsidRPr="00BE7BF2">
        <w:rPr>
          <w:lang w:val="sq-AL"/>
        </w:rPr>
        <w:t xml:space="preserve">  përmbyllës</w:t>
      </w:r>
      <w:r w:rsidR="00647489" w:rsidRPr="00BE7BF2">
        <w:rPr>
          <w:lang w:val="sq-AL"/>
        </w:rPr>
        <w:t>e t</w:t>
      </w:r>
      <w:r w:rsidR="00647489" w:rsidRPr="00BE7BF2">
        <w:rPr>
          <w:rFonts w:ascii="Book Antiqua" w:hAnsi="Book Antiqua"/>
          <w:lang w:val="sq-AL"/>
        </w:rPr>
        <w:t>ë</w:t>
      </w:r>
      <w:r w:rsidRPr="00BE7BF2">
        <w:rPr>
          <w:lang w:val="sq-AL"/>
        </w:rPr>
        <w:t xml:space="preserve"> </w:t>
      </w:r>
      <w:r w:rsidR="00EB3058" w:rsidRPr="00BE7BF2">
        <w:rPr>
          <w:lang w:val="sq-AL"/>
        </w:rPr>
        <w:t>G</w:t>
      </w:r>
      <w:r w:rsidRPr="00BE7BF2">
        <w:rPr>
          <w:lang w:val="sq-AL"/>
        </w:rPr>
        <w:t xml:space="preserve">rupit </w:t>
      </w:r>
      <w:r w:rsidR="00EB3058" w:rsidRPr="00BE7BF2">
        <w:rPr>
          <w:lang w:val="sq-AL"/>
        </w:rPr>
        <w:t>P</w:t>
      </w:r>
      <w:r w:rsidRPr="00BE7BF2">
        <w:rPr>
          <w:lang w:val="sq-AL"/>
        </w:rPr>
        <w:t>unu</w:t>
      </w:r>
      <w:r w:rsidR="00711CF2" w:rsidRPr="00BE7BF2">
        <w:rPr>
          <w:lang w:val="sq-AL"/>
        </w:rPr>
        <w:t>e</w:t>
      </w:r>
      <w:r w:rsidRPr="00BE7BF2">
        <w:rPr>
          <w:lang w:val="sq-AL"/>
        </w:rPr>
        <w:t>s me dat</w:t>
      </w:r>
      <w:r w:rsidR="00055165" w:rsidRPr="00BE7BF2">
        <w:rPr>
          <w:lang w:val="sq-AL"/>
        </w:rPr>
        <w:t>ë</w:t>
      </w:r>
      <w:r w:rsidR="00647489" w:rsidRPr="00BE7BF2">
        <w:rPr>
          <w:lang w:val="sq-AL"/>
        </w:rPr>
        <w:t>n 2</w:t>
      </w:r>
      <w:r w:rsidR="00622315" w:rsidRPr="00BE7BF2">
        <w:rPr>
          <w:lang w:val="sq-AL"/>
        </w:rPr>
        <w:t xml:space="preserve">8 Shtator </w:t>
      </w:r>
      <w:r w:rsidR="00696DCC" w:rsidRPr="00BE7BF2">
        <w:rPr>
          <w:lang w:val="sq-AL"/>
        </w:rPr>
        <w:t>2017</w:t>
      </w:r>
      <w:r w:rsidR="00647489" w:rsidRPr="00BE7BF2">
        <w:rPr>
          <w:lang w:val="sq-AL"/>
        </w:rPr>
        <w:t xml:space="preserve"> dhe 16 N</w:t>
      </w:r>
      <w:r w:rsidR="00647489" w:rsidRPr="00BE7BF2">
        <w:rPr>
          <w:rFonts w:ascii="Book Antiqua" w:hAnsi="Book Antiqua"/>
          <w:lang w:val="sq-AL"/>
        </w:rPr>
        <w:t>ën</w:t>
      </w:r>
      <w:r w:rsidR="00647489" w:rsidRPr="00BE7BF2">
        <w:rPr>
          <w:lang w:val="sq-AL"/>
        </w:rPr>
        <w:t>tor 2017</w:t>
      </w:r>
      <w:r w:rsidR="000C223E" w:rsidRPr="00BE7BF2">
        <w:rPr>
          <w:lang w:val="sq-AL"/>
        </w:rPr>
        <w:t xml:space="preserve">. </w:t>
      </w:r>
      <w:r w:rsidRPr="00BE7BF2">
        <w:rPr>
          <w:lang w:val="sq-AL"/>
        </w:rPr>
        <w:t>T</w:t>
      </w:r>
      <w:r w:rsidR="00055165" w:rsidRPr="00BE7BF2">
        <w:rPr>
          <w:lang w:val="sq-AL"/>
        </w:rPr>
        <w:t>ë</w:t>
      </w:r>
      <w:r w:rsidRPr="00BE7BF2">
        <w:rPr>
          <w:lang w:val="sq-AL"/>
        </w:rPr>
        <w:t xml:space="preserve"> gjitha kontributet e pranuara jan</w:t>
      </w:r>
      <w:r w:rsidR="00055165" w:rsidRPr="00BE7BF2">
        <w:rPr>
          <w:lang w:val="sq-AL"/>
        </w:rPr>
        <w:t>ë</w:t>
      </w:r>
      <w:r w:rsidRPr="00BE7BF2">
        <w:rPr>
          <w:lang w:val="sq-AL"/>
        </w:rPr>
        <w:t xml:space="preserve"> shqyrtuar </w:t>
      </w:r>
      <w:r w:rsidR="00EB3058" w:rsidRPr="00BE7BF2">
        <w:rPr>
          <w:lang w:val="sq-AL"/>
        </w:rPr>
        <w:t xml:space="preserve">veç </w:t>
      </w:r>
      <w:r w:rsidRPr="00BE7BF2">
        <w:rPr>
          <w:lang w:val="sq-AL"/>
        </w:rPr>
        <w:t xml:space="preserve">e </w:t>
      </w:r>
      <w:r w:rsidR="00EB3058" w:rsidRPr="00BE7BF2">
        <w:rPr>
          <w:lang w:val="sq-AL"/>
        </w:rPr>
        <w:t>veç, ndërsa</w:t>
      </w:r>
      <w:r w:rsidRPr="00BE7BF2">
        <w:rPr>
          <w:lang w:val="sq-AL"/>
        </w:rPr>
        <w:t xml:space="preserve"> raporti</w:t>
      </w:r>
      <w:r w:rsidR="00C63D1C" w:rsidRPr="00BE7BF2">
        <w:rPr>
          <w:lang w:val="sq-AL"/>
        </w:rPr>
        <w:t xml:space="preserve"> i </w:t>
      </w:r>
      <w:r w:rsidRPr="00BE7BF2">
        <w:rPr>
          <w:lang w:val="sq-AL"/>
        </w:rPr>
        <w:t>detajuar</w:t>
      </w:r>
      <w:r w:rsidR="00055165" w:rsidRPr="00BE7BF2">
        <w:rPr>
          <w:lang w:val="sq-AL"/>
        </w:rPr>
        <w:t xml:space="preserve"> </w:t>
      </w:r>
      <w:r w:rsidR="000C223E" w:rsidRPr="00BE7BF2">
        <w:rPr>
          <w:lang w:val="sq-AL"/>
        </w:rPr>
        <w:t>p</w:t>
      </w:r>
      <w:r w:rsidR="003C2AAB" w:rsidRPr="00BE7BF2">
        <w:rPr>
          <w:lang w:val="sq-AL"/>
        </w:rPr>
        <w:t>ë</w:t>
      </w:r>
      <w:r w:rsidR="000C223E" w:rsidRPr="00BE7BF2">
        <w:rPr>
          <w:lang w:val="sq-AL"/>
        </w:rPr>
        <w:t xml:space="preserve">r komentet e pranuara, </w:t>
      </w:r>
      <w:r w:rsidR="00787850" w:rsidRPr="00BE7BF2">
        <w:rPr>
          <w:lang w:val="sq-AL"/>
        </w:rPr>
        <w:t>kontribuuesit</w:t>
      </w:r>
      <w:r w:rsidR="000C223E" w:rsidRPr="00BE7BF2">
        <w:rPr>
          <w:lang w:val="sq-AL"/>
        </w:rPr>
        <w:t xml:space="preserve"> dhe</w:t>
      </w:r>
      <w:r w:rsidR="00055165" w:rsidRPr="00BE7BF2">
        <w:rPr>
          <w:lang w:val="sq-AL"/>
        </w:rPr>
        <w:t xml:space="preserve"> </w:t>
      </w:r>
      <w:r w:rsidR="000C223E" w:rsidRPr="00BE7BF2">
        <w:rPr>
          <w:lang w:val="sq-AL"/>
        </w:rPr>
        <w:t>statusin e</w:t>
      </w:r>
      <w:r w:rsidRPr="00BE7BF2">
        <w:rPr>
          <w:lang w:val="sq-AL"/>
        </w:rPr>
        <w:t xml:space="preserve"> </w:t>
      </w:r>
      <w:r w:rsidR="000C223E" w:rsidRPr="00BE7BF2">
        <w:rPr>
          <w:lang w:val="sq-AL"/>
        </w:rPr>
        <w:t>kontributeve jan</w:t>
      </w:r>
      <w:r w:rsidR="003C2AAB" w:rsidRPr="00BE7BF2">
        <w:rPr>
          <w:lang w:val="sq-AL"/>
        </w:rPr>
        <w:t>ë</w:t>
      </w:r>
      <w:r w:rsidR="000C223E" w:rsidRPr="00BE7BF2">
        <w:rPr>
          <w:lang w:val="sq-AL"/>
        </w:rPr>
        <w:t xml:space="preserve"> paraqitur n</w:t>
      </w:r>
      <w:r w:rsidR="003C2AAB" w:rsidRPr="00BE7BF2">
        <w:rPr>
          <w:lang w:val="sq-AL"/>
        </w:rPr>
        <w:t>ë</w:t>
      </w:r>
      <w:r w:rsidR="000C223E" w:rsidRPr="00BE7BF2">
        <w:rPr>
          <w:lang w:val="sq-AL"/>
        </w:rPr>
        <w:t xml:space="preserve"> form</w:t>
      </w:r>
      <w:r w:rsidR="003C2AAB" w:rsidRPr="00BE7BF2">
        <w:rPr>
          <w:lang w:val="sq-AL"/>
        </w:rPr>
        <w:t>ë</w:t>
      </w:r>
      <w:r w:rsidR="000C223E" w:rsidRPr="00BE7BF2">
        <w:rPr>
          <w:lang w:val="sq-AL"/>
        </w:rPr>
        <w:t xml:space="preserve"> t</w:t>
      </w:r>
      <w:r w:rsidR="003C2AAB" w:rsidRPr="00BE7BF2">
        <w:rPr>
          <w:lang w:val="sq-AL"/>
        </w:rPr>
        <w:t>ë</w:t>
      </w:r>
      <w:r w:rsidR="000C223E" w:rsidRPr="00BE7BF2">
        <w:rPr>
          <w:lang w:val="sq-AL"/>
        </w:rPr>
        <w:t xml:space="preserve"> plot</w:t>
      </w:r>
      <w:r w:rsidR="003C2AAB" w:rsidRPr="00BE7BF2">
        <w:rPr>
          <w:lang w:val="sq-AL"/>
        </w:rPr>
        <w:t>ë</w:t>
      </w:r>
      <w:r w:rsidR="000C223E" w:rsidRPr="00BE7BF2">
        <w:rPr>
          <w:lang w:val="sq-AL"/>
        </w:rPr>
        <w:t xml:space="preserve"> ne sht</w:t>
      </w:r>
      <w:r w:rsidRPr="00BE7BF2">
        <w:rPr>
          <w:lang w:val="sq-AL"/>
        </w:rPr>
        <w:t>ojc</w:t>
      </w:r>
      <w:r w:rsidR="00055165" w:rsidRPr="00BE7BF2">
        <w:rPr>
          <w:lang w:val="sq-AL"/>
        </w:rPr>
        <w:t>ë</w:t>
      </w:r>
      <w:r w:rsidRPr="00BE7BF2">
        <w:rPr>
          <w:lang w:val="sq-AL"/>
        </w:rPr>
        <w:t>n nr. 1 t</w:t>
      </w:r>
      <w:r w:rsidR="00055165" w:rsidRPr="00BE7BF2">
        <w:rPr>
          <w:lang w:val="sq-AL"/>
        </w:rPr>
        <w:t>ë</w:t>
      </w:r>
      <w:r w:rsidRPr="00BE7BF2">
        <w:rPr>
          <w:lang w:val="sq-AL"/>
        </w:rPr>
        <w:t xml:space="preserve"> k</w:t>
      </w:r>
      <w:r w:rsidR="00055165" w:rsidRPr="00BE7BF2">
        <w:rPr>
          <w:lang w:val="sq-AL"/>
        </w:rPr>
        <w:t>ë</w:t>
      </w:r>
      <w:r w:rsidRPr="00BE7BF2">
        <w:rPr>
          <w:lang w:val="sq-AL"/>
        </w:rPr>
        <w:t xml:space="preserve">tij raporti. </w:t>
      </w:r>
      <w:r w:rsidR="00353331" w:rsidRPr="00BE7BF2">
        <w:rPr>
          <w:lang w:val="sq-AL"/>
        </w:rPr>
        <w:t xml:space="preserve">  </w:t>
      </w:r>
    </w:p>
    <w:p w:rsidR="00353331" w:rsidRPr="00BE7BF2" w:rsidRDefault="00353331" w:rsidP="00353331">
      <w:pPr>
        <w:jc w:val="both"/>
        <w:rPr>
          <w:lang w:val="sq-AL"/>
        </w:rPr>
      </w:pPr>
    </w:p>
    <w:p w:rsidR="006D394B" w:rsidRPr="00BE7BF2" w:rsidRDefault="006D394B" w:rsidP="00353331">
      <w:pPr>
        <w:jc w:val="both"/>
        <w:rPr>
          <w:lang w:val="sq-AL"/>
        </w:rPr>
      </w:pPr>
    </w:p>
    <w:p w:rsidR="000149C9" w:rsidRPr="00BE7BF2" w:rsidRDefault="000149C9" w:rsidP="00353331">
      <w:pPr>
        <w:jc w:val="both"/>
        <w:rPr>
          <w:lang w:val="sq-AL"/>
        </w:rPr>
      </w:pPr>
    </w:p>
    <w:p w:rsidR="006D394B" w:rsidRPr="00BE7BF2" w:rsidRDefault="006D394B" w:rsidP="00353331">
      <w:pPr>
        <w:jc w:val="both"/>
        <w:rPr>
          <w:lang w:val="sq-AL"/>
        </w:rPr>
      </w:pPr>
    </w:p>
    <w:p w:rsidR="00717637" w:rsidRPr="00BE7BF2" w:rsidRDefault="00717637" w:rsidP="00353331">
      <w:pPr>
        <w:jc w:val="both"/>
        <w:rPr>
          <w:lang w:val="sq-AL"/>
        </w:rPr>
      </w:pPr>
    </w:p>
    <w:p w:rsidR="00AA3B34" w:rsidRPr="00BE7BF2" w:rsidRDefault="00AA3B34" w:rsidP="00353331">
      <w:pPr>
        <w:jc w:val="center"/>
        <w:rPr>
          <w:b/>
          <w:lang w:val="sq-AL"/>
        </w:rPr>
      </w:pPr>
    </w:p>
    <w:p w:rsidR="00AA3B34" w:rsidRPr="00BE7BF2" w:rsidRDefault="00AA3B34" w:rsidP="00353331">
      <w:pPr>
        <w:jc w:val="center"/>
        <w:rPr>
          <w:b/>
          <w:lang w:val="sq-AL"/>
        </w:rPr>
      </w:pPr>
    </w:p>
    <w:p w:rsidR="00622315" w:rsidRPr="00BE7BF2" w:rsidRDefault="00622315" w:rsidP="00353331">
      <w:pPr>
        <w:jc w:val="center"/>
        <w:rPr>
          <w:b/>
          <w:lang w:val="sq-AL"/>
        </w:rPr>
      </w:pPr>
    </w:p>
    <w:p w:rsidR="00845AD9" w:rsidRPr="00BE7BF2" w:rsidRDefault="00845AD9" w:rsidP="00353331">
      <w:pPr>
        <w:jc w:val="center"/>
        <w:rPr>
          <w:b/>
          <w:lang w:val="sq-AL"/>
        </w:rPr>
      </w:pPr>
    </w:p>
    <w:p w:rsidR="00353331" w:rsidRPr="00BE7BF2" w:rsidRDefault="00353331" w:rsidP="00353331">
      <w:pPr>
        <w:jc w:val="center"/>
        <w:rPr>
          <w:b/>
          <w:lang w:val="sq-AL"/>
        </w:rPr>
      </w:pPr>
      <w:r w:rsidRPr="00BE7BF2">
        <w:rPr>
          <w:b/>
          <w:lang w:val="sq-AL"/>
        </w:rPr>
        <w:t>Hapat e ardhshëm</w:t>
      </w:r>
    </w:p>
    <w:p w:rsidR="00353331" w:rsidRPr="00BE7BF2" w:rsidRDefault="00353331" w:rsidP="00353331">
      <w:pPr>
        <w:jc w:val="both"/>
        <w:rPr>
          <w:lang w:val="sq-AL"/>
        </w:rPr>
      </w:pPr>
    </w:p>
    <w:p w:rsidR="00353331" w:rsidRPr="00BE7BF2" w:rsidRDefault="00896F88" w:rsidP="00353331">
      <w:pPr>
        <w:jc w:val="both"/>
        <w:rPr>
          <w:lang w:val="sq-AL"/>
        </w:rPr>
      </w:pPr>
      <w:r w:rsidRPr="00BE7BF2">
        <w:rPr>
          <w:lang w:val="sq-AL"/>
        </w:rPr>
        <w:t xml:space="preserve">Draft Koncept Dokumenti </w:t>
      </w:r>
      <w:proofErr w:type="spellStart"/>
      <w:r w:rsidR="00647489" w:rsidRPr="00BE7BF2">
        <w:rPr>
          <w:lang w:val="sq-AL"/>
        </w:rPr>
        <w:t>pёr</w:t>
      </w:r>
      <w:proofErr w:type="spellEnd"/>
      <w:r w:rsidR="00647489" w:rsidRPr="00BE7BF2">
        <w:rPr>
          <w:lang w:val="sq-AL"/>
        </w:rPr>
        <w:t xml:space="preserve"> fushën e Agjencisë Kundër Korrupsionit dhe për Deklarimin dhe Prejardhjen e Pasurisë </w:t>
      </w:r>
      <w:r w:rsidR="00EB3058" w:rsidRPr="00BE7BF2">
        <w:rPr>
          <w:lang w:val="sq-AL"/>
        </w:rPr>
        <w:t xml:space="preserve">është </w:t>
      </w:r>
      <w:r w:rsidRPr="00BE7BF2">
        <w:rPr>
          <w:lang w:val="sq-AL"/>
        </w:rPr>
        <w:t>finalizuar</w:t>
      </w:r>
      <w:r w:rsidR="00EB3058" w:rsidRPr="00BE7BF2">
        <w:rPr>
          <w:lang w:val="sq-AL"/>
        </w:rPr>
        <w:t>,</w:t>
      </w:r>
      <w:r w:rsidRPr="00BE7BF2">
        <w:rPr>
          <w:lang w:val="sq-AL"/>
        </w:rPr>
        <w:t xml:space="preserve"> </w:t>
      </w:r>
      <w:r w:rsidR="00EB3058" w:rsidRPr="00BE7BF2">
        <w:rPr>
          <w:lang w:val="sq-AL"/>
        </w:rPr>
        <w:t>dhe</w:t>
      </w:r>
      <w:r w:rsidRPr="00BE7BF2">
        <w:rPr>
          <w:lang w:val="sq-AL"/>
        </w:rPr>
        <w:t xml:space="preserve"> procedohet p</w:t>
      </w:r>
      <w:r w:rsidR="00055165" w:rsidRPr="00BE7BF2">
        <w:rPr>
          <w:lang w:val="sq-AL"/>
        </w:rPr>
        <w:t>ë</w:t>
      </w:r>
      <w:r w:rsidRPr="00BE7BF2">
        <w:rPr>
          <w:lang w:val="sq-AL"/>
        </w:rPr>
        <w:t>r miratim n</w:t>
      </w:r>
      <w:r w:rsidR="00055165" w:rsidRPr="00BE7BF2">
        <w:rPr>
          <w:lang w:val="sq-AL"/>
        </w:rPr>
        <w:t>ë</w:t>
      </w:r>
      <w:r w:rsidRPr="00BE7BF2">
        <w:rPr>
          <w:lang w:val="sq-AL"/>
        </w:rPr>
        <w:t xml:space="preserve"> Qeveri</w:t>
      </w:r>
      <w:r w:rsidR="000149C9" w:rsidRPr="00BE7BF2">
        <w:rPr>
          <w:lang w:val="sq-AL"/>
        </w:rPr>
        <w:t>.</w:t>
      </w:r>
    </w:p>
    <w:p w:rsidR="00353331" w:rsidRPr="00BE7BF2" w:rsidRDefault="00353331" w:rsidP="00353331">
      <w:pPr>
        <w:rPr>
          <w:lang w:val="sq-AL"/>
        </w:rPr>
      </w:pPr>
    </w:p>
    <w:p w:rsidR="00FE01A5" w:rsidRPr="001946C7" w:rsidRDefault="00FE01A5" w:rsidP="00353331">
      <w:pPr>
        <w:rPr>
          <w:lang w:val="sq-AL"/>
        </w:rPr>
        <w:sectPr w:rsidR="00FE01A5" w:rsidRPr="001946C7" w:rsidSect="00A3310D">
          <w:footerReference w:type="even" r:id="rId10"/>
          <w:footerReference w:type="default" r:id="rId11"/>
          <w:pgSz w:w="12240" w:h="15840"/>
          <w:pgMar w:top="1440" w:right="1800" w:bottom="1440" w:left="1800" w:header="720" w:footer="720" w:gutter="0"/>
          <w:cols w:space="720"/>
          <w:docGrid w:linePitch="360"/>
        </w:sectPr>
      </w:pPr>
    </w:p>
    <w:p w:rsidR="00353331" w:rsidRPr="001946C7" w:rsidRDefault="00353331" w:rsidP="00353331">
      <w:pPr>
        <w:rPr>
          <w:lang w:val="sq-AL"/>
        </w:rPr>
      </w:pPr>
      <w:r w:rsidRPr="001946C7">
        <w:rPr>
          <w:lang w:val="sq-AL"/>
        </w:rPr>
        <w:lastRenderedPageBreak/>
        <w:t xml:space="preserve">Shtojca – tabela e detajuar me informatat </w:t>
      </w:r>
      <w:r w:rsidR="009A1224" w:rsidRPr="001946C7">
        <w:rPr>
          <w:lang w:val="sq-AL"/>
        </w:rPr>
        <w:t>për</w:t>
      </w:r>
      <w:r w:rsidRPr="001946C7">
        <w:rPr>
          <w:lang w:val="sq-AL"/>
        </w:rPr>
        <w:t xml:space="preserve"> </w:t>
      </w:r>
      <w:r w:rsidR="003D6373" w:rsidRPr="001946C7">
        <w:rPr>
          <w:lang w:val="sq-AL"/>
        </w:rPr>
        <w:t>kontribuuesit</w:t>
      </w:r>
      <w:r w:rsidRPr="001946C7">
        <w:rPr>
          <w:lang w:val="sq-AL"/>
        </w:rPr>
        <w:t xml:space="preserve">, arsyetimet për përgjigjet e pranuara dhe të refuzuara.  </w:t>
      </w:r>
    </w:p>
    <w:p w:rsidR="00187BF0" w:rsidRPr="001946C7" w:rsidRDefault="00187BF0" w:rsidP="00187BF0">
      <w:pPr>
        <w:ind w:right="-540"/>
        <w:rPr>
          <w:lang w:val="sq-AL"/>
        </w:rPr>
      </w:pPr>
    </w:p>
    <w:tbl>
      <w:tblPr>
        <w:tblW w:w="14996" w:type="dxa"/>
        <w:tblInd w:w="-7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BE5F1" w:themeFill="accent1" w:themeFillTint="33"/>
        <w:tblLayout w:type="fixed"/>
        <w:tblLook w:val="04A0" w:firstRow="1" w:lastRow="0" w:firstColumn="1" w:lastColumn="0" w:noHBand="0" w:noVBand="1"/>
      </w:tblPr>
      <w:tblGrid>
        <w:gridCol w:w="1733"/>
        <w:gridCol w:w="3780"/>
        <w:gridCol w:w="1463"/>
        <w:gridCol w:w="1350"/>
        <w:gridCol w:w="6670"/>
      </w:tblGrid>
      <w:tr w:rsidR="00187BF0" w:rsidRPr="001946C7" w:rsidTr="00B22497">
        <w:trPr>
          <w:trHeight w:val="341"/>
        </w:trPr>
        <w:tc>
          <w:tcPr>
            <w:tcW w:w="8326" w:type="dxa"/>
            <w:gridSpan w:val="4"/>
            <w:shd w:val="clear" w:color="auto" w:fill="DBE5F1" w:themeFill="accent1" w:themeFillTint="33"/>
          </w:tcPr>
          <w:p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Konce</w:t>
            </w:r>
            <w:r w:rsidR="005960D7">
              <w:rPr>
                <w:rFonts w:ascii="Times New Roman" w:hAnsi="Times New Roman" w:cs="Times New Roman"/>
                <w:b/>
                <w:sz w:val="20"/>
                <w:szCs w:val="20"/>
                <w:lang w:val="sq-AL"/>
              </w:rPr>
              <w:t>pt Dokumenti</w:t>
            </w:r>
            <w:r w:rsidR="00290FC0">
              <w:rPr>
                <w:rFonts w:ascii="Times New Roman" w:hAnsi="Times New Roman" w:cs="Times New Roman"/>
                <w:b/>
                <w:sz w:val="20"/>
                <w:szCs w:val="20"/>
                <w:lang w:val="sq-AL"/>
              </w:rPr>
              <w:t xml:space="preserve"> </w:t>
            </w:r>
            <w:proofErr w:type="spellStart"/>
            <w:r w:rsidR="00E93913" w:rsidRPr="00E93913">
              <w:rPr>
                <w:rFonts w:ascii="Times New Roman" w:hAnsi="Times New Roman" w:cs="Times New Roman"/>
                <w:b/>
                <w:sz w:val="20"/>
                <w:szCs w:val="20"/>
                <w:lang w:val="sq-AL"/>
              </w:rPr>
              <w:t>pёr</w:t>
            </w:r>
            <w:proofErr w:type="spellEnd"/>
            <w:r w:rsidR="00E93913" w:rsidRPr="00E93913">
              <w:rPr>
                <w:rFonts w:ascii="Times New Roman" w:hAnsi="Times New Roman" w:cs="Times New Roman"/>
                <w:b/>
                <w:sz w:val="20"/>
                <w:szCs w:val="20"/>
                <w:lang w:val="sq-AL"/>
              </w:rPr>
              <w:t xml:space="preserve"> fushën e Agjencisë Kundër Korrupsionit dhe për Deklarimin dhe Prejardhjen e Pasurisë</w:t>
            </w:r>
          </w:p>
          <w:p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TEMAT E KONSULTIMIT DHE SHQYRTIMI i OPCIONEVE</w:t>
            </w:r>
          </w:p>
        </w:tc>
        <w:tc>
          <w:tcPr>
            <w:tcW w:w="6670" w:type="dxa"/>
            <w:shd w:val="clear" w:color="auto" w:fill="DBE5F1" w:themeFill="accent1" w:themeFillTint="33"/>
          </w:tcPr>
          <w:p w:rsidR="00187BF0" w:rsidRPr="001946C7" w:rsidRDefault="00187BF0" w:rsidP="008D5AB5">
            <w:pPr>
              <w:rPr>
                <w:rFonts w:ascii="Times New Roman" w:hAnsi="Times New Roman" w:cs="Times New Roman"/>
                <w:b/>
                <w:sz w:val="20"/>
                <w:szCs w:val="20"/>
                <w:lang w:val="sq-AL"/>
              </w:rPr>
            </w:pPr>
          </w:p>
        </w:tc>
      </w:tr>
      <w:tr w:rsidR="008D5AB5" w:rsidRPr="000149C9" w:rsidTr="00F03354">
        <w:trPr>
          <w:trHeight w:val="620"/>
        </w:trPr>
        <w:tc>
          <w:tcPr>
            <w:tcW w:w="1733" w:type="dxa"/>
            <w:shd w:val="clear" w:color="auto" w:fill="DBE5F1" w:themeFill="accent1" w:themeFillTint="33"/>
          </w:tcPr>
          <w:p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Temat e konsultimit</w:t>
            </w:r>
          </w:p>
        </w:tc>
        <w:tc>
          <w:tcPr>
            <w:tcW w:w="3780" w:type="dxa"/>
            <w:shd w:val="clear" w:color="auto" w:fill="DBE5F1" w:themeFill="accent1" w:themeFillTint="33"/>
          </w:tcPr>
          <w:p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Komentet</w:t>
            </w:r>
          </w:p>
        </w:tc>
        <w:tc>
          <w:tcPr>
            <w:tcW w:w="1463" w:type="dxa"/>
            <w:shd w:val="clear" w:color="auto" w:fill="DBE5F1" w:themeFill="accent1" w:themeFillTint="33"/>
          </w:tcPr>
          <w:p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Kush ka komentuar</w:t>
            </w:r>
          </w:p>
        </w:tc>
        <w:tc>
          <w:tcPr>
            <w:tcW w:w="1350" w:type="dxa"/>
            <w:shd w:val="clear" w:color="auto" w:fill="DBE5F1" w:themeFill="accent1" w:themeFillTint="33"/>
          </w:tcPr>
          <w:p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Statusi i Komenteve</w:t>
            </w:r>
          </w:p>
          <w:p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 xml:space="preserve">- pranuar, pjesërisht pranuar, nuk është pranuar </w:t>
            </w:r>
          </w:p>
        </w:tc>
        <w:tc>
          <w:tcPr>
            <w:tcW w:w="6670" w:type="dxa"/>
            <w:shd w:val="clear" w:color="auto" w:fill="DBE5F1" w:themeFill="accent1" w:themeFillTint="33"/>
          </w:tcPr>
          <w:p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Komente (komentimi për  pranimin pjesërisht dhe mos pranimit te komenteve është i detyrueshëm)</w:t>
            </w:r>
          </w:p>
        </w:tc>
      </w:tr>
      <w:tr w:rsidR="006D3554" w:rsidRPr="000149C9" w:rsidTr="00F03354">
        <w:trPr>
          <w:trHeight w:val="620"/>
        </w:trPr>
        <w:tc>
          <w:tcPr>
            <w:tcW w:w="1733" w:type="dxa"/>
            <w:shd w:val="clear" w:color="auto" w:fill="DBE5F1" w:themeFill="accent1" w:themeFillTint="33"/>
          </w:tcPr>
          <w:p w:rsidR="006D3554" w:rsidRDefault="006D3554" w:rsidP="006C0A3A">
            <w:pPr>
              <w:rPr>
                <w:rFonts w:ascii="Times New Roman" w:hAnsi="Times New Roman" w:cs="Times New Roman"/>
                <w:b/>
                <w:bCs/>
                <w:sz w:val="20"/>
                <w:szCs w:val="20"/>
                <w:lang w:val="sq-AL"/>
              </w:rPr>
            </w:pPr>
            <w:r w:rsidRPr="001946C7">
              <w:rPr>
                <w:rFonts w:ascii="Times New Roman" w:hAnsi="Times New Roman" w:cs="Times New Roman"/>
                <w:b/>
                <w:bCs/>
                <w:sz w:val="20"/>
                <w:szCs w:val="20"/>
                <w:lang w:val="sq-AL"/>
              </w:rPr>
              <w:t xml:space="preserve">TEMA 1: </w:t>
            </w:r>
          </w:p>
          <w:p w:rsidR="006D3554" w:rsidRPr="001946C7" w:rsidRDefault="006D3554" w:rsidP="006C0A3A">
            <w:pPr>
              <w:rPr>
                <w:rFonts w:ascii="Times New Roman" w:hAnsi="Times New Roman" w:cs="Times New Roman"/>
                <w:sz w:val="20"/>
                <w:szCs w:val="20"/>
                <w:lang w:val="sq-AL"/>
              </w:rPr>
            </w:pPr>
            <w:proofErr w:type="spellStart"/>
            <w:r w:rsidRPr="004775F2">
              <w:rPr>
                <w:rFonts w:ascii="Times New Roman" w:hAnsi="Times New Roman"/>
                <w:b/>
                <w:bCs/>
              </w:rPr>
              <w:t>Rregullimi</w:t>
            </w:r>
            <w:proofErr w:type="spellEnd"/>
            <w:r w:rsidRPr="004775F2">
              <w:rPr>
                <w:rFonts w:ascii="Times New Roman" w:hAnsi="Times New Roman"/>
                <w:b/>
                <w:bCs/>
              </w:rPr>
              <w:t xml:space="preserve"> i </w:t>
            </w:r>
            <w:proofErr w:type="spellStart"/>
            <w:r w:rsidRPr="004775F2">
              <w:rPr>
                <w:rFonts w:ascii="Times New Roman" w:hAnsi="Times New Roman"/>
                <w:b/>
                <w:bCs/>
              </w:rPr>
              <w:t>politikës</w:t>
            </w:r>
            <w:proofErr w:type="spellEnd"/>
            <w:r w:rsidRPr="004775F2">
              <w:rPr>
                <w:rFonts w:ascii="Times New Roman" w:hAnsi="Times New Roman"/>
                <w:b/>
                <w:bCs/>
              </w:rPr>
              <w:t xml:space="preserve"> </w:t>
            </w:r>
            <w:proofErr w:type="spellStart"/>
            <w:r w:rsidRPr="004775F2">
              <w:rPr>
                <w:rFonts w:ascii="Times New Roman" w:hAnsi="Times New Roman"/>
                <w:b/>
                <w:bCs/>
              </w:rPr>
              <w:t>ndëshkimore</w:t>
            </w:r>
            <w:proofErr w:type="spellEnd"/>
            <w:r w:rsidRPr="004775F2">
              <w:rPr>
                <w:rFonts w:ascii="Times New Roman" w:hAnsi="Times New Roman"/>
                <w:b/>
                <w:bCs/>
              </w:rPr>
              <w:t>/</w:t>
            </w:r>
            <w:proofErr w:type="spellStart"/>
            <w:r w:rsidRPr="004775F2">
              <w:rPr>
                <w:rFonts w:ascii="Times New Roman" w:hAnsi="Times New Roman"/>
                <w:b/>
                <w:bCs/>
              </w:rPr>
              <w:t>metodologjia</w:t>
            </w:r>
            <w:proofErr w:type="spellEnd"/>
            <w:r w:rsidRPr="004775F2">
              <w:rPr>
                <w:rFonts w:ascii="Times New Roman" w:hAnsi="Times New Roman"/>
                <w:b/>
                <w:bCs/>
              </w:rPr>
              <w:t xml:space="preserve"> e </w:t>
            </w:r>
            <w:proofErr w:type="spellStart"/>
            <w:r w:rsidRPr="004775F2">
              <w:rPr>
                <w:rFonts w:ascii="Times New Roman" w:hAnsi="Times New Roman"/>
                <w:b/>
                <w:bCs/>
              </w:rPr>
              <w:t>ndëshkimit</w:t>
            </w:r>
            <w:proofErr w:type="spellEnd"/>
            <w:r w:rsidRPr="004775F2">
              <w:rPr>
                <w:rFonts w:ascii="Times New Roman" w:hAnsi="Times New Roman"/>
                <w:b/>
                <w:bCs/>
              </w:rPr>
              <w:t xml:space="preserve"> </w:t>
            </w:r>
            <w:proofErr w:type="spellStart"/>
            <w:r w:rsidRPr="004775F2">
              <w:rPr>
                <w:rFonts w:ascii="Times New Roman" w:hAnsi="Times New Roman"/>
                <w:b/>
                <w:bCs/>
              </w:rPr>
              <w:t>të</w:t>
            </w:r>
            <w:proofErr w:type="spellEnd"/>
            <w:r w:rsidRPr="004775F2">
              <w:rPr>
                <w:rFonts w:ascii="Times New Roman" w:hAnsi="Times New Roman"/>
                <w:b/>
                <w:bCs/>
              </w:rPr>
              <w:t xml:space="preserve"> </w:t>
            </w:r>
            <w:proofErr w:type="spellStart"/>
            <w:r w:rsidRPr="004775F2">
              <w:rPr>
                <w:rFonts w:ascii="Times New Roman" w:hAnsi="Times New Roman"/>
                <w:b/>
                <w:bCs/>
              </w:rPr>
              <w:t>zyrtarëve</w:t>
            </w:r>
            <w:proofErr w:type="spellEnd"/>
            <w:r w:rsidRPr="004775F2">
              <w:rPr>
                <w:rFonts w:ascii="Times New Roman" w:hAnsi="Times New Roman"/>
                <w:b/>
                <w:bCs/>
              </w:rPr>
              <w:t xml:space="preserve"> </w:t>
            </w:r>
            <w:proofErr w:type="spellStart"/>
            <w:r w:rsidRPr="004775F2">
              <w:rPr>
                <w:rFonts w:ascii="Times New Roman" w:hAnsi="Times New Roman"/>
                <w:b/>
                <w:bCs/>
              </w:rPr>
              <w:t>të</w:t>
            </w:r>
            <w:proofErr w:type="spellEnd"/>
            <w:r w:rsidRPr="004775F2">
              <w:rPr>
                <w:rFonts w:ascii="Times New Roman" w:hAnsi="Times New Roman"/>
                <w:b/>
                <w:bCs/>
              </w:rPr>
              <w:t xml:space="preserve"> </w:t>
            </w:r>
            <w:proofErr w:type="spellStart"/>
            <w:r w:rsidRPr="004775F2">
              <w:rPr>
                <w:rFonts w:ascii="Times New Roman" w:hAnsi="Times New Roman"/>
                <w:b/>
                <w:bCs/>
              </w:rPr>
              <w:t>lartë</w:t>
            </w:r>
            <w:proofErr w:type="spellEnd"/>
            <w:r w:rsidRPr="004775F2">
              <w:rPr>
                <w:rFonts w:ascii="Times New Roman" w:hAnsi="Times New Roman"/>
                <w:b/>
                <w:bCs/>
              </w:rPr>
              <w:t xml:space="preserve"> </w:t>
            </w:r>
            <w:proofErr w:type="spellStart"/>
            <w:r w:rsidRPr="004775F2">
              <w:rPr>
                <w:rFonts w:ascii="Times New Roman" w:hAnsi="Times New Roman"/>
                <w:b/>
                <w:bCs/>
              </w:rPr>
              <w:t>publik</w:t>
            </w:r>
            <w:proofErr w:type="spellEnd"/>
            <w:r>
              <w:rPr>
                <w:rFonts w:ascii="Times New Roman" w:hAnsi="Times New Roman" w:cs="Times New Roman"/>
                <w:sz w:val="20"/>
                <w:szCs w:val="20"/>
                <w:lang w:val="sq-AL"/>
              </w:rPr>
              <w:t xml:space="preserve"> </w:t>
            </w:r>
          </w:p>
        </w:tc>
        <w:tc>
          <w:tcPr>
            <w:tcW w:w="3780" w:type="dxa"/>
            <w:shd w:val="clear" w:color="auto" w:fill="DBE5F1" w:themeFill="accent1" w:themeFillTint="33"/>
          </w:tcPr>
          <w:p w:rsidR="006D3554" w:rsidRPr="00ED60D8" w:rsidRDefault="00BC6EB5" w:rsidP="006D3554">
            <w:pPr>
              <w:jc w:val="both"/>
              <w:rPr>
                <w:rFonts w:ascii="Times New Roman" w:hAnsi="Times New Roman" w:cs="Times New Roman"/>
                <w:bCs/>
                <w:sz w:val="20"/>
                <w:szCs w:val="20"/>
                <w:lang w:val="sq-AL"/>
              </w:rPr>
            </w:pPr>
            <w:r w:rsidRPr="00ED60D8">
              <w:rPr>
                <w:rFonts w:ascii="Times New Roman" w:hAnsi="Times New Roman" w:cs="Times New Roman"/>
                <w:bCs/>
                <w:sz w:val="20"/>
                <w:szCs w:val="20"/>
                <w:lang w:val="sq-AL"/>
              </w:rPr>
              <w:t>Për këtë temë nuk ka pasur komente</w:t>
            </w:r>
          </w:p>
        </w:tc>
        <w:tc>
          <w:tcPr>
            <w:tcW w:w="1463" w:type="dxa"/>
            <w:shd w:val="clear" w:color="auto" w:fill="DBE5F1" w:themeFill="accent1" w:themeFillTint="33"/>
          </w:tcPr>
          <w:p w:rsidR="006D3554" w:rsidRPr="00ED60D8" w:rsidRDefault="00BC6EB5" w:rsidP="006C0A3A">
            <w:pPr>
              <w:rPr>
                <w:rFonts w:ascii="Times New Roman" w:hAnsi="Times New Roman" w:cs="Times New Roman"/>
                <w:bCs/>
                <w:sz w:val="20"/>
                <w:szCs w:val="20"/>
                <w:lang w:val="sq-AL"/>
              </w:rPr>
            </w:pPr>
            <w:r w:rsidRPr="00ED60D8">
              <w:rPr>
                <w:rFonts w:ascii="Times New Roman" w:hAnsi="Times New Roman" w:cs="Times New Roman"/>
                <w:bCs/>
                <w:sz w:val="20"/>
                <w:szCs w:val="20"/>
                <w:lang w:val="sq-AL"/>
              </w:rPr>
              <w:t>/</w:t>
            </w:r>
          </w:p>
        </w:tc>
        <w:tc>
          <w:tcPr>
            <w:tcW w:w="1350" w:type="dxa"/>
            <w:shd w:val="clear" w:color="auto" w:fill="DBE5F1" w:themeFill="accent1" w:themeFillTint="33"/>
          </w:tcPr>
          <w:p w:rsidR="006D3554" w:rsidRPr="00ED60D8" w:rsidRDefault="00BC6EB5" w:rsidP="006C0A3A">
            <w:pPr>
              <w:rPr>
                <w:rFonts w:ascii="Times New Roman" w:hAnsi="Times New Roman" w:cs="Times New Roman"/>
                <w:bCs/>
                <w:sz w:val="20"/>
                <w:szCs w:val="20"/>
                <w:lang w:val="sq-AL"/>
              </w:rPr>
            </w:pPr>
            <w:r w:rsidRPr="00ED60D8">
              <w:rPr>
                <w:rFonts w:ascii="Times New Roman" w:hAnsi="Times New Roman" w:cs="Times New Roman"/>
                <w:bCs/>
                <w:sz w:val="20"/>
                <w:szCs w:val="20"/>
                <w:lang w:val="sq-AL"/>
              </w:rPr>
              <w:t>/</w:t>
            </w:r>
          </w:p>
        </w:tc>
        <w:tc>
          <w:tcPr>
            <w:tcW w:w="6670" w:type="dxa"/>
            <w:shd w:val="clear" w:color="auto" w:fill="DBE5F1" w:themeFill="accent1" w:themeFillTint="33"/>
          </w:tcPr>
          <w:p w:rsidR="006D3554" w:rsidRPr="00ED60D8" w:rsidRDefault="006D3554" w:rsidP="006C0A3A">
            <w:pPr>
              <w:rPr>
                <w:rFonts w:ascii="Times New Roman" w:hAnsi="Times New Roman" w:cs="Times New Roman"/>
                <w:bCs/>
                <w:sz w:val="20"/>
                <w:szCs w:val="20"/>
                <w:lang w:val="sq-AL"/>
              </w:rPr>
            </w:pPr>
          </w:p>
          <w:p w:rsidR="006D3554" w:rsidRPr="00ED60D8" w:rsidRDefault="006D3554" w:rsidP="006C0A3A">
            <w:pPr>
              <w:rPr>
                <w:rFonts w:ascii="Times New Roman" w:hAnsi="Times New Roman" w:cs="Times New Roman"/>
                <w:bCs/>
                <w:sz w:val="20"/>
                <w:szCs w:val="20"/>
                <w:lang w:val="sq-AL"/>
              </w:rPr>
            </w:pPr>
          </w:p>
          <w:p w:rsidR="006D3554" w:rsidRPr="00ED60D8" w:rsidRDefault="006D3554" w:rsidP="006C0A3A">
            <w:pPr>
              <w:rPr>
                <w:rFonts w:ascii="Times New Roman" w:hAnsi="Times New Roman" w:cs="Times New Roman"/>
                <w:bCs/>
                <w:sz w:val="20"/>
                <w:szCs w:val="20"/>
                <w:lang w:val="sq-AL"/>
              </w:rPr>
            </w:pPr>
          </w:p>
          <w:p w:rsidR="006D3554" w:rsidRPr="00ED60D8" w:rsidRDefault="006D3554" w:rsidP="006C0A3A">
            <w:pPr>
              <w:rPr>
                <w:rFonts w:ascii="Times New Roman" w:hAnsi="Times New Roman" w:cs="Times New Roman"/>
                <w:bCs/>
                <w:sz w:val="20"/>
                <w:szCs w:val="20"/>
                <w:lang w:val="sq-AL"/>
              </w:rPr>
            </w:pPr>
          </w:p>
          <w:p w:rsidR="006D3554" w:rsidRPr="00ED60D8" w:rsidRDefault="006D3554" w:rsidP="006C0A3A">
            <w:pPr>
              <w:jc w:val="both"/>
              <w:rPr>
                <w:rFonts w:ascii="Times New Roman" w:hAnsi="Times New Roman" w:cs="Times New Roman"/>
                <w:bCs/>
                <w:sz w:val="20"/>
                <w:szCs w:val="20"/>
                <w:lang w:val="sq-AL"/>
              </w:rPr>
            </w:pPr>
          </w:p>
          <w:p w:rsidR="006D3554" w:rsidRPr="00ED60D8" w:rsidRDefault="006D3554" w:rsidP="006C0A3A">
            <w:pPr>
              <w:rPr>
                <w:rFonts w:ascii="Times New Roman" w:hAnsi="Times New Roman" w:cs="Times New Roman"/>
                <w:bCs/>
                <w:sz w:val="20"/>
                <w:szCs w:val="20"/>
                <w:lang w:val="sq-AL"/>
              </w:rPr>
            </w:pPr>
          </w:p>
        </w:tc>
      </w:tr>
      <w:tr w:rsidR="008D5AB5" w:rsidRPr="000149C9" w:rsidTr="00F03354">
        <w:trPr>
          <w:trHeight w:val="1062"/>
        </w:trPr>
        <w:tc>
          <w:tcPr>
            <w:tcW w:w="1733" w:type="dxa"/>
            <w:vMerge w:val="restart"/>
            <w:tcBorders>
              <w:top w:val="single" w:sz="4" w:space="0" w:color="auto"/>
            </w:tcBorders>
            <w:shd w:val="clear" w:color="auto" w:fill="DBE5F1" w:themeFill="accent1" w:themeFillTint="33"/>
          </w:tcPr>
          <w:p w:rsidR="00466AE1" w:rsidRPr="00CE0E58" w:rsidRDefault="00466AE1" w:rsidP="00466AE1">
            <w:pPr>
              <w:rPr>
                <w:rFonts w:ascii="Times New Roman" w:hAnsi="Times New Roman" w:cs="Times New Roman"/>
                <w:b/>
                <w:sz w:val="20"/>
                <w:szCs w:val="20"/>
                <w:lang w:val="sq-AL"/>
              </w:rPr>
            </w:pPr>
            <w:r w:rsidRPr="00CE0E58">
              <w:rPr>
                <w:rFonts w:ascii="Times New Roman" w:hAnsi="Times New Roman" w:cs="Times New Roman"/>
                <w:b/>
                <w:sz w:val="20"/>
                <w:szCs w:val="20"/>
                <w:lang w:val="sq-AL"/>
              </w:rPr>
              <w:t>Tema 2 :</w:t>
            </w:r>
          </w:p>
          <w:p w:rsidR="00187BF0" w:rsidRPr="001946C7" w:rsidRDefault="00A95FCB" w:rsidP="00466AE1">
            <w:pPr>
              <w:rPr>
                <w:rFonts w:ascii="Times New Roman" w:hAnsi="Times New Roman" w:cs="Times New Roman"/>
                <w:b/>
                <w:bCs/>
                <w:sz w:val="20"/>
                <w:szCs w:val="20"/>
                <w:lang w:val="sq-AL"/>
              </w:rPr>
            </w:pPr>
            <w:proofErr w:type="spellStart"/>
            <w:r w:rsidRPr="004775F2">
              <w:rPr>
                <w:rFonts w:ascii="Times New Roman" w:hAnsi="Times New Roman"/>
                <w:b/>
                <w:bCs/>
              </w:rPr>
              <w:t>Verifikimi</w:t>
            </w:r>
            <w:proofErr w:type="spellEnd"/>
            <w:r w:rsidRPr="004775F2">
              <w:rPr>
                <w:rFonts w:ascii="Times New Roman" w:hAnsi="Times New Roman"/>
                <w:b/>
                <w:bCs/>
              </w:rPr>
              <w:t xml:space="preserve"> i </w:t>
            </w:r>
            <w:proofErr w:type="spellStart"/>
            <w:r w:rsidRPr="004775F2">
              <w:rPr>
                <w:rFonts w:ascii="Times New Roman" w:hAnsi="Times New Roman"/>
                <w:b/>
                <w:bCs/>
              </w:rPr>
              <w:t>preardhjes</w:t>
            </w:r>
            <w:proofErr w:type="spellEnd"/>
            <w:r w:rsidRPr="004775F2">
              <w:rPr>
                <w:rFonts w:ascii="Times New Roman" w:hAnsi="Times New Roman"/>
                <w:b/>
                <w:bCs/>
              </w:rPr>
              <w:t xml:space="preserve"> </w:t>
            </w:r>
            <w:proofErr w:type="spellStart"/>
            <w:r w:rsidRPr="004775F2">
              <w:rPr>
                <w:rFonts w:ascii="Times New Roman" w:hAnsi="Times New Roman"/>
                <w:b/>
                <w:bCs/>
              </w:rPr>
              <w:t>së</w:t>
            </w:r>
            <w:proofErr w:type="spellEnd"/>
            <w:r w:rsidRPr="004775F2">
              <w:rPr>
                <w:rFonts w:ascii="Times New Roman" w:hAnsi="Times New Roman"/>
                <w:b/>
                <w:bCs/>
              </w:rPr>
              <w:t xml:space="preserve"> </w:t>
            </w:r>
            <w:proofErr w:type="spellStart"/>
            <w:r w:rsidRPr="004775F2">
              <w:rPr>
                <w:rFonts w:ascii="Times New Roman" w:hAnsi="Times New Roman"/>
                <w:b/>
                <w:bCs/>
              </w:rPr>
              <w:t>pasurisë</w:t>
            </w:r>
            <w:proofErr w:type="spellEnd"/>
          </w:p>
        </w:tc>
        <w:tc>
          <w:tcPr>
            <w:tcW w:w="3780" w:type="dxa"/>
            <w:shd w:val="clear" w:color="auto" w:fill="DBE5F1" w:themeFill="accent1" w:themeFillTint="33"/>
          </w:tcPr>
          <w:p w:rsidR="00187BF0" w:rsidRPr="001946C7" w:rsidRDefault="00C31CAD" w:rsidP="00C31CAD">
            <w:pPr>
              <w:jc w:val="both"/>
              <w:rPr>
                <w:rFonts w:ascii="Times New Roman" w:hAnsi="Times New Roman" w:cs="Times New Roman"/>
                <w:bCs/>
                <w:sz w:val="20"/>
                <w:szCs w:val="20"/>
                <w:lang w:val="sq-AL"/>
              </w:rPr>
            </w:pPr>
            <w:r w:rsidRPr="00ED60D8">
              <w:rPr>
                <w:rFonts w:ascii="Times New Roman" w:hAnsi="Times New Roman" w:cs="Times New Roman"/>
                <w:bCs/>
                <w:sz w:val="20"/>
                <w:szCs w:val="20"/>
                <w:lang w:val="sq-AL"/>
              </w:rPr>
              <w:t>GSJP ka theksuar se nuk ka mekanizëm apo udhëzues që i mundëson Agjencisë që me saktësi të përcaktojë vlerën monetare të pronave të raportuara</w:t>
            </w:r>
            <w:r w:rsidR="00A25D68" w:rsidRPr="00ED60D8">
              <w:rPr>
                <w:rFonts w:ascii="Times New Roman" w:hAnsi="Times New Roman" w:cs="Times New Roman"/>
                <w:bCs/>
                <w:sz w:val="20"/>
                <w:szCs w:val="20"/>
                <w:lang w:val="sq-AL"/>
              </w:rPr>
              <w:t xml:space="preserve">, </w:t>
            </w:r>
            <w:r w:rsidR="00B2319D" w:rsidRPr="00ED60D8">
              <w:rPr>
                <w:rFonts w:ascii="Times New Roman" w:hAnsi="Times New Roman" w:cs="Times New Roman"/>
                <w:bCs/>
                <w:sz w:val="20"/>
                <w:szCs w:val="20"/>
                <w:lang w:val="sq-AL"/>
              </w:rPr>
              <w:t>nevojën</w:t>
            </w:r>
            <w:r w:rsidR="00A25D68" w:rsidRPr="00ED60D8">
              <w:rPr>
                <w:rFonts w:ascii="Times New Roman" w:hAnsi="Times New Roman" w:cs="Times New Roman"/>
                <w:bCs/>
                <w:sz w:val="20"/>
                <w:szCs w:val="20"/>
                <w:lang w:val="sq-AL"/>
              </w:rPr>
              <w:t xml:space="preserve"> për një mostër më përfaqësues të deklarimeve të pasurisë së justifikuar</w:t>
            </w:r>
          </w:p>
        </w:tc>
        <w:tc>
          <w:tcPr>
            <w:tcW w:w="1463" w:type="dxa"/>
            <w:shd w:val="clear" w:color="auto" w:fill="DBE5F1" w:themeFill="accent1" w:themeFillTint="33"/>
          </w:tcPr>
          <w:p w:rsidR="00187BF0" w:rsidRPr="001946C7" w:rsidRDefault="00C31CAD" w:rsidP="00854570">
            <w:pPr>
              <w:rPr>
                <w:rFonts w:ascii="Times New Roman" w:hAnsi="Times New Roman" w:cs="Times New Roman"/>
                <w:bCs/>
                <w:sz w:val="20"/>
                <w:szCs w:val="20"/>
                <w:lang w:val="sq-AL"/>
              </w:rPr>
            </w:pPr>
            <w:r>
              <w:rPr>
                <w:rFonts w:ascii="Times New Roman" w:hAnsi="Times New Roman" w:cs="Times New Roman"/>
                <w:bCs/>
                <w:sz w:val="20"/>
                <w:szCs w:val="20"/>
                <w:lang w:val="sq-AL"/>
              </w:rPr>
              <w:t>GSJP</w:t>
            </w:r>
          </w:p>
        </w:tc>
        <w:tc>
          <w:tcPr>
            <w:tcW w:w="1350" w:type="dxa"/>
            <w:shd w:val="clear" w:color="auto" w:fill="DBE5F1" w:themeFill="accent1" w:themeFillTint="33"/>
          </w:tcPr>
          <w:p w:rsidR="00187BF0" w:rsidRPr="001946C7" w:rsidRDefault="00693E38" w:rsidP="008D5AB5">
            <w:pPr>
              <w:rPr>
                <w:rFonts w:ascii="Times New Roman" w:hAnsi="Times New Roman" w:cs="Times New Roman"/>
                <w:bCs/>
                <w:sz w:val="20"/>
                <w:szCs w:val="20"/>
                <w:lang w:val="sq-AL"/>
              </w:rPr>
            </w:pPr>
            <w:r w:rsidRPr="00ED60D8">
              <w:rPr>
                <w:rFonts w:ascii="Times New Roman" w:hAnsi="Times New Roman" w:cs="Times New Roman"/>
                <w:bCs/>
                <w:sz w:val="20"/>
                <w:szCs w:val="20"/>
                <w:lang w:val="sq-AL"/>
              </w:rPr>
              <w:t>Është pranuar</w:t>
            </w:r>
          </w:p>
        </w:tc>
        <w:tc>
          <w:tcPr>
            <w:tcW w:w="6670" w:type="dxa"/>
            <w:shd w:val="clear" w:color="auto" w:fill="DBE5F1" w:themeFill="accent1" w:themeFillTint="33"/>
          </w:tcPr>
          <w:p w:rsidR="00187BF0" w:rsidRPr="001946C7" w:rsidRDefault="00693E38" w:rsidP="008D5AB5">
            <w:pPr>
              <w:jc w:val="both"/>
              <w:rPr>
                <w:rFonts w:ascii="Times New Roman" w:hAnsi="Times New Roman" w:cs="Times New Roman"/>
                <w:bCs/>
                <w:sz w:val="20"/>
                <w:szCs w:val="20"/>
                <w:lang w:val="sq-AL"/>
              </w:rPr>
            </w:pPr>
            <w:r>
              <w:rPr>
                <w:rFonts w:ascii="Times New Roman" w:hAnsi="Times New Roman" w:cs="Times New Roman"/>
                <w:bCs/>
                <w:sz w:val="20"/>
                <w:szCs w:val="20"/>
                <w:lang w:val="sq-AL"/>
              </w:rPr>
              <w:t>Ky koment nga GSJP është pranuar nga grupi punues. Sidoqoftë, nuk është inkorporuar. Komenti në fjalë është shumë i mirë dhe vlen për ndryshimin dhe plotësimin e të dyja ligjeve. Pjesa e parë e komentit ka të bëjë me ndryshimin dhe plotësimin e ligjit për Agjencinë Kundër Korrupsionit, dhe kjo do të përfshihet në draftin e parë të projekt-ligjit për Agjencinë. Ndërsa, gjithsesi dhe çështja e justifikimin të pasurisë së deklaruar do të përfshihet në projekt-ligjin për deklarimin e pasurisë. Koncept dokumenti është më tepër i natyrës së përgjithshme, dhe komentin e tillë do ta inkorporojmë në draft ligjet, për të cilat GSJP do të ketë mundësinë të komentoj.</w:t>
            </w:r>
          </w:p>
        </w:tc>
      </w:tr>
      <w:tr w:rsidR="00E92DB2" w:rsidRPr="000149C9" w:rsidTr="00F03354">
        <w:trPr>
          <w:trHeight w:val="1062"/>
        </w:trPr>
        <w:tc>
          <w:tcPr>
            <w:tcW w:w="1733" w:type="dxa"/>
            <w:vMerge/>
            <w:tcBorders>
              <w:top w:val="single" w:sz="4" w:space="0" w:color="auto"/>
            </w:tcBorders>
            <w:shd w:val="clear" w:color="auto" w:fill="DBE5F1" w:themeFill="accent1" w:themeFillTint="33"/>
          </w:tcPr>
          <w:p w:rsidR="00E92DB2" w:rsidRPr="00CE0E58" w:rsidRDefault="00E92DB2" w:rsidP="00466AE1">
            <w:pPr>
              <w:rPr>
                <w:rFonts w:ascii="Times New Roman" w:hAnsi="Times New Roman" w:cs="Times New Roman"/>
                <w:b/>
                <w:sz w:val="20"/>
                <w:szCs w:val="20"/>
                <w:lang w:val="sq-AL"/>
              </w:rPr>
            </w:pPr>
          </w:p>
        </w:tc>
        <w:tc>
          <w:tcPr>
            <w:tcW w:w="3780" w:type="dxa"/>
            <w:shd w:val="clear" w:color="auto" w:fill="DBE5F1" w:themeFill="accent1" w:themeFillTint="33"/>
          </w:tcPr>
          <w:p w:rsidR="00E92DB2" w:rsidRPr="001946C7" w:rsidRDefault="00E92DB2" w:rsidP="0015694D">
            <w:pPr>
              <w:jc w:val="both"/>
              <w:rPr>
                <w:rFonts w:ascii="Times New Roman" w:hAnsi="Times New Roman" w:cs="Times New Roman"/>
                <w:bCs/>
                <w:sz w:val="20"/>
                <w:szCs w:val="20"/>
                <w:lang w:val="sq-AL"/>
              </w:rPr>
            </w:pPr>
          </w:p>
        </w:tc>
        <w:tc>
          <w:tcPr>
            <w:tcW w:w="1463" w:type="dxa"/>
            <w:shd w:val="clear" w:color="auto" w:fill="DBE5F1" w:themeFill="accent1" w:themeFillTint="33"/>
          </w:tcPr>
          <w:p w:rsidR="00E92DB2" w:rsidRPr="001946C7" w:rsidRDefault="00E92DB2" w:rsidP="00854570">
            <w:pPr>
              <w:rPr>
                <w:rFonts w:ascii="Times New Roman" w:hAnsi="Times New Roman" w:cs="Times New Roman"/>
                <w:bCs/>
                <w:sz w:val="20"/>
                <w:szCs w:val="20"/>
                <w:lang w:val="sq-AL"/>
              </w:rPr>
            </w:pPr>
          </w:p>
        </w:tc>
        <w:tc>
          <w:tcPr>
            <w:tcW w:w="1350" w:type="dxa"/>
            <w:shd w:val="clear" w:color="auto" w:fill="DBE5F1" w:themeFill="accent1" w:themeFillTint="33"/>
          </w:tcPr>
          <w:p w:rsidR="00E92DB2" w:rsidRDefault="00E92DB2" w:rsidP="008D5AB5">
            <w:pPr>
              <w:rPr>
                <w:rFonts w:ascii="Times New Roman" w:hAnsi="Times New Roman" w:cs="Times New Roman"/>
                <w:bCs/>
                <w:sz w:val="20"/>
                <w:szCs w:val="20"/>
                <w:lang w:val="sq-AL"/>
              </w:rPr>
            </w:pPr>
          </w:p>
        </w:tc>
        <w:tc>
          <w:tcPr>
            <w:tcW w:w="6670" w:type="dxa"/>
            <w:shd w:val="clear" w:color="auto" w:fill="DBE5F1" w:themeFill="accent1" w:themeFillTint="33"/>
          </w:tcPr>
          <w:p w:rsidR="00E92DB2" w:rsidRDefault="00E92DB2" w:rsidP="008D5AB5">
            <w:pPr>
              <w:jc w:val="both"/>
              <w:rPr>
                <w:rFonts w:ascii="Times New Roman" w:hAnsi="Times New Roman" w:cs="Times New Roman"/>
                <w:bCs/>
                <w:sz w:val="20"/>
                <w:szCs w:val="20"/>
                <w:lang w:val="sq-AL"/>
              </w:rPr>
            </w:pPr>
          </w:p>
        </w:tc>
      </w:tr>
      <w:tr w:rsidR="00211C40" w:rsidRPr="000149C9" w:rsidTr="006D3554">
        <w:trPr>
          <w:gridAfter w:val="4"/>
          <w:wAfter w:w="13263" w:type="dxa"/>
          <w:trHeight w:val="309"/>
        </w:trPr>
        <w:tc>
          <w:tcPr>
            <w:tcW w:w="1733" w:type="dxa"/>
            <w:vMerge/>
            <w:shd w:val="clear" w:color="auto" w:fill="DBE5F1" w:themeFill="accent1" w:themeFillTint="33"/>
          </w:tcPr>
          <w:p w:rsidR="00211C40" w:rsidRPr="001946C7" w:rsidRDefault="00211C40" w:rsidP="008D5AB5">
            <w:pPr>
              <w:rPr>
                <w:rFonts w:ascii="Times New Roman" w:hAnsi="Times New Roman" w:cs="Times New Roman"/>
                <w:b/>
                <w:bCs/>
                <w:sz w:val="20"/>
                <w:szCs w:val="20"/>
                <w:lang w:val="sq-AL"/>
              </w:rPr>
            </w:pPr>
          </w:p>
        </w:tc>
      </w:tr>
      <w:tr w:rsidR="006D3554" w:rsidRPr="000149C9" w:rsidTr="00C0277A">
        <w:trPr>
          <w:trHeight w:val="3495"/>
        </w:trPr>
        <w:tc>
          <w:tcPr>
            <w:tcW w:w="1733" w:type="dxa"/>
            <w:tcBorders>
              <w:top w:val="single" w:sz="4" w:space="0" w:color="auto"/>
              <w:bottom w:val="single" w:sz="4" w:space="0" w:color="auto"/>
            </w:tcBorders>
            <w:shd w:val="clear" w:color="auto" w:fill="DBE5F1" w:themeFill="accent1" w:themeFillTint="33"/>
          </w:tcPr>
          <w:p w:rsidR="006D3554" w:rsidRDefault="006D3554" w:rsidP="008D5AB5">
            <w:pPr>
              <w:rPr>
                <w:rFonts w:ascii="Times New Roman" w:hAnsi="Times New Roman" w:cs="Times New Roman"/>
                <w:b/>
                <w:bCs/>
                <w:sz w:val="20"/>
                <w:szCs w:val="20"/>
                <w:lang w:val="sq-AL"/>
              </w:rPr>
            </w:pPr>
            <w:r>
              <w:rPr>
                <w:rFonts w:ascii="Times New Roman" w:hAnsi="Times New Roman" w:cs="Times New Roman"/>
                <w:b/>
                <w:bCs/>
                <w:sz w:val="20"/>
                <w:szCs w:val="20"/>
                <w:lang w:val="sq-AL"/>
              </w:rPr>
              <w:t>TEMA 3</w:t>
            </w:r>
            <w:r w:rsidRPr="001946C7">
              <w:rPr>
                <w:rFonts w:ascii="Times New Roman" w:hAnsi="Times New Roman" w:cs="Times New Roman"/>
                <w:b/>
                <w:bCs/>
                <w:sz w:val="20"/>
                <w:szCs w:val="20"/>
                <w:lang w:val="sq-AL"/>
              </w:rPr>
              <w:t xml:space="preserve">: </w:t>
            </w:r>
          </w:p>
          <w:p w:rsidR="006D3554" w:rsidRDefault="006D3554" w:rsidP="008D5AB5">
            <w:pPr>
              <w:rPr>
                <w:rFonts w:ascii="Times New Roman" w:hAnsi="Times New Roman" w:cs="Times New Roman"/>
                <w:b/>
                <w:bCs/>
                <w:sz w:val="20"/>
                <w:szCs w:val="20"/>
                <w:lang w:val="sq-AL"/>
              </w:rPr>
            </w:pPr>
            <w:proofErr w:type="spellStart"/>
            <w:r w:rsidRPr="004775F2">
              <w:rPr>
                <w:rFonts w:ascii="Times New Roman" w:hAnsi="Times New Roman"/>
                <w:b/>
                <w:bCs/>
              </w:rPr>
              <w:t>Rishikimi</w:t>
            </w:r>
            <w:proofErr w:type="spellEnd"/>
            <w:r w:rsidRPr="004775F2">
              <w:rPr>
                <w:rFonts w:ascii="Times New Roman" w:hAnsi="Times New Roman"/>
                <w:b/>
                <w:bCs/>
              </w:rPr>
              <w:t xml:space="preserve"> i </w:t>
            </w:r>
            <w:proofErr w:type="spellStart"/>
            <w:r w:rsidRPr="004775F2">
              <w:rPr>
                <w:rFonts w:ascii="Times New Roman" w:hAnsi="Times New Roman"/>
                <w:b/>
                <w:bCs/>
              </w:rPr>
              <w:t>kompetencave</w:t>
            </w:r>
            <w:proofErr w:type="spellEnd"/>
            <w:r w:rsidRPr="004775F2">
              <w:rPr>
                <w:rFonts w:ascii="Times New Roman" w:hAnsi="Times New Roman"/>
                <w:b/>
                <w:bCs/>
              </w:rPr>
              <w:t xml:space="preserve"> </w:t>
            </w:r>
            <w:proofErr w:type="spellStart"/>
            <w:r w:rsidRPr="004775F2">
              <w:rPr>
                <w:rFonts w:ascii="Times New Roman" w:hAnsi="Times New Roman"/>
                <w:b/>
                <w:bCs/>
              </w:rPr>
              <w:t>te</w:t>
            </w:r>
            <w:proofErr w:type="spellEnd"/>
            <w:r w:rsidRPr="004775F2">
              <w:rPr>
                <w:rFonts w:ascii="Times New Roman" w:hAnsi="Times New Roman"/>
                <w:b/>
                <w:bCs/>
              </w:rPr>
              <w:t xml:space="preserve"> </w:t>
            </w:r>
            <w:proofErr w:type="spellStart"/>
            <w:r w:rsidRPr="004775F2">
              <w:rPr>
                <w:rFonts w:ascii="Times New Roman" w:hAnsi="Times New Roman"/>
                <w:b/>
                <w:bCs/>
              </w:rPr>
              <w:t>Agjencise</w:t>
            </w:r>
            <w:proofErr w:type="spellEnd"/>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Default="006D3554" w:rsidP="008D5AB5">
            <w:pPr>
              <w:rPr>
                <w:rFonts w:ascii="Times New Roman" w:hAnsi="Times New Roman" w:cs="Times New Roman"/>
                <w:b/>
                <w:bCs/>
                <w:sz w:val="20"/>
                <w:szCs w:val="20"/>
                <w:lang w:val="sq-AL"/>
              </w:rPr>
            </w:pPr>
          </w:p>
          <w:p w:rsidR="006D3554" w:rsidRPr="001946C7" w:rsidRDefault="006D3554" w:rsidP="008D5AB5">
            <w:pPr>
              <w:rPr>
                <w:rFonts w:ascii="Times New Roman" w:hAnsi="Times New Roman" w:cs="Times New Roman"/>
                <w:b/>
                <w:bCs/>
                <w:sz w:val="20"/>
                <w:szCs w:val="20"/>
                <w:lang w:val="sq-AL"/>
              </w:rPr>
            </w:pPr>
          </w:p>
        </w:tc>
        <w:tc>
          <w:tcPr>
            <w:tcW w:w="3780" w:type="dxa"/>
            <w:shd w:val="clear" w:color="auto" w:fill="DBE5F1" w:themeFill="accent1" w:themeFillTint="33"/>
          </w:tcPr>
          <w:p w:rsidR="006D3554" w:rsidRPr="00463DFC" w:rsidRDefault="006D3554" w:rsidP="00ED60D8">
            <w:pPr>
              <w:rPr>
                <w:rFonts w:ascii="Times New Roman" w:hAnsi="Times New Roman" w:cs="Times New Roman"/>
                <w:bCs/>
                <w:sz w:val="20"/>
                <w:szCs w:val="20"/>
                <w:lang w:val="sq-AL"/>
              </w:rPr>
            </w:pPr>
            <w:r w:rsidRPr="00463DFC">
              <w:rPr>
                <w:rFonts w:ascii="Times New Roman" w:hAnsi="Times New Roman" w:cs="Times New Roman"/>
                <w:bCs/>
                <w:sz w:val="20"/>
                <w:szCs w:val="20"/>
                <w:lang w:val="sq-AL"/>
              </w:rPr>
              <w:t xml:space="preserve">Në komentet e OSBE-së është theksuar se ndryshimet e plotësimet e  ligjeve përkatëse nuk janë reflektuar/përmendur në koncept dokument, në mënyrë që Agjencisë Kundër Korrupsionit t’i jepen kompetenca shtesë, </w:t>
            </w:r>
            <w:proofErr w:type="spellStart"/>
            <w:r w:rsidRPr="00463DFC">
              <w:rPr>
                <w:rFonts w:ascii="Times New Roman" w:hAnsi="Times New Roman" w:cs="Times New Roman"/>
                <w:bCs/>
                <w:sz w:val="20"/>
                <w:szCs w:val="20"/>
                <w:lang w:val="sq-AL"/>
              </w:rPr>
              <w:t>poashtu</w:t>
            </w:r>
            <w:proofErr w:type="spellEnd"/>
            <w:r w:rsidRPr="00463DFC">
              <w:rPr>
                <w:rFonts w:ascii="Times New Roman" w:hAnsi="Times New Roman" w:cs="Times New Roman"/>
                <w:bCs/>
                <w:sz w:val="20"/>
                <w:szCs w:val="20"/>
                <w:lang w:val="sq-AL"/>
              </w:rPr>
              <w:t xml:space="preserve"> kane theksuar se nuk </w:t>
            </w:r>
            <w:r w:rsidR="00053AF1" w:rsidRPr="00463DFC">
              <w:rPr>
                <w:rFonts w:ascii="Times New Roman" w:hAnsi="Times New Roman" w:cs="Times New Roman"/>
                <w:bCs/>
                <w:sz w:val="20"/>
                <w:szCs w:val="20"/>
                <w:lang w:val="sq-AL"/>
              </w:rPr>
              <w:t>është</w:t>
            </w:r>
            <w:r w:rsidRPr="00463DFC">
              <w:rPr>
                <w:rFonts w:ascii="Times New Roman" w:hAnsi="Times New Roman" w:cs="Times New Roman"/>
                <w:bCs/>
                <w:sz w:val="20"/>
                <w:szCs w:val="20"/>
                <w:lang w:val="sq-AL"/>
              </w:rPr>
              <w:t xml:space="preserve"> bere vlerësimi i ndikimit financiar dhe se koncept dokumenti nuk i referohet ligjeve që duhet të ndryshohen e plotësohen në rast se përkrahen propozimet për zgjerimin e kompetencave të Agjencisë Kundër Korrupsionit</w:t>
            </w:r>
          </w:p>
        </w:tc>
        <w:tc>
          <w:tcPr>
            <w:tcW w:w="1463" w:type="dxa"/>
            <w:shd w:val="clear" w:color="auto" w:fill="DBE5F1" w:themeFill="accent1" w:themeFillTint="33"/>
          </w:tcPr>
          <w:p w:rsidR="006D3554" w:rsidRPr="00463DFC" w:rsidRDefault="006D3554" w:rsidP="00ED60D8">
            <w:pPr>
              <w:rPr>
                <w:rFonts w:ascii="Times New Roman" w:hAnsi="Times New Roman" w:cs="Times New Roman"/>
                <w:bCs/>
                <w:sz w:val="20"/>
                <w:szCs w:val="20"/>
                <w:lang w:val="sq-AL"/>
              </w:rPr>
            </w:pPr>
            <w:r w:rsidRPr="00463DFC">
              <w:rPr>
                <w:rFonts w:ascii="Times New Roman" w:hAnsi="Times New Roman" w:cs="Times New Roman"/>
                <w:bCs/>
                <w:sz w:val="20"/>
                <w:szCs w:val="20"/>
                <w:lang w:val="sq-AL"/>
              </w:rPr>
              <w:t>OSBE-ja</w:t>
            </w:r>
          </w:p>
        </w:tc>
        <w:tc>
          <w:tcPr>
            <w:tcW w:w="1350" w:type="dxa"/>
            <w:shd w:val="clear" w:color="auto" w:fill="DBE5F1" w:themeFill="accent1" w:themeFillTint="33"/>
          </w:tcPr>
          <w:p w:rsidR="006D3554" w:rsidRPr="00463DFC" w:rsidRDefault="00C0277A" w:rsidP="00ED60D8">
            <w:pPr>
              <w:rPr>
                <w:rFonts w:ascii="Times New Roman" w:hAnsi="Times New Roman" w:cs="Times New Roman"/>
                <w:bCs/>
                <w:sz w:val="20"/>
                <w:szCs w:val="20"/>
                <w:lang w:val="sq-AL"/>
              </w:rPr>
            </w:pPr>
            <w:r w:rsidRPr="00463DFC">
              <w:rPr>
                <w:rFonts w:ascii="Book Antiqua" w:hAnsi="Book Antiqua" w:cs="Times New Roman"/>
                <w:bCs/>
                <w:sz w:val="20"/>
                <w:szCs w:val="20"/>
                <w:lang w:val="sq-AL"/>
              </w:rPr>
              <w:t xml:space="preserve">Është pranuar </w:t>
            </w:r>
            <w:r w:rsidR="00BA4B16" w:rsidRPr="00463DFC">
              <w:rPr>
                <w:rFonts w:ascii="Book Antiqua" w:hAnsi="Book Antiqua" w:cs="Times New Roman"/>
                <w:bCs/>
                <w:sz w:val="20"/>
                <w:szCs w:val="20"/>
                <w:lang w:val="sq-AL"/>
              </w:rPr>
              <w:t>pjesërisht</w:t>
            </w:r>
          </w:p>
        </w:tc>
        <w:tc>
          <w:tcPr>
            <w:tcW w:w="6670" w:type="dxa"/>
            <w:shd w:val="clear" w:color="auto" w:fill="DBE5F1" w:themeFill="accent1" w:themeFillTint="33"/>
          </w:tcPr>
          <w:p w:rsidR="00C0277A" w:rsidRPr="00463DFC" w:rsidRDefault="00C0277A" w:rsidP="00C0277A">
            <w:pPr>
              <w:jc w:val="both"/>
              <w:rPr>
                <w:rFonts w:ascii="Book Antiqua" w:hAnsi="Book Antiqua"/>
                <w:sz w:val="20"/>
                <w:szCs w:val="20"/>
              </w:rPr>
            </w:pPr>
            <w:proofErr w:type="spellStart"/>
            <w:r w:rsidRPr="00463DFC">
              <w:rPr>
                <w:rFonts w:ascii="Book Antiqua" w:hAnsi="Book Antiqua"/>
                <w:sz w:val="20"/>
                <w:szCs w:val="20"/>
              </w:rPr>
              <w:t>Teksti</w:t>
            </w:r>
            <w:proofErr w:type="spellEnd"/>
            <w:r w:rsidRPr="00463DFC">
              <w:rPr>
                <w:rFonts w:ascii="Book Antiqua" w:hAnsi="Book Antiqua"/>
                <w:sz w:val="20"/>
                <w:szCs w:val="20"/>
              </w:rPr>
              <w:t xml:space="preserve"> i </w:t>
            </w:r>
            <w:proofErr w:type="spellStart"/>
            <w:r w:rsidRPr="00463DFC">
              <w:rPr>
                <w:rFonts w:ascii="Book Antiqua" w:hAnsi="Book Antiqua"/>
                <w:sz w:val="20"/>
                <w:szCs w:val="20"/>
              </w:rPr>
              <w:t>koncept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dokumentit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është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reviduar</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në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disa</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pjesë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caktuara</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Sidoqofte</w:t>
            </w:r>
            <w:proofErr w:type="spellEnd"/>
            <w:r w:rsidRPr="00463DFC">
              <w:rPr>
                <w:rFonts w:ascii="Book Antiqua" w:hAnsi="Book Antiqua"/>
                <w:sz w:val="20"/>
                <w:szCs w:val="20"/>
              </w:rPr>
              <w:t xml:space="preserve"> ne </w:t>
            </w:r>
            <w:proofErr w:type="spellStart"/>
            <w:r w:rsidRPr="00463DFC">
              <w:rPr>
                <w:rFonts w:ascii="Book Antiqua" w:hAnsi="Book Antiqua"/>
                <w:sz w:val="20"/>
                <w:szCs w:val="20"/>
              </w:rPr>
              <w:t>menyre</w:t>
            </w:r>
            <w:proofErr w:type="spellEnd"/>
            <w:r w:rsidRPr="00463DFC">
              <w:rPr>
                <w:rFonts w:ascii="Book Antiqua" w:hAnsi="Book Antiqua"/>
                <w:sz w:val="20"/>
                <w:szCs w:val="20"/>
              </w:rPr>
              <w:t xml:space="preserve"> me </w:t>
            </w:r>
            <w:proofErr w:type="spellStart"/>
            <w:r w:rsidRPr="00463DFC">
              <w:rPr>
                <w:rFonts w:ascii="Book Antiqua" w:hAnsi="Book Antiqua"/>
                <w:sz w:val="20"/>
                <w:szCs w:val="20"/>
              </w:rPr>
              <w:t>specifike</w:t>
            </w:r>
            <w:proofErr w:type="spellEnd"/>
            <w:r w:rsidRPr="00463DFC">
              <w:rPr>
                <w:rFonts w:ascii="Book Antiqua" w:hAnsi="Book Antiqua"/>
                <w:sz w:val="20"/>
                <w:szCs w:val="20"/>
              </w:rPr>
              <w:t xml:space="preserve"> do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rregullohet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çështja</w:t>
            </w:r>
            <w:proofErr w:type="spellEnd"/>
            <w:r w:rsidRPr="00463DFC">
              <w:rPr>
                <w:rFonts w:ascii="Book Antiqua" w:hAnsi="Book Antiqua"/>
                <w:sz w:val="20"/>
                <w:szCs w:val="20"/>
              </w:rPr>
              <w:t xml:space="preserve"> e </w:t>
            </w:r>
            <w:proofErr w:type="spellStart"/>
            <w:r w:rsidRPr="00463DFC">
              <w:rPr>
                <w:rFonts w:ascii="Book Antiqua" w:hAnsi="Book Antiqua"/>
                <w:sz w:val="20"/>
                <w:szCs w:val="20"/>
              </w:rPr>
              <w:t>kompetencave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apo</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ndëshkimeve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kur</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pergatitet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drafti</w:t>
            </w:r>
            <w:proofErr w:type="spellEnd"/>
            <w:r w:rsidRPr="00463DFC">
              <w:rPr>
                <w:rFonts w:ascii="Book Antiqua" w:hAnsi="Book Antiqua"/>
                <w:sz w:val="20"/>
                <w:szCs w:val="20"/>
              </w:rPr>
              <w:t xml:space="preserve"> i </w:t>
            </w:r>
            <w:proofErr w:type="spellStart"/>
            <w:r w:rsidRPr="00463DFC">
              <w:rPr>
                <w:rFonts w:ascii="Book Antiqua" w:hAnsi="Book Antiqua"/>
                <w:sz w:val="20"/>
                <w:szCs w:val="20"/>
              </w:rPr>
              <w:t>projektligjit</w:t>
            </w:r>
            <w:proofErr w:type="spellEnd"/>
            <w:r w:rsidRPr="00463DFC">
              <w:rPr>
                <w:rFonts w:ascii="Book Antiqua" w:hAnsi="Book Antiqua"/>
                <w:sz w:val="20"/>
                <w:szCs w:val="20"/>
              </w:rPr>
              <w:t xml:space="preserve"> i </w:t>
            </w:r>
            <w:proofErr w:type="spellStart"/>
            <w:r w:rsidRPr="00463DFC">
              <w:rPr>
                <w:rFonts w:ascii="Book Antiqua" w:hAnsi="Book Antiqua"/>
                <w:sz w:val="20"/>
                <w:szCs w:val="20"/>
              </w:rPr>
              <w:t>cili</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po</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ashtu</w:t>
            </w:r>
            <w:proofErr w:type="spellEnd"/>
            <w:r w:rsidRPr="00463DFC">
              <w:rPr>
                <w:rFonts w:ascii="Book Antiqua" w:hAnsi="Book Antiqua"/>
                <w:sz w:val="20"/>
                <w:szCs w:val="20"/>
              </w:rPr>
              <w:t xml:space="preserve"> do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kaloj</w:t>
            </w:r>
            <w:proofErr w:type="spellEnd"/>
            <w:r w:rsidRPr="00463DFC">
              <w:rPr>
                <w:rFonts w:ascii="Book Antiqua" w:hAnsi="Book Antiqua"/>
                <w:sz w:val="20"/>
                <w:szCs w:val="20"/>
              </w:rPr>
              <w:t xml:space="preserve"> ne </w:t>
            </w:r>
            <w:proofErr w:type="spellStart"/>
            <w:r w:rsidRPr="00463DFC">
              <w:rPr>
                <w:rFonts w:ascii="Book Antiqua" w:hAnsi="Book Antiqua"/>
                <w:sz w:val="20"/>
                <w:szCs w:val="20"/>
              </w:rPr>
              <w:t>konsultimet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publike</w:t>
            </w:r>
            <w:proofErr w:type="spellEnd"/>
            <w:r w:rsidRPr="00463DFC">
              <w:rPr>
                <w:rFonts w:ascii="Book Antiqua" w:hAnsi="Book Antiqua"/>
                <w:sz w:val="20"/>
                <w:szCs w:val="20"/>
              </w:rPr>
              <w:t>.</w:t>
            </w:r>
          </w:p>
          <w:p w:rsidR="00C0277A" w:rsidRPr="00463DFC" w:rsidRDefault="00C0277A" w:rsidP="00C0277A">
            <w:pPr>
              <w:jc w:val="both"/>
              <w:rPr>
                <w:rFonts w:ascii="Book Antiqua" w:hAnsi="Book Antiqua"/>
                <w:sz w:val="20"/>
                <w:szCs w:val="20"/>
              </w:rPr>
            </w:pPr>
          </w:p>
          <w:p w:rsidR="006D3554" w:rsidRPr="00463DFC" w:rsidRDefault="00C0277A" w:rsidP="00C0277A">
            <w:pPr>
              <w:tabs>
                <w:tab w:val="left" w:pos="990"/>
              </w:tabs>
              <w:jc w:val="both"/>
              <w:rPr>
                <w:rFonts w:ascii="Times New Roman" w:hAnsi="Times New Roman" w:cs="Times New Roman"/>
                <w:bCs/>
                <w:sz w:val="20"/>
                <w:szCs w:val="20"/>
                <w:lang w:val="sq-AL"/>
              </w:rPr>
            </w:pPr>
            <w:r w:rsidRPr="00463DFC">
              <w:rPr>
                <w:rFonts w:ascii="Book Antiqua" w:hAnsi="Book Antiqua"/>
                <w:sz w:val="20"/>
                <w:szCs w:val="20"/>
              </w:rPr>
              <w:t xml:space="preserve">Ne </w:t>
            </w:r>
            <w:proofErr w:type="spellStart"/>
            <w:r w:rsidRPr="00463DFC">
              <w:rPr>
                <w:rFonts w:ascii="Book Antiqua" w:hAnsi="Book Antiqua"/>
                <w:sz w:val="20"/>
                <w:szCs w:val="20"/>
              </w:rPr>
              <w:t>kuadër</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shkresave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Koncept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Dokumentit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është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përgatitur</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Vlerësimi</w:t>
            </w:r>
            <w:proofErr w:type="spellEnd"/>
            <w:r w:rsidRPr="00463DFC">
              <w:rPr>
                <w:rFonts w:ascii="Book Antiqua" w:hAnsi="Book Antiqua"/>
                <w:sz w:val="20"/>
                <w:szCs w:val="20"/>
              </w:rPr>
              <w:t xml:space="preserve"> i </w:t>
            </w:r>
            <w:proofErr w:type="spellStart"/>
            <w:r w:rsidRPr="00463DFC">
              <w:rPr>
                <w:rFonts w:ascii="Book Antiqua" w:hAnsi="Book Antiqua"/>
                <w:sz w:val="20"/>
                <w:szCs w:val="20"/>
              </w:rPr>
              <w:t>Ndikimit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Financiar</w:t>
            </w:r>
            <w:proofErr w:type="spellEnd"/>
            <w:r w:rsidRPr="00463DFC">
              <w:rPr>
                <w:rFonts w:ascii="Book Antiqua" w:hAnsi="Book Antiqua"/>
                <w:sz w:val="20"/>
                <w:szCs w:val="20"/>
              </w:rPr>
              <w:t xml:space="preserve"> ne </w:t>
            </w:r>
            <w:proofErr w:type="spellStart"/>
            <w:r w:rsidRPr="00463DFC">
              <w:rPr>
                <w:rFonts w:ascii="Book Antiqua" w:hAnsi="Book Antiqua"/>
                <w:sz w:val="20"/>
                <w:szCs w:val="20"/>
              </w:rPr>
              <w:t>baze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cilit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është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vlerësuar</w:t>
            </w:r>
            <w:proofErr w:type="spellEnd"/>
            <w:r w:rsidRPr="00463DFC">
              <w:rPr>
                <w:rFonts w:ascii="Book Antiqua" w:hAnsi="Book Antiqua"/>
                <w:sz w:val="20"/>
                <w:szCs w:val="20"/>
              </w:rPr>
              <w:t xml:space="preserve"> se </w:t>
            </w:r>
            <w:proofErr w:type="spellStart"/>
            <w:r w:rsidRPr="00463DFC">
              <w:rPr>
                <w:rFonts w:ascii="Book Antiqua" w:hAnsi="Book Antiqua"/>
                <w:sz w:val="20"/>
                <w:szCs w:val="20"/>
              </w:rPr>
              <w:t>ligji</w:t>
            </w:r>
            <w:proofErr w:type="spellEnd"/>
            <w:r w:rsidRPr="00463DFC">
              <w:rPr>
                <w:rFonts w:ascii="Book Antiqua" w:hAnsi="Book Antiqua"/>
                <w:sz w:val="20"/>
                <w:szCs w:val="20"/>
              </w:rPr>
              <w:t xml:space="preserve"> per </w:t>
            </w:r>
            <w:proofErr w:type="spellStart"/>
            <w:r w:rsidRPr="00463DFC">
              <w:rPr>
                <w:rFonts w:ascii="Book Antiqua" w:hAnsi="Book Antiqua"/>
                <w:sz w:val="20"/>
                <w:szCs w:val="20"/>
              </w:rPr>
              <w:t>deklarimin</w:t>
            </w:r>
            <w:proofErr w:type="spellEnd"/>
            <w:r w:rsidRPr="00463DFC">
              <w:rPr>
                <w:rFonts w:ascii="Book Antiqua" w:hAnsi="Book Antiqua"/>
                <w:sz w:val="20"/>
                <w:szCs w:val="20"/>
              </w:rPr>
              <w:t xml:space="preserve"> e </w:t>
            </w:r>
            <w:proofErr w:type="spellStart"/>
            <w:r w:rsidRPr="00463DFC">
              <w:rPr>
                <w:rFonts w:ascii="Book Antiqua" w:hAnsi="Book Antiqua"/>
                <w:sz w:val="20"/>
                <w:szCs w:val="20"/>
              </w:rPr>
              <w:t>pasurisë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nuk</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ka</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implikime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buxhetore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Behet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fjale</w:t>
            </w:r>
            <w:proofErr w:type="spellEnd"/>
            <w:r w:rsidRPr="00463DFC">
              <w:rPr>
                <w:rFonts w:ascii="Book Antiqua" w:hAnsi="Book Antiqua"/>
                <w:sz w:val="20"/>
                <w:szCs w:val="20"/>
              </w:rPr>
              <w:t xml:space="preserve"> per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njëjtin</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numër</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stafit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AKK-se, </w:t>
            </w:r>
            <w:proofErr w:type="spellStart"/>
            <w:r w:rsidRPr="00463DFC">
              <w:rPr>
                <w:rFonts w:ascii="Book Antiqua" w:hAnsi="Book Antiqua"/>
                <w:sz w:val="20"/>
                <w:szCs w:val="20"/>
              </w:rPr>
              <w:t>dhe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po</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ashtu</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mënyra</w:t>
            </w:r>
            <w:proofErr w:type="spellEnd"/>
            <w:r w:rsidRPr="00463DFC">
              <w:rPr>
                <w:rFonts w:ascii="Book Antiqua" w:hAnsi="Book Antiqua"/>
                <w:sz w:val="20"/>
                <w:szCs w:val="20"/>
              </w:rPr>
              <w:t xml:space="preserve"> online e </w:t>
            </w:r>
            <w:proofErr w:type="spellStart"/>
            <w:r w:rsidRPr="00463DFC">
              <w:rPr>
                <w:rFonts w:ascii="Book Antiqua" w:hAnsi="Book Antiqua"/>
                <w:sz w:val="20"/>
                <w:szCs w:val="20"/>
              </w:rPr>
              <w:t>deklarimit</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pasurisë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nuk</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ka</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kosto</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shtese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meqë</w:t>
            </w:r>
            <w:proofErr w:type="spellEnd"/>
            <w:r w:rsidRPr="00463DFC">
              <w:rPr>
                <w:rFonts w:ascii="Book Antiqua" w:hAnsi="Book Antiqua"/>
                <w:sz w:val="20"/>
                <w:szCs w:val="20"/>
              </w:rPr>
              <w:t xml:space="preserve"> e </w:t>
            </w:r>
            <w:proofErr w:type="spellStart"/>
            <w:r w:rsidRPr="00463DFC">
              <w:rPr>
                <w:rFonts w:ascii="Book Antiqua" w:hAnsi="Book Antiqua"/>
                <w:sz w:val="20"/>
                <w:szCs w:val="20"/>
              </w:rPr>
              <w:t>para</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kjo</w:t>
            </w:r>
            <w:proofErr w:type="spellEnd"/>
            <w:r w:rsidRPr="00463DFC">
              <w:rPr>
                <w:rFonts w:ascii="Book Antiqua" w:hAnsi="Book Antiqua"/>
                <w:sz w:val="20"/>
                <w:szCs w:val="20"/>
              </w:rPr>
              <w:t xml:space="preserve"> do </w:t>
            </w:r>
            <w:proofErr w:type="spellStart"/>
            <w:r w:rsidRPr="00463DFC">
              <w:rPr>
                <w:rFonts w:ascii="Book Antiqua" w:hAnsi="Book Antiqua"/>
                <w:sz w:val="20"/>
                <w:szCs w:val="20"/>
              </w:rPr>
              <w:t>te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reduktoj</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punën</w:t>
            </w:r>
            <w:proofErr w:type="spellEnd"/>
            <w:r w:rsidRPr="00463DFC">
              <w:rPr>
                <w:rFonts w:ascii="Book Antiqua" w:hAnsi="Book Antiqua"/>
                <w:sz w:val="20"/>
                <w:szCs w:val="20"/>
              </w:rPr>
              <w:t xml:space="preserve"> e </w:t>
            </w:r>
            <w:proofErr w:type="spellStart"/>
            <w:r w:rsidRPr="00463DFC">
              <w:rPr>
                <w:rFonts w:ascii="Book Antiqua" w:hAnsi="Book Antiqua"/>
                <w:sz w:val="20"/>
                <w:szCs w:val="20"/>
              </w:rPr>
              <w:t>Agjencise</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dhe</w:t>
            </w:r>
            <w:proofErr w:type="spellEnd"/>
            <w:r w:rsidRPr="00463DFC">
              <w:rPr>
                <w:rFonts w:ascii="Book Antiqua" w:hAnsi="Book Antiqua"/>
                <w:sz w:val="20"/>
                <w:szCs w:val="20"/>
              </w:rPr>
              <w:t xml:space="preserve"> e </w:t>
            </w:r>
            <w:proofErr w:type="spellStart"/>
            <w:r w:rsidRPr="00463DFC">
              <w:rPr>
                <w:rFonts w:ascii="Book Antiqua" w:hAnsi="Book Antiqua"/>
                <w:sz w:val="20"/>
                <w:szCs w:val="20"/>
              </w:rPr>
              <w:t>dyta</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softweri</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është</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donacion</w:t>
            </w:r>
            <w:proofErr w:type="spellEnd"/>
            <w:r w:rsidRPr="00463DFC">
              <w:rPr>
                <w:rFonts w:ascii="Book Antiqua" w:hAnsi="Book Antiqua"/>
                <w:sz w:val="20"/>
                <w:szCs w:val="20"/>
              </w:rPr>
              <w:t xml:space="preserve"> </w:t>
            </w:r>
            <w:proofErr w:type="spellStart"/>
            <w:r w:rsidRPr="00463DFC">
              <w:rPr>
                <w:rFonts w:ascii="Book Antiqua" w:hAnsi="Book Antiqua"/>
                <w:sz w:val="20"/>
                <w:szCs w:val="20"/>
              </w:rPr>
              <w:t>nga</w:t>
            </w:r>
            <w:proofErr w:type="spellEnd"/>
            <w:r w:rsidRPr="00463DFC">
              <w:rPr>
                <w:rFonts w:ascii="Book Antiqua" w:hAnsi="Book Antiqua"/>
                <w:sz w:val="20"/>
                <w:szCs w:val="20"/>
              </w:rPr>
              <w:t xml:space="preserve"> UNDP</w:t>
            </w:r>
            <w:r w:rsidRPr="00463DFC">
              <w:rPr>
                <w:rFonts w:ascii="Times New Roman" w:hAnsi="Times New Roman" w:cs="Times New Roman"/>
                <w:bCs/>
                <w:sz w:val="20"/>
                <w:szCs w:val="20"/>
                <w:lang w:val="sq-AL"/>
              </w:rPr>
              <w:t>.</w:t>
            </w:r>
          </w:p>
        </w:tc>
      </w:tr>
      <w:tr w:rsidR="00A46053" w:rsidRPr="000149C9" w:rsidTr="00F03354">
        <w:trPr>
          <w:trHeight w:val="1454"/>
        </w:trPr>
        <w:tc>
          <w:tcPr>
            <w:tcW w:w="1733" w:type="dxa"/>
            <w:tcBorders>
              <w:top w:val="single" w:sz="4" w:space="0" w:color="auto"/>
              <w:bottom w:val="single" w:sz="4" w:space="0" w:color="auto"/>
            </w:tcBorders>
            <w:shd w:val="clear" w:color="auto" w:fill="DBE5F1" w:themeFill="accent1" w:themeFillTint="33"/>
          </w:tcPr>
          <w:p w:rsidR="00A46053" w:rsidRDefault="00A46053" w:rsidP="008D5AB5">
            <w:pPr>
              <w:rPr>
                <w:rFonts w:ascii="Times New Roman" w:hAnsi="Times New Roman" w:cs="Times New Roman"/>
                <w:b/>
                <w:bCs/>
                <w:sz w:val="20"/>
                <w:szCs w:val="20"/>
                <w:lang w:val="sq-AL"/>
              </w:rPr>
            </w:pPr>
          </w:p>
        </w:tc>
        <w:tc>
          <w:tcPr>
            <w:tcW w:w="3780" w:type="dxa"/>
            <w:shd w:val="clear" w:color="auto" w:fill="DBE5F1" w:themeFill="accent1" w:themeFillTint="33"/>
          </w:tcPr>
          <w:p w:rsidR="00A46053" w:rsidRDefault="00A46053" w:rsidP="00ED60D8">
            <w:pPr>
              <w:rPr>
                <w:rFonts w:ascii="Times New Roman" w:hAnsi="Times New Roman" w:cs="Times New Roman"/>
                <w:bCs/>
                <w:sz w:val="20"/>
                <w:szCs w:val="20"/>
                <w:lang w:val="sq-AL"/>
              </w:rPr>
            </w:pPr>
            <w:r>
              <w:rPr>
                <w:rFonts w:ascii="Times New Roman" w:hAnsi="Times New Roman" w:cs="Times New Roman"/>
                <w:bCs/>
                <w:sz w:val="20"/>
                <w:szCs w:val="20"/>
                <w:lang w:val="sq-AL"/>
              </w:rPr>
              <w:t>N</w:t>
            </w:r>
            <w:r w:rsidRPr="00ED60D8">
              <w:rPr>
                <w:rFonts w:ascii="Times New Roman" w:hAnsi="Times New Roman" w:cs="Times New Roman"/>
                <w:bCs/>
                <w:sz w:val="20"/>
                <w:szCs w:val="20"/>
                <w:lang w:val="sq-AL"/>
              </w:rPr>
              <w:t xml:space="preserve">ë komentet e Zyrës Ligjore të ZKM-së është theksuar se fokusi më i madhe i është dhënë plotësimit dhe </w:t>
            </w:r>
            <w:r w:rsidR="00BA7F0A" w:rsidRPr="00ED60D8">
              <w:rPr>
                <w:rFonts w:ascii="Times New Roman" w:hAnsi="Times New Roman" w:cs="Times New Roman"/>
                <w:bCs/>
                <w:sz w:val="20"/>
                <w:szCs w:val="20"/>
                <w:lang w:val="sq-AL"/>
              </w:rPr>
              <w:t>ndryshimit</w:t>
            </w:r>
            <w:r w:rsidRPr="00ED60D8">
              <w:rPr>
                <w:rFonts w:ascii="Times New Roman" w:hAnsi="Times New Roman" w:cs="Times New Roman"/>
                <w:bCs/>
                <w:sz w:val="20"/>
                <w:szCs w:val="20"/>
                <w:lang w:val="sq-AL"/>
              </w:rPr>
              <w:t xml:space="preserve"> të Ligjit Nr. 03/l-159 për Agjencinë Kundër Korrupsionit, ndërsa nuk është trajtuar dhe sqaruar sa duhet plotësim ndryshimi i Ligjit Nr. 04-L-050 për deklarimin, prejardhjen dhe kontrollin e pasurisë së zyrtarëve të lartë publik dhe deklarimin, prejardhjen dhe kontrollin e dhuratave për të gjithë personat zyrtar  dhe Ligjit Nr. 04/L-228 për ndryshimin dhe plotësimin e Ligjit Nr. 04-L-050 për deklarimin, prejardhjen dhe kontrollin e pasurisë së zyrtarëve të lartë </w:t>
            </w:r>
            <w:r w:rsidRPr="00ED60D8">
              <w:rPr>
                <w:rFonts w:ascii="Times New Roman" w:hAnsi="Times New Roman" w:cs="Times New Roman"/>
                <w:bCs/>
                <w:sz w:val="20"/>
                <w:szCs w:val="20"/>
                <w:lang w:val="sq-AL"/>
              </w:rPr>
              <w:lastRenderedPageBreak/>
              <w:t xml:space="preserve">publik dhe deklarimin, prejardhjen dhe kontrollin e dhuratave për të personat zyrtar, </w:t>
            </w:r>
            <w:proofErr w:type="spellStart"/>
            <w:r w:rsidRPr="00ED60D8">
              <w:rPr>
                <w:rFonts w:ascii="Times New Roman" w:hAnsi="Times New Roman" w:cs="Times New Roman"/>
                <w:bCs/>
                <w:sz w:val="20"/>
                <w:szCs w:val="20"/>
                <w:lang w:val="sq-AL"/>
              </w:rPr>
              <w:t>poashtu</w:t>
            </w:r>
            <w:proofErr w:type="spellEnd"/>
            <w:r w:rsidRPr="00ED60D8">
              <w:rPr>
                <w:rFonts w:ascii="Times New Roman" w:hAnsi="Times New Roman" w:cs="Times New Roman"/>
                <w:bCs/>
                <w:sz w:val="20"/>
                <w:szCs w:val="20"/>
                <w:lang w:val="sq-AL"/>
              </w:rPr>
              <w:t xml:space="preserve"> ne sugjerimet se në Kapitullin II nuk janë </w:t>
            </w:r>
            <w:proofErr w:type="spellStart"/>
            <w:r w:rsidRPr="00ED60D8">
              <w:rPr>
                <w:rFonts w:ascii="Times New Roman" w:hAnsi="Times New Roman" w:cs="Times New Roman"/>
                <w:bCs/>
                <w:sz w:val="20"/>
                <w:szCs w:val="20"/>
                <w:lang w:val="sq-AL"/>
              </w:rPr>
              <w:t>elaboruar</w:t>
            </w:r>
            <w:proofErr w:type="spellEnd"/>
            <w:r w:rsidRPr="00ED60D8">
              <w:rPr>
                <w:rFonts w:ascii="Times New Roman" w:hAnsi="Times New Roman" w:cs="Times New Roman"/>
                <w:bCs/>
                <w:sz w:val="20"/>
                <w:szCs w:val="20"/>
                <w:lang w:val="sq-AL"/>
              </w:rPr>
              <w:t xml:space="preserve"> mjaftueshëm </w:t>
            </w:r>
            <w:proofErr w:type="spellStart"/>
            <w:r w:rsidRPr="00ED60D8">
              <w:rPr>
                <w:rFonts w:ascii="Times New Roman" w:hAnsi="Times New Roman" w:cs="Times New Roman"/>
                <w:bCs/>
                <w:sz w:val="20"/>
                <w:szCs w:val="20"/>
                <w:lang w:val="sq-AL"/>
              </w:rPr>
              <w:t>definimi</w:t>
            </w:r>
            <w:proofErr w:type="spellEnd"/>
            <w:r w:rsidRPr="00ED60D8">
              <w:rPr>
                <w:rFonts w:ascii="Times New Roman" w:hAnsi="Times New Roman" w:cs="Times New Roman"/>
                <w:bCs/>
                <w:sz w:val="20"/>
                <w:szCs w:val="20"/>
                <w:lang w:val="sq-AL"/>
              </w:rPr>
              <w:t xml:space="preserve"> i çështjes apo problemit kryesor.</w:t>
            </w:r>
          </w:p>
        </w:tc>
        <w:tc>
          <w:tcPr>
            <w:tcW w:w="1463" w:type="dxa"/>
            <w:shd w:val="clear" w:color="auto" w:fill="DBE5F1" w:themeFill="accent1" w:themeFillTint="33"/>
          </w:tcPr>
          <w:p w:rsidR="00A46053" w:rsidRDefault="00A46053" w:rsidP="00ED60D8">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ZKM/Zyra Ligjore</w:t>
            </w:r>
          </w:p>
        </w:tc>
        <w:tc>
          <w:tcPr>
            <w:tcW w:w="1350" w:type="dxa"/>
            <w:shd w:val="clear" w:color="auto" w:fill="DBE5F1" w:themeFill="accent1" w:themeFillTint="33"/>
          </w:tcPr>
          <w:p w:rsidR="00A46053" w:rsidRPr="00CF05EF" w:rsidRDefault="00693E38" w:rsidP="00ED60D8">
            <w:pPr>
              <w:rPr>
                <w:rFonts w:ascii="Times New Roman" w:hAnsi="Times New Roman" w:cs="Times New Roman"/>
                <w:bCs/>
                <w:sz w:val="20"/>
                <w:szCs w:val="20"/>
                <w:lang w:val="sq-AL"/>
              </w:rPr>
            </w:pPr>
            <w:r w:rsidRPr="00ED60D8">
              <w:rPr>
                <w:rFonts w:ascii="Times New Roman" w:hAnsi="Times New Roman" w:cs="Times New Roman"/>
                <w:bCs/>
                <w:sz w:val="20"/>
                <w:szCs w:val="20"/>
                <w:lang w:val="sq-AL"/>
              </w:rPr>
              <w:t>Është pranuar</w:t>
            </w:r>
          </w:p>
        </w:tc>
        <w:tc>
          <w:tcPr>
            <w:tcW w:w="6670" w:type="dxa"/>
            <w:shd w:val="clear" w:color="auto" w:fill="DBE5F1" w:themeFill="accent1" w:themeFillTint="33"/>
          </w:tcPr>
          <w:p w:rsidR="00A46053" w:rsidRDefault="00693E38" w:rsidP="00ED60D8">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Drafti fillestar i koncept dokumentin nuk ka pasur mirë të </w:t>
            </w:r>
            <w:proofErr w:type="spellStart"/>
            <w:r>
              <w:rPr>
                <w:rFonts w:ascii="Times New Roman" w:hAnsi="Times New Roman" w:cs="Times New Roman"/>
                <w:bCs/>
                <w:sz w:val="20"/>
                <w:szCs w:val="20"/>
                <w:lang w:val="sq-AL"/>
              </w:rPr>
              <w:t>elaboruar</w:t>
            </w:r>
            <w:proofErr w:type="spellEnd"/>
            <w:r>
              <w:rPr>
                <w:rFonts w:ascii="Times New Roman" w:hAnsi="Times New Roman" w:cs="Times New Roman"/>
                <w:bCs/>
                <w:sz w:val="20"/>
                <w:szCs w:val="20"/>
                <w:lang w:val="sq-AL"/>
              </w:rPr>
              <w:t xml:space="preserve"> çështjen e </w:t>
            </w:r>
            <w:proofErr w:type="spellStart"/>
            <w:r>
              <w:rPr>
                <w:rFonts w:ascii="Times New Roman" w:hAnsi="Times New Roman" w:cs="Times New Roman"/>
                <w:bCs/>
                <w:sz w:val="20"/>
                <w:szCs w:val="20"/>
                <w:lang w:val="sq-AL"/>
              </w:rPr>
              <w:t>definimit</w:t>
            </w:r>
            <w:proofErr w:type="spellEnd"/>
            <w:r>
              <w:rPr>
                <w:rFonts w:ascii="Times New Roman" w:hAnsi="Times New Roman" w:cs="Times New Roman"/>
                <w:bCs/>
                <w:sz w:val="20"/>
                <w:szCs w:val="20"/>
                <w:lang w:val="sq-AL"/>
              </w:rPr>
              <w:t xml:space="preserve"> të problemit – arsyes së ndryshimit të politikave, dhe po ashtu ligji për deklarimin e pasurisë nuk ka qenë mirë i </w:t>
            </w:r>
            <w:proofErr w:type="spellStart"/>
            <w:r>
              <w:rPr>
                <w:rFonts w:ascii="Times New Roman" w:hAnsi="Times New Roman" w:cs="Times New Roman"/>
                <w:bCs/>
                <w:sz w:val="20"/>
                <w:szCs w:val="20"/>
                <w:lang w:val="sq-AL"/>
              </w:rPr>
              <w:t>elaboruar</w:t>
            </w:r>
            <w:proofErr w:type="spellEnd"/>
            <w:r>
              <w:rPr>
                <w:rFonts w:ascii="Times New Roman" w:hAnsi="Times New Roman" w:cs="Times New Roman"/>
                <w:bCs/>
                <w:sz w:val="20"/>
                <w:szCs w:val="20"/>
                <w:lang w:val="sq-AL"/>
              </w:rPr>
              <w:t xml:space="preserve"> në pjesën e </w:t>
            </w:r>
            <w:proofErr w:type="spellStart"/>
            <w:r>
              <w:rPr>
                <w:rFonts w:ascii="Times New Roman" w:hAnsi="Times New Roman" w:cs="Times New Roman"/>
                <w:bCs/>
                <w:sz w:val="20"/>
                <w:szCs w:val="20"/>
                <w:lang w:val="sq-AL"/>
              </w:rPr>
              <w:t>opcioneve</w:t>
            </w:r>
            <w:proofErr w:type="spellEnd"/>
            <w:r>
              <w:rPr>
                <w:rFonts w:ascii="Times New Roman" w:hAnsi="Times New Roman" w:cs="Times New Roman"/>
                <w:bCs/>
                <w:sz w:val="20"/>
                <w:szCs w:val="20"/>
                <w:lang w:val="sq-AL"/>
              </w:rPr>
              <w:t xml:space="preserve">. </w:t>
            </w:r>
          </w:p>
          <w:p w:rsidR="00693E38" w:rsidRDefault="00693E38" w:rsidP="00ED60D8">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Me pranimin e këtyre komenteve, koncept dokumenti është pasuruar edhe me këto shpjegime dhe tani më problemi është sqaruar mirë dhe ndryshimi i ligjit për deklarimin e pasurisë dhe </w:t>
            </w:r>
            <w:proofErr w:type="spellStart"/>
            <w:r>
              <w:rPr>
                <w:rFonts w:ascii="Times New Roman" w:hAnsi="Times New Roman" w:cs="Times New Roman"/>
                <w:bCs/>
                <w:sz w:val="20"/>
                <w:szCs w:val="20"/>
                <w:lang w:val="sq-AL"/>
              </w:rPr>
              <w:t>opcionet</w:t>
            </w:r>
            <w:proofErr w:type="spellEnd"/>
            <w:r>
              <w:rPr>
                <w:rFonts w:ascii="Times New Roman" w:hAnsi="Times New Roman" w:cs="Times New Roman"/>
                <w:bCs/>
                <w:sz w:val="20"/>
                <w:szCs w:val="20"/>
                <w:lang w:val="sq-AL"/>
              </w:rPr>
              <w:t xml:space="preserve"> e ofruara janë </w:t>
            </w:r>
            <w:proofErr w:type="spellStart"/>
            <w:r>
              <w:rPr>
                <w:rFonts w:ascii="Times New Roman" w:hAnsi="Times New Roman" w:cs="Times New Roman"/>
                <w:bCs/>
                <w:sz w:val="20"/>
                <w:szCs w:val="20"/>
                <w:lang w:val="sq-AL"/>
              </w:rPr>
              <w:t>elaboruar</w:t>
            </w:r>
            <w:proofErr w:type="spellEnd"/>
            <w:r>
              <w:rPr>
                <w:rFonts w:ascii="Times New Roman" w:hAnsi="Times New Roman" w:cs="Times New Roman"/>
                <w:bCs/>
                <w:sz w:val="20"/>
                <w:szCs w:val="20"/>
                <w:lang w:val="sq-AL"/>
              </w:rPr>
              <w:t xml:space="preserve"> mjaftueshëm.</w:t>
            </w:r>
          </w:p>
        </w:tc>
      </w:tr>
      <w:tr w:rsidR="008C468D" w:rsidRPr="000149C9" w:rsidTr="00F03354">
        <w:trPr>
          <w:trHeight w:val="1454"/>
        </w:trPr>
        <w:tc>
          <w:tcPr>
            <w:tcW w:w="1733" w:type="dxa"/>
            <w:tcBorders>
              <w:top w:val="single" w:sz="4" w:space="0" w:color="auto"/>
              <w:bottom w:val="single" w:sz="4" w:space="0" w:color="auto"/>
            </w:tcBorders>
            <w:shd w:val="clear" w:color="auto" w:fill="DBE5F1" w:themeFill="accent1" w:themeFillTint="33"/>
          </w:tcPr>
          <w:p w:rsidR="008C468D" w:rsidRDefault="008C468D" w:rsidP="008D5AB5">
            <w:pPr>
              <w:rPr>
                <w:rFonts w:ascii="Times New Roman" w:hAnsi="Times New Roman" w:cs="Times New Roman"/>
                <w:b/>
                <w:bCs/>
                <w:sz w:val="20"/>
                <w:szCs w:val="20"/>
                <w:lang w:val="sq-AL"/>
              </w:rPr>
            </w:pPr>
          </w:p>
        </w:tc>
        <w:tc>
          <w:tcPr>
            <w:tcW w:w="3780" w:type="dxa"/>
            <w:shd w:val="clear" w:color="auto" w:fill="DBE5F1" w:themeFill="accent1" w:themeFillTint="33"/>
          </w:tcPr>
          <w:p w:rsidR="008C468D" w:rsidRDefault="00BA7F0A" w:rsidP="00ED60D8">
            <w:pPr>
              <w:rPr>
                <w:rFonts w:ascii="Times New Roman" w:hAnsi="Times New Roman" w:cs="Times New Roman"/>
                <w:bCs/>
                <w:sz w:val="20"/>
                <w:szCs w:val="20"/>
                <w:lang w:val="sq-AL"/>
              </w:rPr>
            </w:pPr>
            <w:r>
              <w:rPr>
                <w:rFonts w:ascii="Times New Roman" w:hAnsi="Times New Roman" w:cs="Times New Roman"/>
                <w:bCs/>
                <w:sz w:val="20"/>
                <w:szCs w:val="20"/>
                <w:lang w:val="sq-AL"/>
              </w:rPr>
              <w:t>N</w:t>
            </w:r>
            <w:r w:rsidRPr="00ED60D8">
              <w:rPr>
                <w:rFonts w:ascii="Times New Roman" w:hAnsi="Times New Roman" w:cs="Times New Roman"/>
                <w:bCs/>
                <w:sz w:val="20"/>
                <w:szCs w:val="20"/>
                <w:lang w:val="sq-AL"/>
              </w:rPr>
              <w:t xml:space="preserve">ë komentin e SKQ/ZKM është sugjeruar që të përfshihen shënime statistikore  për dy-tri vitet e fundit, dhe për përvojën më të mirë që do të preferohej në Kosovë, </w:t>
            </w:r>
            <w:r w:rsidR="006E7ADC" w:rsidRPr="00ED60D8">
              <w:rPr>
                <w:rFonts w:ascii="Times New Roman" w:hAnsi="Times New Roman" w:cs="Times New Roman"/>
                <w:bCs/>
                <w:sz w:val="20"/>
                <w:szCs w:val="20"/>
                <w:lang w:val="sq-AL"/>
              </w:rPr>
              <w:t xml:space="preserve">tek pjesa e synimit objektivat duhet specifikuar, ndërsa tek opsioni 1 është kërkuar të shtjellohet më shumë, kurse për opsionin 2 të ceket se si do të bëhet ndryshimi i politikës ekzistuese dhe përgjegjësit për zbatim dhe në fund sa i përket kostos është dashur që të përgatitet vlerësimi i ndikimit financiar </w:t>
            </w:r>
            <w:r w:rsidR="0060173B" w:rsidRPr="00ED60D8">
              <w:rPr>
                <w:rFonts w:ascii="Times New Roman" w:hAnsi="Times New Roman" w:cs="Times New Roman"/>
                <w:bCs/>
                <w:sz w:val="20"/>
                <w:szCs w:val="20"/>
                <w:lang w:val="sq-AL"/>
              </w:rPr>
              <w:t>paraprakisht.</w:t>
            </w:r>
          </w:p>
        </w:tc>
        <w:tc>
          <w:tcPr>
            <w:tcW w:w="1463" w:type="dxa"/>
            <w:shd w:val="clear" w:color="auto" w:fill="DBE5F1" w:themeFill="accent1" w:themeFillTint="33"/>
          </w:tcPr>
          <w:p w:rsidR="008C468D" w:rsidRDefault="00BA7F0A" w:rsidP="00ED60D8">
            <w:pPr>
              <w:rPr>
                <w:rFonts w:ascii="Times New Roman" w:hAnsi="Times New Roman" w:cs="Times New Roman"/>
                <w:bCs/>
                <w:sz w:val="20"/>
                <w:szCs w:val="20"/>
                <w:lang w:val="sq-AL"/>
              </w:rPr>
            </w:pPr>
            <w:r>
              <w:rPr>
                <w:rFonts w:ascii="Times New Roman" w:hAnsi="Times New Roman" w:cs="Times New Roman"/>
                <w:bCs/>
                <w:sz w:val="20"/>
                <w:szCs w:val="20"/>
                <w:lang w:val="sq-AL"/>
              </w:rPr>
              <w:t>ZKM/SKQ</w:t>
            </w:r>
          </w:p>
        </w:tc>
        <w:tc>
          <w:tcPr>
            <w:tcW w:w="1350" w:type="dxa"/>
            <w:shd w:val="clear" w:color="auto" w:fill="DBE5F1" w:themeFill="accent1" w:themeFillTint="33"/>
          </w:tcPr>
          <w:p w:rsidR="008C468D" w:rsidRPr="00CF05EF" w:rsidRDefault="00693E38" w:rsidP="00ED60D8">
            <w:pPr>
              <w:rPr>
                <w:rFonts w:ascii="Times New Roman" w:hAnsi="Times New Roman" w:cs="Times New Roman"/>
                <w:bCs/>
                <w:sz w:val="20"/>
                <w:szCs w:val="20"/>
                <w:lang w:val="sq-AL"/>
              </w:rPr>
            </w:pPr>
            <w:r w:rsidRPr="00ED60D8">
              <w:rPr>
                <w:rFonts w:ascii="Times New Roman" w:hAnsi="Times New Roman" w:cs="Times New Roman"/>
                <w:bCs/>
                <w:sz w:val="20"/>
                <w:szCs w:val="20"/>
                <w:lang w:val="sq-AL"/>
              </w:rPr>
              <w:t>Pjesërisht pranuar</w:t>
            </w:r>
          </w:p>
        </w:tc>
        <w:tc>
          <w:tcPr>
            <w:tcW w:w="6670" w:type="dxa"/>
            <w:shd w:val="clear" w:color="auto" w:fill="DBE5F1" w:themeFill="accent1" w:themeFillTint="33"/>
          </w:tcPr>
          <w:p w:rsidR="008C468D" w:rsidRPr="00D51BA4" w:rsidRDefault="00693E38" w:rsidP="00ED60D8">
            <w:pPr>
              <w:rPr>
                <w:rFonts w:ascii="Times New Roman" w:hAnsi="Times New Roman" w:cs="Times New Roman"/>
                <w:bCs/>
                <w:sz w:val="20"/>
                <w:szCs w:val="20"/>
                <w:lang w:val="sq-AL"/>
              </w:rPr>
            </w:pPr>
            <w:r>
              <w:rPr>
                <w:rFonts w:ascii="Times New Roman" w:hAnsi="Times New Roman" w:cs="Times New Roman"/>
                <w:bCs/>
                <w:sz w:val="20"/>
                <w:szCs w:val="20"/>
                <w:lang w:val="sq-AL"/>
              </w:rPr>
              <w:t>Numri i rasteve të punuar nga Agjencia është i madh. Prandaj, për të mos ngarkuar koncept dokumentin me raste nuk janë përmendur shumë statistika. Më tepër është fokusuar në statistika të përgjithshme dhe të shkurta. Komentet tjera janë marrë për bazë, meqë kanë qenë të adresuar në pjesë të koncept dokumentit të cilat ndikojnë të kemi një koncept dokument më gjithëpërfshirës.</w:t>
            </w:r>
          </w:p>
        </w:tc>
      </w:tr>
      <w:tr w:rsidR="007D2FC2" w:rsidRPr="000149C9" w:rsidTr="00F03354">
        <w:trPr>
          <w:trHeight w:val="1454"/>
        </w:trPr>
        <w:tc>
          <w:tcPr>
            <w:tcW w:w="1733" w:type="dxa"/>
            <w:tcBorders>
              <w:top w:val="single" w:sz="4" w:space="0" w:color="auto"/>
              <w:bottom w:val="single" w:sz="4" w:space="0" w:color="auto"/>
            </w:tcBorders>
            <w:shd w:val="clear" w:color="auto" w:fill="DBE5F1" w:themeFill="accent1" w:themeFillTint="33"/>
          </w:tcPr>
          <w:p w:rsidR="007D2FC2" w:rsidRDefault="007D2FC2" w:rsidP="008D5AB5">
            <w:pPr>
              <w:rPr>
                <w:rFonts w:ascii="Times New Roman" w:hAnsi="Times New Roman" w:cs="Times New Roman"/>
                <w:b/>
                <w:bCs/>
                <w:sz w:val="20"/>
                <w:szCs w:val="20"/>
                <w:lang w:val="sq-AL"/>
              </w:rPr>
            </w:pPr>
          </w:p>
        </w:tc>
        <w:tc>
          <w:tcPr>
            <w:tcW w:w="3780" w:type="dxa"/>
            <w:shd w:val="clear" w:color="auto" w:fill="DBE5F1" w:themeFill="accent1" w:themeFillTint="33"/>
          </w:tcPr>
          <w:p w:rsidR="007D2FC2" w:rsidRPr="00ED60D8" w:rsidRDefault="007D2FC2" w:rsidP="007D2FC2">
            <w:pPr>
              <w:jc w:val="both"/>
              <w:rPr>
                <w:rFonts w:ascii="Times New Roman" w:hAnsi="Times New Roman" w:cs="Times New Roman"/>
                <w:bCs/>
                <w:sz w:val="20"/>
                <w:szCs w:val="20"/>
                <w:lang w:val="sq-AL"/>
              </w:rPr>
            </w:pPr>
            <w:r>
              <w:rPr>
                <w:rFonts w:ascii="Times New Roman" w:hAnsi="Times New Roman" w:cs="Times New Roman"/>
                <w:bCs/>
                <w:sz w:val="20"/>
                <w:szCs w:val="20"/>
                <w:lang w:val="sq-AL"/>
              </w:rPr>
              <w:t>N</w:t>
            </w:r>
            <w:r w:rsidRPr="00ED60D8">
              <w:rPr>
                <w:rFonts w:ascii="Times New Roman" w:hAnsi="Times New Roman" w:cs="Times New Roman"/>
                <w:bCs/>
                <w:sz w:val="20"/>
                <w:szCs w:val="20"/>
                <w:lang w:val="sq-AL"/>
              </w:rPr>
              <w:t xml:space="preserve">ë komentet e PECK është theksuar se në Kapitullin I duhet të duhet të përfshihen referenca të mëtejshme për Strategjinë e Kosovës për Integrim Evropian 2014-2020, të Marrëveshjes së Stabilizim </w:t>
            </w:r>
            <w:proofErr w:type="spellStart"/>
            <w:r w:rsidRPr="00ED60D8">
              <w:rPr>
                <w:rFonts w:ascii="Times New Roman" w:hAnsi="Times New Roman" w:cs="Times New Roman"/>
                <w:bCs/>
                <w:sz w:val="20"/>
                <w:szCs w:val="20"/>
                <w:lang w:val="sq-AL"/>
              </w:rPr>
              <w:t>Asocimit</w:t>
            </w:r>
            <w:proofErr w:type="spellEnd"/>
            <w:r w:rsidRPr="00ED60D8">
              <w:rPr>
                <w:rFonts w:ascii="Times New Roman" w:hAnsi="Times New Roman" w:cs="Times New Roman"/>
                <w:bCs/>
                <w:sz w:val="20"/>
                <w:szCs w:val="20"/>
                <w:lang w:val="sq-AL"/>
              </w:rPr>
              <w:t xml:space="preserve"> </w:t>
            </w:r>
            <w:r w:rsidR="00D870B7" w:rsidRPr="00ED60D8">
              <w:rPr>
                <w:rFonts w:ascii="Times New Roman" w:hAnsi="Times New Roman" w:cs="Times New Roman"/>
                <w:bCs/>
                <w:sz w:val="20"/>
                <w:szCs w:val="20"/>
                <w:lang w:val="sq-AL"/>
              </w:rPr>
              <w:t xml:space="preserve">dhe ERA </w:t>
            </w:r>
            <w:r w:rsidRPr="00ED60D8">
              <w:rPr>
                <w:rFonts w:ascii="Times New Roman" w:hAnsi="Times New Roman" w:cs="Times New Roman"/>
                <w:bCs/>
                <w:sz w:val="20"/>
                <w:szCs w:val="20"/>
                <w:lang w:val="sq-AL"/>
              </w:rPr>
              <w:t>(nenet 83 dhe 91), Planit të Veprimit për zbatimin e prioriteteve të MSA dhe ERA dhe</w:t>
            </w:r>
            <w:r>
              <w:rPr>
                <w:rFonts w:ascii="Book Antiqua" w:hAnsi="Book Antiqua" w:cs="Times New Roman"/>
                <w:bCs/>
                <w:sz w:val="20"/>
                <w:szCs w:val="20"/>
                <w:lang w:val="sq-AL"/>
              </w:rPr>
              <w:t xml:space="preserve"> </w:t>
            </w:r>
            <w:r w:rsidRPr="00ED60D8">
              <w:rPr>
                <w:rFonts w:ascii="Times New Roman" w:hAnsi="Times New Roman" w:cs="Times New Roman"/>
                <w:bCs/>
                <w:sz w:val="20"/>
                <w:szCs w:val="20"/>
                <w:lang w:val="sq-AL"/>
              </w:rPr>
              <w:t>Kapitulli II nuk reflekton në mënyrë të qartë dhe sistematike problemet dhe mangësitë ekzistuese dhe në kapitullin 3 sa i përket objektivave</w:t>
            </w:r>
            <w:r w:rsidR="00B22DA9" w:rsidRPr="00ED60D8">
              <w:rPr>
                <w:rFonts w:ascii="Times New Roman" w:hAnsi="Times New Roman" w:cs="Times New Roman"/>
                <w:bCs/>
                <w:sz w:val="20"/>
                <w:szCs w:val="20"/>
                <w:lang w:val="sq-AL"/>
              </w:rPr>
              <w:t xml:space="preserve">. </w:t>
            </w:r>
          </w:p>
          <w:p w:rsidR="00B22DA9" w:rsidRDefault="00B22DA9" w:rsidP="008C468D">
            <w:pPr>
              <w:jc w:val="both"/>
              <w:rPr>
                <w:rFonts w:ascii="Times New Roman" w:hAnsi="Times New Roman" w:cs="Times New Roman"/>
                <w:bCs/>
                <w:sz w:val="20"/>
                <w:szCs w:val="20"/>
                <w:lang w:val="sq-AL"/>
              </w:rPr>
            </w:pPr>
            <w:r w:rsidRPr="00ED60D8">
              <w:rPr>
                <w:rFonts w:ascii="Times New Roman" w:hAnsi="Times New Roman" w:cs="Times New Roman"/>
                <w:bCs/>
                <w:sz w:val="20"/>
                <w:szCs w:val="20"/>
                <w:lang w:val="sq-AL"/>
              </w:rPr>
              <w:t xml:space="preserve">Për më shumë janë dhënë komente sa i përket Kapitullit 4 për opsionet të cilat konsiderohen se janë paraqitur në mënyrë të përgjithshme. Në kapitullin është përmendur se përfitimet dhe pasojat negative për të tri opsionet e propozuara </w:t>
            </w:r>
            <w:r w:rsidRPr="00ED60D8">
              <w:rPr>
                <w:rFonts w:ascii="Times New Roman" w:hAnsi="Times New Roman" w:cs="Times New Roman"/>
                <w:bCs/>
                <w:sz w:val="20"/>
                <w:szCs w:val="20"/>
                <w:lang w:val="sq-AL"/>
              </w:rPr>
              <w:lastRenderedPageBreak/>
              <w:t xml:space="preserve">duhet të  rishqyrtohen nga afër për të shmangur dykuptimësinë dhe konfuzionit </w:t>
            </w:r>
            <w:r w:rsidR="00260E9A" w:rsidRPr="00ED60D8">
              <w:rPr>
                <w:rFonts w:ascii="Times New Roman" w:hAnsi="Times New Roman" w:cs="Times New Roman"/>
                <w:bCs/>
                <w:sz w:val="20"/>
                <w:szCs w:val="20"/>
                <w:lang w:val="sq-AL"/>
              </w:rPr>
              <w:t>dhe disa komente tjera sa i pë</w:t>
            </w:r>
            <w:r w:rsidR="008C468D" w:rsidRPr="00ED60D8">
              <w:rPr>
                <w:rFonts w:ascii="Times New Roman" w:hAnsi="Times New Roman" w:cs="Times New Roman"/>
                <w:bCs/>
                <w:sz w:val="20"/>
                <w:szCs w:val="20"/>
                <w:lang w:val="sq-AL"/>
              </w:rPr>
              <w:t xml:space="preserve">rket çështjeve teknike </w:t>
            </w:r>
            <w:r w:rsidR="00260E9A" w:rsidRPr="00ED60D8">
              <w:rPr>
                <w:rFonts w:ascii="Times New Roman" w:hAnsi="Times New Roman" w:cs="Times New Roman"/>
                <w:bCs/>
                <w:sz w:val="20"/>
                <w:szCs w:val="20"/>
                <w:lang w:val="sq-AL"/>
              </w:rPr>
              <w:t>të dokumentit.</w:t>
            </w:r>
          </w:p>
        </w:tc>
        <w:tc>
          <w:tcPr>
            <w:tcW w:w="1463" w:type="dxa"/>
            <w:shd w:val="clear" w:color="auto" w:fill="DBE5F1" w:themeFill="accent1" w:themeFillTint="33"/>
          </w:tcPr>
          <w:p w:rsidR="007D2FC2" w:rsidRDefault="007D2FC2"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PECK</w:t>
            </w:r>
            <w:r w:rsidR="00D870B7">
              <w:rPr>
                <w:rFonts w:ascii="Times New Roman" w:hAnsi="Times New Roman" w:cs="Times New Roman"/>
                <w:bCs/>
                <w:sz w:val="20"/>
                <w:szCs w:val="20"/>
                <w:lang w:val="sq-AL"/>
              </w:rPr>
              <w:t xml:space="preserve"> II</w:t>
            </w:r>
          </w:p>
        </w:tc>
        <w:tc>
          <w:tcPr>
            <w:tcW w:w="1350" w:type="dxa"/>
            <w:shd w:val="clear" w:color="auto" w:fill="DBE5F1" w:themeFill="accent1" w:themeFillTint="33"/>
          </w:tcPr>
          <w:p w:rsidR="007D2FC2" w:rsidRPr="00CF05EF" w:rsidRDefault="00693E38" w:rsidP="00D51BA4">
            <w:pPr>
              <w:rPr>
                <w:rFonts w:ascii="Times New Roman" w:hAnsi="Times New Roman" w:cs="Times New Roman"/>
                <w:bCs/>
                <w:sz w:val="20"/>
                <w:szCs w:val="20"/>
                <w:lang w:val="sq-AL"/>
              </w:rPr>
            </w:pPr>
            <w:r w:rsidRPr="00ED60D8">
              <w:rPr>
                <w:rFonts w:ascii="Times New Roman" w:hAnsi="Times New Roman" w:cs="Times New Roman"/>
                <w:bCs/>
                <w:sz w:val="20"/>
                <w:szCs w:val="20"/>
                <w:lang w:val="sq-AL"/>
              </w:rPr>
              <w:t>Është pranuar</w:t>
            </w:r>
          </w:p>
        </w:tc>
        <w:tc>
          <w:tcPr>
            <w:tcW w:w="6670" w:type="dxa"/>
            <w:shd w:val="clear" w:color="auto" w:fill="DBE5F1" w:themeFill="accent1" w:themeFillTint="33"/>
          </w:tcPr>
          <w:p w:rsidR="00E92DB2" w:rsidRPr="00ED60D8" w:rsidRDefault="00693E38" w:rsidP="00ED60D8">
            <w:pPr>
              <w:rPr>
                <w:rFonts w:ascii="Times New Roman" w:hAnsi="Times New Roman" w:cs="Times New Roman"/>
                <w:bCs/>
                <w:sz w:val="20"/>
                <w:szCs w:val="20"/>
                <w:lang w:val="sq-AL"/>
              </w:rPr>
            </w:pPr>
            <w:r w:rsidRPr="00ED60D8">
              <w:rPr>
                <w:rFonts w:ascii="Times New Roman" w:hAnsi="Times New Roman" w:cs="Times New Roman"/>
                <w:bCs/>
                <w:sz w:val="20"/>
                <w:szCs w:val="20"/>
                <w:lang w:val="sq-AL"/>
              </w:rPr>
              <w:t xml:space="preserve">Të gjitha komentet e dërguara nga PECK II janë pranuar. Vlen të theksohet që edhe raportet e PECK II janë marrë për bazë si </w:t>
            </w:r>
            <w:proofErr w:type="spellStart"/>
            <w:r w:rsidRPr="00ED60D8">
              <w:rPr>
                <w:rFonts w:ascii="Times New Roman" w:hAnsi="Times New Roman" w:cs="Times New Roman"/>
                <w:bCs/>
                <w:sz w:val="20"/>
                <w:szCs w:val="20"/>
                <w:lang w:val="sq-AL"/>
              </w:rPr>
              <w:t>arsy</w:t>
            </w:r>
            <w:bookmarkStart w:id="0" w:name="_GoBack"/>
            <w:bookmarkEnd w:id="0"/>
            <w:r w:rsidRPr="00ED60D8">
              <w:rPr>
                <w:rFonts w:ascii="Times New Roman" w:hAnsi="Times New Roman" w:cs="Times New Roman"/>
                <w:bCs/>
                <w:sz w:val="20"/>
                <w:szCs w:val="20"/>
                <w:lang w:val="sq-AL"/>
              </w:rPr>
              <w:t>eshmëri</w:t>
            </w:r>
            <w:proofErr w:type="spellEnd"/>
            <w:r w:rsidRPr="00ED60D8">
              <w:rPr>
                <w:rFonts w:ascii="Times New Roman" w:hAnsi="Times New Roman" w:cs="Times New Roman"/>
                <w:bCs/>
                <w:sz w:val="20"/>
                <w:szCs w:val="20"/>
                <w:lang w:val="sq-AL"/>
              </w:rPr>
              <w:t xml:space="preserve"> e ndryshimit dhe plotësimit të kornizës ligjore aktuale kundër korrupsionit. Prandaj, </w:t>
            </w:r>
            <w:r w:rsidR="00ED60D8" w:rsidRPr="00ED60D8">
              <w:rPr>
                <w:rFonts w:ascii="Times New Roman" w:hAnsi="Times New Roman" w:cs="Times New Roman"/>
                <w:bCs/>
                <w:sz w:val="20"/>
                <w:szCs w:val="20"/>
                <w:lang w:val="sq-AL"/>
              </w:rPr>
              <w:t>rekomandimet</w:t>
            </w:r>
            <w:r w:rsidRPr="00ED60D8">
              <w:rPr>
                <w:rFonts w:ascii="Times New Roman" w:hAnsi="Times New Roman" w:cs="Times New Roman"/>
                <w:bCs/>
                <w:sz w:val="20"/>
                <w:szCs w:val="20"/>
                <w:lang w:val="sq-AL"/>
              </w:rPr>
              <w:t xml:space="preserve"> e dala nga PECK II do të merren për bazë, sidomos gjatë hartimit të ligjeve.</w:t>
            </w:r>
          </w:p>
          <w:p w:rsidR="00E92DB2" w:rsidRPr="00ED60D8" w:rsidRDefault="00E92DB2" w:rsidP="00ED60D8">
            <w:pPr>
              <w:rPr>
                <w:rFonts w:ascii="Times New Roman" w:hAnsi="Times New Roman" w:cs="Times New Roman"/>
                <w:bCs/>
                <w:sz w:val="20"/>
                <w:szCs w:val="20"/>
                <w:lang w:val="sq-AL"/>
              </w:rPr>
            </w:pPr>
          </w:p>
          <w:p w:rsidR="00E92DB2" w:rsidRPr="00ED60D8" w:rsidRDefault="00E92DB2" w:rsidP="00ED60D8">
            <w:pPr>
              <w:rPr>
                <w:rFonts w:ascii="Times New Roman" w:hAnsi="Times New Roman" w:cs="Times New Roman"/>
                <w:bCs/>
                <w:sz w:val="20"/>
                <w:szCs w:val="20"/>
                <w:lang w:val="sq-AL"/>
              </w:rPr>
            </w:pPr>
          </w:p>
          <w:p w:rsidR="00E92DB2" w:rsidRPr="00ED60D8" w:rsidRDefault="00E92DB2" w:rsidP="00ED60D8">
            <w:pPr>
              <w:rPr>
                <w:rFonts w:ascii="Times New Roman" w:hAnsi="Times New Roman" w:cs="Times New Roman"/>
                <w:bCs/>
                <w:sz w:val="20"/>
                <w:szCs w:val="20"/>
                <w:lang w:val="sq-AL"/>
              </w:rPr>
            </w:pPr>
          </w:p>
          <w:p w:rsidR="00E92DB2" w:rsidRPr="00ED60D8" w:rsidRDefault="00E92DB2" w:rsidP="00ED60D8">
            <w:pPr>
              <w:rPr>
                <w:rFonts w:ascii="Times New Roman" w:hAnsi="Times New Roman" w:cs="Times New Roman"/>
                <w:bCs/>
                <w:sz w:val="20"/>
                <w:szCs w:val="20"/>
                <w:lang w:val="sq-AL"/>
              </w:rPr>
            </w:pPr>
          </w:p>
          <w:p w:rsidR="007D2FC2" w:rsidRPr="00D51BA4" w:rsidRDefault="007D2FC2" w:rsidP="00ED60D8">
            <w:pPr>
              <w:rPr>
                <w:rFonts w:ascii="Times New Roman" w:hAnsi="Times New Roman" w:cs="Times New Roman"/>
                <w:bCs/>
                <w:sz w:val="20"/>
                <w:szCs w:val="20"/>
                <w:lang w:val="sq-AL"/>
              </w:rPr>
            </w:pPr>
          </w:p>
        </w:tc>
      </w:tr>
      <w:tr w:rsidR="008C468D" w:rsidRPr="000149C9" w:rsidTr="00C31CAD">
        <w:trPr>
          <w:trHeight w:val="3207"/>
        </w:trPr>
        <w:tc>
          <w:tcPr>
            <w:tcW w:w="1733" w:type="dxa"/>
            <w:tcBorders>
              <w:top w:val="single" w:sz="4" w:space="0" w:color="auto"/>
              <w:bottom w:val="single" w:sz="4" w:space="0" w:color="auto"/>
            </w:tcBorders>
            <w:shd w:val="clear" w:color="auto" w:fill="DBE5F1" w:themeFill="accent1" w:themeFillTint="33"/>
          </w:tcPr>
          <w:p w:rsidR="008C468D" w:rsidRDefault="008C468D" w:rsidP="008D5AB5">
            <w:pPr>
              <w:rPr>
                <w:rFonts w:ascii="Times New Roman" w:hAnsi="Times New Roman" w:cs="Times New Roman"/>
                <w:b/>
                <w:bCs/>
                <w:sz w:val="20"/>
                <w:szCs w:val="20"/>
                <w:lang w:val="sq-AL"/>
              </w:rPr>
            </w:pPr>
          </w:p>
        </w:tc>
        <w:tc>
          <w:tcPr>
            <w:tcW w:w="3780" w:type="dxa"/>
            <w:shd w:val="clear" w:color="auto" w:fill="DBE5F1" w:themeFill="accent1" w:themeFillTint="33"/>
          </w:tcPr>
          <w:p w:rsidR="008C468D" w:rsidRDefault="00C31CAD" w:rsidP="005079A0">
            <w:pPr>
              <w:jc w:val="both"/>
              <w:rPr>
                <w:rFonts w:ascii="Times New Roman" w:hAnsi="Times New Roman" w:cs="Times New Roman"/>
                <w:bCs/>
                <w:sz w:val="20"/>
                <w:szCs w:val="20"/>
                <w:lang w:val="sq-AL"/>
              </w:rPr>
            </w:pPr>
            <w:r>
              <w:rPr>
                <w:rFonts w:ascii="Times New Roman" w:hAnsi="Times New Roman" w:cs="Times New Roman"/>
                <w:bCs/>
                <w:sz w:val="20"/>
                <w:szCs w:val="20"/>
                <w:lang w:val="sq-AL"/>
              </w:rPr>
              <w:t>GSJP n</w:t>
            </w:r>
            <w:r w:rsidRPr="00ED60D8">
              <w:rPr>
                <w:rFonts w:ascii="Times New Roman" w:hAnsi="Times New Roman" w:cs="Times New Roman"/>
                <w:bCs/>
                <w:sz w:val="20"/>
                <w:szCs w:val="20"/>
                <w:lang w:val="sq-AL"/>
              </w:rPr>
              <w:t>ë komentet e tyre kanë ofruar tetë (8) propozime, në të cilat propozohet që të rriten kompetencat në fushën e vetëdijesimit dhe parandalimit të korrupsionit, ngritja e kapaciteteve te hetimit administrativ për AKK, vendosja e bashkëpunimi ndërkombëtar për shkëmbim të informacionit, Rregullimi juridik i bashkëpunimit ndërmjet AKK-së, Prokurorisë dhe Policisë, formularët e standardizuar elektronik, përcaktimi i vlerës reale të pronave</w:t>
            </w:r>
            <w:r w:rsidR="005079A0" w:rsidRPr="00ED60D8">
              <w:rPr>
                <w:rFonts w:ascii="Times New Roman" w:hAnsi="Times New Roman" w:cs="Times New Roman"/>
                <w:bCs/>
                <w:sz w:val="20"/>
                <w:szCs w:val="20"/>
                <w:lang w:val="sq-AL"/>
              </w:rPr>
              <w:t>, nevojën për një mostër më përfaqësues të deklarimeve të pasurisë së justifikuar</w:t>
            </w:r>
          </w:p>
        </w:tc>
        <w:tc>
          <w:tcPr>
            <w:tcW w:w="1463" w:type="dxa"/>
            <w:shd w:val="clear" w:color="auto" w:fill="DBE5F1" w:themeFill="accent1" w:themeFillTint="33"/>
          </w:tcPr>
          <w:p w:rsidR="008C468D" w:rsidRDefault="00B2319D" w:rsidP="00ED60D8">
            <w:pPr>
              <w:jc w:val="both"/>
              <w:rPr>
                <w:rFonts w:ascii="Times New Roman" w:hAnsi="Times New Roman" w:cs="Times New Roman"/>
                <w:bCs/>
                <w:sz w:val="20"/>
                <w:szCs w:val="20"/>
                <w:lang w:val="sq-AL"/>
              </w:rPr>
            </w:pPr>
            <w:r>
              <w:rPr>
                <w:rFonts w:ascii="Times New Roman" w:hAnsi="Times New Roman" w:cs="Times New Roman"/>
                <w:bCs/>
                <w:sz w:val="20"/>
                <w:szCs w:val="20"/>
                <w:lang w:val="sq-AL"/>
              </w:rPr>
              <w:t>G</w:t>
            </w:r>
            <w:r w:rsidR="00164B8D">
              <w:rPr>
                <w:rFonts w:ascii="Times New Roman" w:hAnsi="Times New Roman" w:cs="Times New Roman"/>
                <w:bCs/>
                <w:sz w:val="20"/>
                <w:szCs w:val="20"/>
                <w:lang w:val="sq-AL"/>
              </w:rPr>
              <w:t>rupi p</w:t>
            </w:r>
            <w:r w:rsidR="00164B8D" w:rsidRPr="00ED60D8">
              <w:rPr>
                <w:rFonts w:ascii="Times New Roman" w:hAnsi="Times New Roman" w:cs="Times New Roman"/>
                <w:bCs/>
                <w:sz w:val="20"/>
                <w:szCs w:val="20"/>
                <w:lang w:val="sq-AL"/>
              </w:rPr>
              <w:t>ër Studime Juridike dhe Politike</w:t>
            </w:r>
          </w:p>
        </w:tc>
        <w:tc>
          <w:tcPr>
            <w:tcW w:w="1350" w:type="dxa"/>
            <w:shd w:val="clear" w:color="auto" w:fill="DBE5F1" w:themeFill="accent1" w:themeFillTint="33"/>
          </w:tcPr>
          <w:p w:rsidR="008C468D" w:rsidRPr="00CF05EF" w:rsidRDefault="00ED60D8" w:rsidP="00ED60D8">
            <w:pPr>
              <w:jc w:val="both"/>
              <w:rPr>
                <w:rFonts w:ascii="Times New Roman" w:hAnsi="Times New Roman" w:cs="Times New Roman"/>
                <w:bCs/>
                <w:sz w:val="20"/>
                <w:szCs w:val="20"/>
                <w:lang w:val="sq-AL"/>
              </w:rPr>
            </w:pPr>
            <w:r w:rsidRPr="00ED60D8">
              <w:rPr>
                <w:rFonts w:ascii="Times New Roman" w:hAnsi="Times New Roman" w:cs="Times New Roman"/>
                <w:bCs/>
                <w:sz w:val="20"/>
                <w:szCs w:val="20"/>
                <w:lang w:val="sq-AL"/>
              </w:rPr>
              <w:t>Nuk  është pranuar</w:t>
            </w:r>
          </w:p>
        </w:tc>
        <w:tc>
          <w:tcPr>
            <w:tcW w:w="6670" w:type="dxa"/>
            <w:shd w:val="clear" w:color="auto" w:fill="DBE5F1" w:themeFill="accent1" w:themeFillTint="33"/>
          </w:tcPr>
          <w:p w:rsidR="008C468D" w:rsidRPr="00D51BA4" w:rsidRDefault="00ED60D8" w:rsidP="00D51BA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Nuk është pranuar në këtë koncept dokument. Sidoqoftë, rekomandimet janë shumë profesionale dhe do të inkorporohen gjatë hartimit të ligjit për agjencinë. Janë komente të cilat kanë të bëjnë me zgjerimin e mandatit dhe kompetencave të AKK-së, për të cilat AKK, përmes grupit punues që do të formohet do të paraqes kompetenca dhe mandatin e saj, të cilat më pas mund të konfirmohen nga institucionet gjegjëse.</w:t>
            </w:r>
          </w:p>
        </w:tc>
      </w:tr>
      <w:tr w:rsidR="00E43FB5" w:rsidRPr="000149C9" w:rsidTr="00C31CAD">
        <w:trPr>
          <w:trHeight w:val="3207"/>
        </w:trPr>
        <w:tc>
          <w:tcPr>
            <w:tcW w:w="1733" w:type="dxa"/>
            <w:tcBorders>
              <w:top w:val="single" w:sz="4" w:space="0" w:color="auto"/>
              <w:bottom w:val="single" w:sz="4" w:space="0" w:color="auto"/>
            </w:tcBorders>
            <w:shd w:val="clear" w:color="auto" w:fill="DBE5F1" w:themeFill="accent1" w:themeFillTint="33"/>
          </w:tcPr>
          <w:p w:rsidR="00E43FB5" w:rsidRPr="002C7BDA" w:rsidRDefault="00E43FB5" w:rsidP="002C7BDA">
            <w:pPr>
              <w:jc w:val="both"/>
              <w:rPr>
                <w:rFonts w:ascii="Times New Roman" w:hAnsi="Times New Roman" w:cs="Times New Roman"/>
                <w:bCs/>
                <w:sz w:val="20"/>
                <w:szCs w:val="20"/>
                <w:lang w:val="sq-AL"/>
              </w:rPr>
            </w:pPr>
            <w:r w:rsidRPr="002C7BDA">
              <w:rPr>
                <w:rFonts w:ascii="Times New Roman" w:hAnsi="Times New Roman" w:cs="Times New Roman"/>
                <w:bCs/>
                <w:sz w:val="20"/>
                <w:szCs w:val="20"/>
                <w:lang w:val="sq-AL"/>
              </w:rPr>
              <w:t>Komente tjera:</w:t>
            </w:r>
          </w:p>
        </w:tc>
        <w:tc>
          <w:tcPr>
            <w:tcW w:w="3780" w:type="dxa"/>
            <w:shd w:val="clear" w:color="auto" w:fill="DBE5F1" w:themeFill="accent1" w:themeFillTint="33"/>
          </w:tcPr>
          <w:p w:rsidR="00E43FB5" w:rsidRDefault="00E43FB5" w:rsidP="002C7BDA">
            <w:pPr>
              <w:jc w:val="both"/>
              <w:rPr>
                <w:rFonts w:ascii="Times New Roman" w:hAnsi="Times New Roman" w:cs="Times New Roman"/>
                <w:bCs/>
                <w:sz w:val="20"/>
                <w:szCs w:val="20"/>
                <w:lang w:val="sq-AL"/>
              </w:rPr>
            </w:pPr>
            <w:proofErr w:type="spellStart"/>
            <w:r>
              <w:rPr>
                <w:rFonts w:ascii="Times New Roman" w:hAnsi="Times New Roman" w:cs="Times New Roman"/>
                <w:bCs/>
                <w:sz w:val="20"/>
                <w:szCs w:val="20"/>
                <w:lang w:val="sq-AL"/>
              </w:rPr>
              <w:t>MBPZhR</w:t>
            </w:r>
            <w:proofErr w:type="spellEnd"/>
            <w:r>
              <w:rPr>
                <w:rFonts w:ascii="Times New Roman" w:hAnsi="Times New Roman" w:cs="Times New Roman"/>
                <w:bCs/>
                <w:sz w:val="20"/>
                <w:szCs w:val="20"/>
                <w:lang w:val="sq-AL"/>
              </w:rPr>
              <w:t xml:space="preserve"> kan</w:t>
            </w:r>
            <w:r w:rsidRPr="002C7BDA">
              <w:rPr>
                <w:rFonts w:ascii="Times New Roman" w:hAnsi="Times New Roman" w:cs="Times New Roman"/>
                <w:bCs/>
                <w:sz w:val="20"/>
                <w:szCs w:val="20"/>
                <w:lang w:val="sq-AL"/>
              </w:rPr>
              <w:t xml:space="preserve">ë ofruar disa komente të cilat janë më shumë të natyrës teknike që kanë të bëjnë me </w:t>
            </w:r>
            <w:r w:rsidR="00031D33" w:rsidRPr="002C7BDA">
              <w:rPr>
                <w:rFonts w:ascii="Times New Roman" w:hAnsi="Times New Roman" w:cs="Times New Roman"/>
                <w:bCs/>
                <w:sz w:val="20"/>
                <w:szCs w:val="20"/>
                <w:lang w:val="sq-AL"/>
              </w:rPr>
              <w:t>Kapitullit II</w:t>
            </w:r>
            <w:r w:rsidRPr="002C7BDA">
              <w:rPr>
                <w:rFonts w:ascii="Times New Roman" w:hAnsi="Times New Roman" w:cs="Times New Roman"/>
                <w:bCs/>
                <w:sz w:val="20"/>
                <w:szCs w:val="20"/>
                <w:lang w:val="sq-AL"/>
              </w:rPr>
              <w:t xml:space="preserve"> të Koncept Dokumentit</w:t>
            </w:r>
            <w:r w:rsidR="00031D33" w:rsidRPr="002C7BDA">
              <w:rPr>
                <w:rFonts w:ascii="Times New Roman" w:hAnsi="Times New Roman" w:cs="Times New Roman"/>
                <w:bCs/>
                <w:sz w:val="20"/>
                <w:szCs w:val="20"/>
                <w:lang w:val="sq-AL"/>
              </w:rPr>
              <w:t>.</w:t>
            </w:r>
          </w:p>
        </w:tc>
        <w:tc>
          <w:tcPr>
            <w:tcW w:w="1463" w:type="dxa"/>
            <w:shd w:val="clear" w:color="auto" w:fill="DBE5F1" w:themeFill="accent1" w:themeFillTint="33"/>
          </w:tcPr>
          <w:p w:rsidR="00E43FB5" w:rsidRDefault="00E43FB5" w:rsidP="008D5AB5">
            <w:pPr>
              <w:rPr>
                <w:rFonts w:ascii="Times New Roman" w:hAnsi="Times New Roman" w:cs="Times New Roman"/>
                <w:bCs/>
                <w:sz w:val="20"/>
                <w:szCs w:val="20"/>
                <w:lang w:val="sq-AL"/>
              </w:rPr>
            </w:pPr>
            <w:proofErr w:type="spellStart"/>
            <w:r>
              <w:rPr>
                <w:rFonts w:ascii="Times New Roman" w:hAnsi="Times New Roman" w:cs="Times New Roman"/>
                <w:bCs/>
                <w:sz w:val="20"/>
                <w:szCs w:val="20"/>
                <w:lang w:val="sq-AL"/>
              </w:rPr>
              <w:t>MBPZhR</w:t>
            </w:r>
            <w:proofErr w:type="spellEnd"/>
          </w:p>
        </w:tc>
        <w:tc>
          <w:tcPr>
            <w:tcW w:w="1350" w:type="dxa"/>
            <w:shd w:val="clear" w:color="auto" w:fill="DBE5F1" w:themeFill="accent1" w:themeFillTint="33"/>
          </w:tcPr>
          <w:p w:rsidR="00E43FB5" w:rsidRPr="00CF05EF" w:rsidRDefault="002C7BDA" w:rsidP="00D51BA4">
            <w:pPr>
              <w:rPr>
                <w:rFonts w:ascii="Times New Roman" w:hAnsi="Times New Roman" w:cs="Times New Roman"/>
                <w:bCs/>
                <w:sz w:val="20"/>
                <w:szCs w:val="20"/>
                <w:lang w:val="sq-AL"/>
              </w:rPr>
            </w:pPr>
            <w:r w:rsidRPr="00ED60D8">
              <w:rPr>
                <w:rFonts w:ascii="Times New Roman" w:hAnsi="Times New Roman" w:cs="Times New Roman"/>
                <w:bCs/>
                <w:sz w:val="20"/>
                <w:szCs w:val="20"/>
                <w:lang w:val="sq-AL"/>
              </w:rPr>
              <w:t>Është pranuar</w:t>
            </w:r>
          </w:p>
        </w:tc>
        <w:tc>
          <w:tcPr>
            <w:tcW w:w="6670" w:type="dxa"/>
            <w:shd w:val="clear" w:color="auto" w:fill="DBE5F1" w:themeFill="accent1" w:themeFillTint="33"/>
          </w:tcPr>
          <w:p w:rsidR="00E43FB5" w:rsidRPr="00D51BA4" w:rsidRDefault="002C7BDA" w:rsidP="00D51BA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Komentet janë pranuar dhe inkorporuar në dokument. </w:t>
            </w:r>
          </w:p>
        </w:tc>
      </w:tr>
    </w:tbl>
    <w:p w:rsidR="009408E4" w:rsidRPr="001946C7" w:rsidRDefault="009408E4" w:rsidP="000149C9">
      <w:pPr>
        <w:rPr>
          <w:lang w:val="sq-AL"/>
        </w:rPr>
      </w:pPr>
    </w:p>
    <w:sectPr w:rsidR="009408E4" w:rsidRPr="001946C7"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03" w:rsidRDefault="00B83E03" w:rsidP="00F73351">
      <w:r>
        <w:separator/>
      </w:r>
    </w:p>
  </w:endnote>
  <w:endnote w:type="continuationSeparator" w:id="0">
    <w:p w:rsidR="00B83E03" w:rsidRDefault="00B83E03"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28C" w:rsidRDefault="00DE7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98A">
      <w:rPr>
        <w:rStyle w:val="PageNumber"/>
        <w:noProof/>
      </w:rPr>
      <w:t>8</w:t>
    </w:r>
    <w:r>
      <w:rPr>
        <w:rStyle w:val="PageNumber"/>
      </w:rPr>
      <w:fldChar w:fldCharType="end"/>
    </w:r>
  </w:p>
  <w:p w:rsidR="00DE728C" w:rsidRDefault="00DE7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03" w:rsidRDefault="00B83E03" w:rsidP="00F73351">
      <w:r>
        <w:separator/>
      </w:r>
    </w:p>
  </w:footnote>
  <w:footnote w:type="continuationSeparator" w:id="0">
    <w:p w:rsidR="00B83E03" w:rsidRDefault="00B83E03" w:rsidP="00F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479BF"/>
    <w:multiLevelType w:val="hybridMultilevel"/>
    <w:tmpl w:val="7420634A"/>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31"/>
    <w:rsid w:val="000002E6"/>
    <w:rsid w:val="000149C9"/>
    <w:rsid w:val="00024FCC"/>
    <w:rsid w:val="00031D33"/>
    <w:rsid w:val="0003754F"/>
    <w:rsid w:val="00053AF1"/>
    <w:rsid w:val="00055165"/>
    <w:rsid w:val="00056B2F"/>
    <w:rsid w:val="00057884"/>
    <w:rsid w:val="00061561"/>
    <w:rsid w:val="00071463"/>
    <w:rsid w:val="000775D2"/>
    <w:rsid w:val="00084FD6"/>
    <w:rsid w:val="00086A36"/>
    <w:rsid w:val="00086B8F"/>
    <w:rsid w:val="0009659D"/>
    <w:rsid w:val="000A3F55"/>
    <w:rsid w:val="000B3E22"/>
    <w:rsid w:val="000C223E"/>
    <w:rsid w:val="00105401"/>
    <w:rsid w:val="0011098A"/>
    <w:rsid w:val="00116CF4"/>
    <w:rsid w:val="00124BD5"/>
    <w:rsid w:val="00155ECB"/>
    <w:rsid w:val="0015694D"/>
    <w:rsid w:val="00156DB0"/>
    <w:rsid w:val="00164B8D"/>
    <w:rsid w:val="0017464F"/>
    <w:rsid w:val="00187BF0"/>
    <w:rsid w:val="00192F0B"/>
    <w:rsid w:val="0019332D"/>
    <w:rsid w:val="001946C7"/>
    <w:rsid w:val="001A4C7D"/>
    <w:rsid w:val="001D48EE"/>
    <w:rsid w:val="001E723B"/>
    <w:rsid w:val="00211C40"/>
    <w:rsid w:val="0022293E"/>
    <w:rsid w:val="00223C8B"/>
    <w:rsid w:val="00227020"/>
    <w:rsid w:val="00227CB6"/>
    <w:rsid w:val="002416D2"/>
    <w:rsid w:val="002455AB"/>
    <w:rsid w:val="00251EA2"/>
    <w:rsid w:val="002565E7"/>
    <w:rsid w:val="00260E9A"/>
    <w:rsid w:val="0028039C"/>
    <w:rsid w:val="0028616E"/>
    <w:rsid w:val="00286DC7"/>
    <w:rsid w:val="00290FC0"/>
    <w:rsid w:val="002B1E4E"/>
    <w:rsid w:val="002C4F2A"/>
    <w:rsid w:val="002C7BDA"/>
    <w:rsid w:val="002D0C30"/>
    <w:rsid w:val="002D2BCA"/>
    <w:rsid w:val="00325848"/>
    <w:rsid w:val="0035110A"/>
    <w:rsid w:val="00353331"/>
    <w:rsid w:val="0035601B"/>
    <w:rsid w:val="00367970"/>
    <w:rsid w:val="0037799E"/>
    <w:rsid w:val="0038179F"/>
    <w:rsid w:val="00383CA7"/>
    <w:rsid w:val="00387430"/>
    <w:rsid w:val="00387814"/>
    <w:rsid w:val="003A0A8D"/>
    <w:rsid w:val="003B16D6"/>
    <w:rsid w:val="003C2AAB"/>
    <w:rsid w:val="003D4668"/>
    <w:rsid w:val="003D6373"/>
    <w:rsid w:val="003F09C2"/>
    <w:rsid w:val="004007B7"/>
    <w:rsid w:val="00422DAC"/>
    <w:rsid w:val="00427CD1"/>
    <w:rsid w:val="00463DFC"/>
    <w:rsid w:val="00465502"/>
    <w:rsid w:val="00466867"/>
    <w:rsid w:val="00466AE1"/>
    <w:rsid w:val="00477008"/>
    <w:rsid w:val="00477D0D"/>
    <w:rsid w:val="004954E1"/>
    <w:rsid w:val="004A4723"/>
    <w:rsid w:val="004B1A86"/>
    <w:rsid w:val="004F60F8"/>
    <w:rsid w:val="005079A0"/>
    <w:rsid w:val="005079B7"/>
    <w:rsid w:val="00513795"/>
    <w:rsid w:val="00516854"/>
    <w:rsid w:val="0052733B"/>
    <w:rsid w:val="00536511"/>
    <w:rsid w:val="00543E99"/>
    <w:rsid w:val="00551E95"/>
    <w:rsid w:val="005632AF"/>
    <w:rsid w:val="0056521F"/>
    <w:rsid w:val="005960D7"/>
    <w:rsid w:val="005B5993"/>
    <w:rsid w:val="005B6B63"/>
    <w:rsid w:val="005C51B4"/>
    <w:rsid w:val="005F2AD3"/>
    <w:rsid w:val="005F5BCE"/>
    <w:rsid w:val="0060173B"/>
    <w:rsid w:val="006222B1"/>
    <w:rsid w:val="00622315"/>
    <w:rsid w:val="00641EB5"/>
    <w:rsid w:val="00647489"/>
    <w:rsid w:val="00655765"/>
    <w:rsid w:val="00657DEE"/>
    <w:rsid w:val="00663A76"/>
    <w:rsid w:val="00666B64"/>
    <w:rsid w:val="0068116F"/>
    <w:rsid w:val="00693E38"/>
    <w:rsid w:val="00696DCC"/>
    <w:rsid w:val="006A6080"/>
    <w:rsid w:val="006A67DA"/>
    <w:rsid w:val="006B307D"/>
    <w:rsid w:val="006C0B7B"/>
    <w:rsid w:val="006C6995"/>
    <w:rsid w:val="006D0303"/>
    <w:rsid w:val="006D3554"/>
    <w:rsid w:val="006D394B"/>
    <w:rsid w:val="006D44A3"/>
    <w:rsid w:val="006D7219"/>
    <w:rsid w:val="006E7ADC"/>
    <w:rsid w:val="006F5DA0"/>
    <w:rsid w:val="00702FB6"/>
    <w:rsid w:val="00711523"/>
    <w:rsid w:val="00711759"/>
    <w:rsid w:val="00711CF2"/>
    <w:rsid w:val="00717637"/>
    <w:rsid w:val="00756705"/>
    <w:rsid w:val="00787850"/>
    <w:rsid w:val="007A523D"/>
    <w:rsid w:val="007C4683"/>
    <w:rsid w:val="007C5A05"/>
    <w:rsid w:val="007D2FC2"/>
    <w:rsid w:val="007E177D"/>
    <w:rsid w:val="007E5ADE"/>
    <w:rsid w:val="007E6904"/>
    <w:rsid w:val="007F090A"/>
    <w:rsid w:val="007F6EDE"/>
    <w:rsid w:val="00823DC9"/>
    <w:rsid w:val="0083307D"/>
    <w:rsid w:val="00845AD9"/>
    <w:rsid w:val="00845FB4"/>
    <w:rsid w:val="0085079D"/>
    <w:rsid w:val="00854570"/>
    <w:rsid w:val="00862460"/>
    <w:rsid w:val="00866D17"/>
    <w:rsid w:val="008738FC"/>
    <w:rsid w:val="008752D8"/>
    <w:rsid w:val="008753F3"/>
    <w:rsid w:val="00880E82"/>
    <w:rsid w:val="008839F8"/>
    <w:rsid w:val="00891A87"/>
    <w:rsid w:val="00896F88"/>
    <w:rsid w:val="008A686E"/>
    <w:rsid w:val="008B69FB"/>
    <w:rsid w:val="008C0F99"/>
    <w:rsid w:val="008C468D"/>
    <w:rsid w:val="008C5A57"/>
    <w:rsid w:val="008D5AB5"/>
    <w:rsid w:val="008D5EAD"/>
    <w:rsid w:val="008D6297"/>
    <w:rsid w:val="008F00A3"/>
    <w:rsid w:val="008F4D5B"/>
    <w:rsid w:val="00904ED8"/>
    <w:rsid w:val="00912773"/>
    <w:rsid w:val="00920152"/>
    <w:rsid w:val="00930EB9"/>
    <w:rsid w:val="00932CA5"/>
    <w:rsid w:val="009408E4"/>
    <w:rsid w:val="00966B3E"/>
    <w:rsid w:val="00967187"/>
    <w:rsid w:val="009713FA"/>
    <w:rsid w:val="009724C8"/>
    <w:rsid w:val="009743FF"/>
    <w:rsid w:val="00995424"/>
    <w:rsid w:val="009A1224"/>
    <w:rsid w:val="009B0785"/>
    <w:rsid w:val="009D280E"/>
    <w:rsid w:val="009D3366"/>
    <w:rsid w:val="009D3B51"/>
    <w:rsid w:val="009E21D4"/>
    <w:rsid w:val="009E314C"/>
    <w:rsid w:val="009E469F"/>
    <w:rsid w:val="009E6288"/>
    <w:rsid w:val="009F5AB2"/>
    <w:rsid w:val="00A07576"/>
    <w:rsid w:val="00A23AD7"/>
    <w:rsid w:val="00A25D68"/>
    <w:rsid w:val="00A30322"/>
    <w:rsid w:val="00A3310D"/>
    <w:rsid w:val="00A4181A"/>
    <w:rsid w:val="00A46053"/>
    <w:rsid w:val="00A552BB"/>
    <w:rsid w:val="00A6097A"/>
    <w:rsid w:val="00A9507D"/>
    <w:rsid w:val="00A95FCB"/>
    <w:rsid w:val="00AA1214"/>
    <w:rsid w:val="00AA3B34"/>
    <w:rsid w:val="00AA73B3"/>
    <w:rsid w:val="00AD24BC"/>
    <w:rsid w:val="00AE6125"/>
    <w:rsid w:val="00AF037B"/>
    <w:rsid w:val="00B22497"/>
    <w:rsid w:val="00B22DA9"/>
    <w:rsid w:val="00B2319D"/>
    <w:rsid w:val="00B338E1"/>
    <w:rsid w:val="00B353FF"/>
    <w:rsid w:val="00B408B9"/>
    <w:rsid w:val="00B4230E"/>
    <w:rsid w:val="00B47C17"/>
    <w:rsid w:val="00B50D47"/>
    <w:rsid w:val="00B60070"/>
    <w:rsid w:val="00B61718"/>
    <w:rsid w:val="00B7275F"/>
    <w:rsid w:val="00B774A1"/>
    <w:rsid w:val="00B77D83"/>
    <w:rsid w:val="00B83E03"/>
    <w:rsid w:val="00B85A93"/>
    <w:rsid w:val="00B8768D"/>
    <w:rsid w:val="00BA4B16"/>
    <w:rsid w:val="00BA7F0A"/>
    <w:rsid w:val="00BC4A5A"/>
    <w:rsid w:val="00BC6EB5"/>
    <w:rsid w:val="00BC736B"/>
    <w:rsid w:val="00BD182B"/>
    <w:rsid w:val="00BD421C"/>
    <w:rsid w:val="00BD426E"/>
    <w:rsid w:val="00BE7BF2"/>
    <w:rsid w:val="00BF0BD4"/>
    <w:rsid w:val="00BF31E6"/>
    <w:rsid w:val="00C0277A"/>
    <w:rsid w:val="00C167F7"/>
    <w:rsid w:val="00C23324"/>
    <w:rsid w:val="00C27B78"/>
    <w:rsid w:val="00C31557"/>
    <w:rsid w:val="00C31CAD"/>
    <w:rsid w:val="00C31E62"/>
    <w:rsid w:val="00C36E60"/>
    <w:rsid w:val="00C43627"/>
    <w:rsid w:val="00C45101"/>
    <w:rsid w:val="00C57185"/>
    <w:rsid w:val="00C57BFF"/>
    <w:rsid w:val="00C60403"/>
    <w:rsid w:val="00C60AD5"/>
    <w:rsid w:val="00C63D1C"/>
    <w:rsid w:val="00C6561E"/>
    <w:rsid w:val="00C7535F"/>
    <w:rsid w:val="00C84FDC"/>
    <w:rsid w:val="00C86D8A"/>
    <w:rsid w:val="00C94414"/>
    <w:rsid w:val="00CE0E58"/>
    <w:rsid w:val="00CF05EF"/>
    <w:rsid w:val="00CF096E"/>
    <w:rsid w:val="00CF20AA"/>
    <w:rsid w:val="00D021AC"/>
    <w:rsid w:val="00D1536C"/>
    <w:rsid w:val="00D2664F"/>
    <w:rsid w:val="00D32A7F"/>
    <w:rsid w:val="00D3426C"/>
    <w:rsid w:val="00D37CD9"/>
    <w:rsid w:val="00D42C78"/>
    <w:rsid w:val="00D47555"/>
    <w:rsid w:val="00D51295"/>
    <w:rsid w:val="00D51BA4"/>
    <w:rsid w:val="00D70075"/>
    <w:rsid w:val="00D7518F"/>
    <w:rsid w:val="00D751C0"/>
    <w:rsid w:val="00D870B7"/>
    <w:rsid w:val="00DB314C"/>
    <w:rsid w:val="00DC4A3A"/>
    <w:rsid w:val="00DC5C89"/>
    <w:rsid w:val="00DE6F39"/>
    <w:rsid w:val="00DE728C"/>
    <w:rsid w:val="00E0180E"/>
    <w:rsid w:val="00E024D4"/>
    <w:rsid w:val="00E301BF"/>
    <w:rsid w:val="00E4367C"/>
    <w:rsid w:val="00E43FB5"/>
    <w:rsid w:val="00E47F1C"/>
    <w:rsid w:val="00E57F00"/>
    <w:rsid w:val="00E6366D"/>
    <w:rsid w:val="00E66110"/>
    <w:rsid w:val="00E86F55"/>
    <w:rsid w:val="00E92DB2"/>
    <w:rsid w:val="00E93913"/>
    <w:rsid w:val="00EA01C8"/>
    <w:rsid w:val="00EA6FDF"/>
    <w:rsid w:val="00EA7270"/>
    <w:rsid w:val="00EB3058"/>
    <w:rsid w:val="00EB7CA5"/>
    <w:rsid w:val="00EC0CA1"/>
    <w:rsid w:val="00EC0CD0"/>
    <w:rsid w:val="00ED2806"/>
    <w:rsid w:val="00ED4D02"/>
    <w:rsid w:val="00ED5251"/>
    <w:rsid w:val="00ED60D8"/>
    <w:rsid w:val="00EF4170"/>
    <w:rsid w:val="00F03354"/>
    <w:rsid w:val="00F1282E"/>
    <w:rsid w:val="00F214A1"/>
    <w:rsid w:val="00F21CC7"/>
    <w:rsid w:val="00F251F8"/>
    <w:rsid w:val="00F3220B"/>
    <w:rsid w:val="00F37732"/>
    <w:rsid w:val="00F4475B"/>
    <w:rsid w:val="00F70C55"/>
    <w:rsid w:val="00F73351"/>
    <w:rsid w:val="00F745CD"/>
    <w:rsid w:val="00F7645F"/>
    <w:rsid w:val="00F80858"/>
    <w:rsid w:val="00FA188C"/>
    <w:rsid w:val="00FB257B"/>
    <w:rsid w:val="00FC05E0"/>
    <w:rsid w:val="00FC15B3"/>
    <w:rsid w:val="00FC508E"/>
    <w:rsid w:val="00FC512B"/>
    <w:rsid w:val="00FE01A5"/>
    <w:rsid w:val="00FE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3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qFormat/>
    <w:rsid w:val="00880E82"/>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3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qFormat/>
    <w:rsid w:val="00880E82"/>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CFB2303-B726-412C-ABBD-BB10B385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Ruzhdi Osmani</dc:creator>
  <cp:lastModifiedBy>Selvije Elezaj</cp:lastModifiedBy>
  <cp:revision>4</cp:revision>
  <cp:lastPrinted>2017-03-17T08:03:00Z</cp:lastPrinted>
  <dcterms:created xsi:type="dcterms:W3CDTF">2017-11-24T09:42:00Z</dcterms:created>
  <dcterms:modified xsi:type="dcterms:W3CDTF">2017-11-24T09:43:00Z</dcterms:modified>
</cp:coreProperties>
</file>