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hr-HR"/>
        </w:rPr>
      </w:pP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Raporti</w:t>
      </w:r>
      <w:r w:rsidR="00DC4A9B" w:rsidRPr="00DC4A9B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nga procesi i konsultimit</w:t>
      </w:r>
    </w:p>
    <w:p w:rsidR="00DC4A9B" w:rsidRPr="00DC4A9B" w:rsidRDefault="00656A69" w:rsidP="00656A69">
      <w:pPr>
        <w:spacing w:after="0" w:line="240" w:lineRule="auto"/>
        <w:jc w:val="center"/>
        <w:rPr>
          <w:rFonts w:ascii="Sylfaen" w:eastAsia="Calibri" w:hAnsi="Sylfaen"/>
          <w:sz w:val="24"/>
          <w:szCs w:val="24"/>
          <w:lang w:val="hr-HR"/>
        </w:rPr>
      </w:pP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>Udhëzimi</w:t>
      </w:r>
      <w:r w:rsidRPr="00656A69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Administrativ</w:t>
      </w: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</w:t>
      </w:r>
      <w:r w:rsidRPr="00656A69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>për</w:t>
      </w: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</w:t>
      </w:r>
      <w:r w:rsidRPr="00656A69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>procedurën e njoftimit dhe vlerësimin  e pajtueshmërisë së akteve  normative me ligjin për shërbime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233083" w:rsidRPr="00DC4A9B" w:rsidRDefault="00233083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026DC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1026DC">
        <w:rPr>
          <w:rFonts w:ascii="Sylfaen" w:eastAsia="Calibri" w:hAnsi="Sylfaen"/>
          <w:i/>
          <w:sz w:val="24"/>
          <w:szCs w:val="24"/>
          <w:lang w:val="hr-HR"/>
        </w:rPr>
        <w:t>Mini</w:t>
      </w:r>
      <w:r w:rsidR="001569EA">
        <w:rPr>
          <w:rFonts w:ascii="Sylfaen" w:eastAsia="Calibri" w:hAnsi="Sylfaen"/>
          <w:i/>
          <w:sz w:val="24"/>
          <w:szCs w:val="24"/>
          <w:lang w:val="hr-HR"/>
        </w:rPr>
        <w:t xml:space="preserve">stria e Tregtisë dhe Industrisë respektivisht 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Departamenti i Tregtisë në cilësinë e Organit Propozues të </w:t>
      </w:r>
      <w:r w:rsidR="00656A69" w:rsidRPr="00656A69">
        <w:rPr>
          <w:rFonts w:ascii="Sylfaen" w:eastAsia="Calibri" w:hAnsi="Sylfaen"/>
          <w:i/>
          <w:sz w:val="24"/>
          <w:szCs w:val="24"/>
          <w:lang w:val="hr-HR"/>
        </w:rPr>
        <w:t>Udhëzimit Administrativ</w:t>
      </w:r>
      <w:r w:rsidR="00656A6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656A69" w:rsidRPr="00656A69">
        <w:rPr>
          <w:rFonts w:ascii="Sylfaen" w:eastAsia="Calibri" w:hAnsi="Sylfaen"/>
          <w:i/>
          <w:sz w:val="24"/>
          <w:szCs w:val="24"/>
          <w:lang w:val="hr-HR"/>
        </w:rPr>
        <w:t>për</w:t>
      </w:r>
      <w:r w:rsidR="00656A6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656A69" w:rsidRPr="00656A69">
        <w:rPr>
          <w:rFonts w:ascii="Sylfaen" w:eastAsia="Calibri" w:hAnsi="Sylfaen"/>
          <w:i/>
          <w:sz w:val="24"/>
          <w:szCs w:val="24"/>
          <w:lang w:val="hr-HR"/>
        </w:rPr>
        <w:t>procedurën e njoftimit dhe vlerësimin  e pajtueshmërisë së akteve  normative me ligjin për shërbime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 xml:space="preserve"> ka 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>propozuar  hartimin e këti</w:t>
      </w:r>
      <w:r w:rsidR="00656A69">
        <w:rPr>
          <w:rFonts w:ascii="Sylfaen" w:eastAsia="Calibri" w:hAnsi="Sylfaen"/>
          <w:i/>
          <w:sz w:val="24"/>
          <w:szCs w:val="24"/>
          <w:lang w:val="hr-HR"/>
        </w:rPr>
        <w:t>j draft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>i me</w:t>
      </w:r>
      <w:r w:rsidR="00656A6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656A69">
        <w:rPr>
          <w:rFonts w:ascii="Sylfaen" w:eastAsia="Calibri" w:hAnsi="Sylfaen"/>
          <w:i/>
          <w:sz w:val="24"/>
          <w:szCs w:val="24"/>
          <w:lang w:val="sq-AL"/>
        </w:rPr>
        <w:t>qëllim që të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656A69" w:rsidRPr="00656A69">
        <w:rPr>
          <w:rFonts w:ascii="Sylfaen" w:eastAsia="Calibri" w:hAnsi="Sylfaen"/>
          <w:i/>
          <w:sz w:val="24"/>
          <w:szCs w:val="24"/>
          <w:lang w:val="hr-HR"/>
        </w:rPr>
        <w:t>rregullon mënyrën dhe metodologjinë për procedurën e njoftimit dhe vlerësimin  e përputhshmërisë së projekt akteve normative me Ligjin Nr. 05/L-130 Për Shërbime, i cili obligon organet  kompetente që gjatë hartimit të projekt akteve normative për ofrimin e shërbimeve, të njoftojnë Ministrinë e Tregtisë dhe Industrisë mbi përputhshmërinë sipas kërkesave të përcaktuara në Nenet 6, 9, 18 dhe 20 të Ligjit Nr. 05/L-130  Për Shërbime</w:t>
      </w:r>
      <w:r w:rsidR="00656A69">
        <w:rPr>
          <w:rFonts w:ascii="Sylfaen" w:eastAsia="Calibri" w:hAnsi="Sylfaen"/>
          <w:i/>
          <w:sz w:val="24"/>
          <w:szCs w:val="24"/>
          <w:lang w:val="hr-HR"/>
        </w:rPr>
        <w:t>.</w:t>
      </w:r>
      <w:r w:rsidR="00233083" w:rsidRPr="00233083">
        <w:t xml:space="preserve"> </w:t>
      </w:r>
      <w:r w:rsidR="00233083" w:rsidRPr="00233083">
        <w:rPr>
          <w:rFonts w:ascii="Sylfaen" w:eastAsia="Calibri" w:hAnsi="Sylfaen"/>
          <w:i/>
          <w:sz w:val="24"/>
          <w:szCs w:val="24"/>
          <w:lang w:val="hr-HR"/>
        </w:rPr>
        <w:t>Hartimi i Udhëzimit Administrativ për procedurën e njoftimit dhe vlerësimin  e pajtueshmërisë së akteve  normative me ligjin për shërbime, është paraparë në Ligjin për shërbime i përafruar me legjislacionin e BE-së, në të ciën ka për qëllim eliminimin e barrierave në tregtinë në shërbime, implementimin i plotë i tij duhet të eliminoj të gjitha këto barriera dhe të ju krijojë mundësinë ofruesve të shërbimeve, fuqizimin e të drejtave të marrësit apo pranuesit të shërbimeve dhe duhet të sigurojë një qasje sa më të gjerë në sektorët e shërbimeve.</w:t>
      </w:r>
    </w:p>
    <w:p w:rsidR="00656A69" w:rsidRDefault="00656A69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026DC" w:rsidRDefault="001026DC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1026DC">
        <w:rPr>
          <w:rFonts w:ascii="Sylfaen" w:eastAsia="Calibri" w:hAnsi="Sylfaen"/>
          <w:i/>
          <w:sz w:val="24"/>
          <w:szCs w:val="24"/>
          <w:lang w:val="hr-HR"/>
        </w:rPr>
        <w:t>Bazuar në Rregulloren nr.09/2011 të Punës së Qeverisë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>,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>Rregullore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>n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 xml:space="preserve"> nr.13/2013</w:t>
      </w:r>
      <w:r w:rsidR="008F298F">
        <w:rPr>
          <w:rFonts w:ascii="Sylfaen" w:eastAsia="Calibri" w:hAnsi="Sylfaen"/>
          <w:i/>
          <w:sz w:val="24"/>
          <w:szCs w:val="24"/>
          <w:lang w:val="hr-HR"/>
        </w:rPr>
        <w:t xml:space="preserve"> Për Shërbimin Ligjor Qeveritar,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Ministria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>i ka kaluar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 xml:space="preserve"> hapat e mëposhtëm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 xml:space="preserve"> të procesit legjislativ si:  formimin e grupit punues, pjesëmarrjen n</w:t>
      </w:r>
      <w:r w:rsidR="003C4CC4">
        <w:rPr>
          <w:rFonts w:ascii="Sylfaen" w:eastAsia="Calibri" w:hAnsi="Sylfaen"/>
          <w:i/>
          <w:sz w:val="24"/>
          <w:szCs w:val="24"/>
          <w:lang w:val="sq-AL"/>
        </w:rPr>
        <w:t xml:space="preserve">ë </w:t>
      </w:r>
      <w:r w:rsidR="001569EA">
        <w:rPr>
          <w:rFonts w:ascii="Sylfaen" w:eastAsia="Calibri" w:hAnsi="Sylfaen"/>
          <w:i/>
          <w:sz w:val="24"/>
          <w:szCs w:val="24"/>
          <w:lang w:val="sq-AL"/>
        </w:rPr>
        <w:t>disa takime me grupin punues</w:t>
      </w:r>
      <w:r w:rsidR="003C4CC4">
        <w:rPr>
          <w:rFonts w:ascii="Sylfaen" w:eastAsia="Calibri" w:hAnsi="Sylfaen"/>
          <w:i/>
          <w:sz w:val="24"/>
          <w:szCs w:val="24"/>
          <w:lang w:val="sq-AL"/>
        </w:rPr>
        <w:t xml:space="preserve"> për 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>Hartimi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 xml:space="preserve">n fillestar të </w:t>
      </w:r>
      <w:r w:rsidR="00656A69" w:rsidRPr="00656A69">
        <w:rPr>
          <w:rFonts w:ascii="Sylfaen" w:eastAsia="Calibri" w:hAnsi="Sylfaen"/>
          <w:i/>
          <w:sz w:val="24"/>
          <w:szCs w:val="24"/>
          <w:lang w:val="hr-HR"/>
        </w:rPr>
        <w:t>Udhëzimit Administrativ për procedurën e njoftimit dhe vlerësimin  e pajtueshmërisë së akteve  normative me ligjin për shërbime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79131E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79131E" w:rsidRPr="0079131E" w:rsidRDefault="0079131E" w:rsidP="0079131E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 xml:space="preserve">Qëllimi dhe fushëveprimi i 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 xml:space="preserve">konsultimit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gjatë hartimit të politikave </w:t>
      </w:r>
      <w:r>
        <w:rPr>
          <w:rFonts w:ascii="Sylfaen" w:eastAsia="Calibri" w:hAnsi="Sylfaen"/>
          <w:i/>
          <w:sz w:val="24"/>
          <w:szCs w:val="24"/>
          <w:lang w:val="hr-HR"/>
        </w:rPr>
        <w:t>është me rëndësi që të gjithë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ata që janë të përfshirë në procesin e konsultimit të jenë të njohur qysh prej fillimit me qëllimin dhe 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>fushëveprimin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e </w:t>
      </w:r>
      <w:r w:rsidR="00656A69">
        <w:rPr>
          <w:rFonts w:ascii="Sylfaen" w:eastAsia="Calibri" w:hAnsi="Sylfaen"/>
          <w:i/>
          <w:sz w:val="24"/>
          <w:szCs w:val="24"/>
          <w:lang w:val="hr-HR"/>
        </w:rPr>
        <w:t>udhëzim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>it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.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Kjo do ti ndihmoi Ministrisë për të analizuar gjendjen, identifikimin e problemeve, opsioneve</w:t>
      </w:r>
      <w:r w:rsidR="008F298F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përgatitjen e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 xml:space="preserve"> rekomandimeve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8F298F" w:rsidRPr="008F298F">
        <w:rPr>
          <w:rFonts w:ascii="Sylfaen" w:eastAsia="Calibri" w:hAnsi="Sylfaen"/>
          <w:i/>
          <w:sz w:val="24"/>
          <w:szCs w:val="24"/>
          <w:lang w:val="hr-HR"/>
        </w:rPr>
        <w:t xml:space="preserve">dhe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propozimeve 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>nga palët</w:t>
      </w:r>
      <w:r w:rsidR="008F298F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p</w:t>
      </w:r>
      <w:r w:rsidR="00474FDE">
        <w:rPr>
          <w:rFonts w:ascii="Sylfaen" w:eastAsia="Calibri" w:hAnsi="Sylfaen"/>
          <w:i/>
          <w:sz w:val="24"/>
          <w:szCs w:val="24"/>
          <w:lang w:val="hr-HR"/>
        </w:rPr>
        <w:t xml:space="preserve">ër ti përfshirë në </w:t>
      </w:r>
      <w:r w:rsidR="00656A69">
        <w:rPr>
          <w:rFonts w:ascii="Sylfaen" w:eastAsia="Calibri" w:hAnsi="Sylfaen"/>
          <w:i/>
          <w:sz w:val="24"/>
          <w:szCs w:val="24"/>
          <w:lang w:val="hr-HR"/>
        </w:rPr>
        <w:t>këtë draft udhëzim.</w:t>
      </w:r>
    </w:p>
    <w:p w:rsidR="001026DC" w:rsidRPr="00DC4A9B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Ecuria procesit të konsultimit</w:t>
      </w:r>
    </w:p>
    <w:p w:rsid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E673B1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983DEE">
        <w:rPr>
          <w:rFonts w:ascii="Sylfaen" w:eastAsia="Calibri" w:hAnsi="Sylfaen"/>
          <w:i/>
          <w:sz w:val="24"/>
          <w:szCs w:val="24"/>
          <w:lang w:val="hr-HR"/>
        </w:rPr>
        <w:lastRenderedPageBreak/>
        <w:t>Duke pasur parasysh se procesi i</w:t>
      </w:r>
      <w:r w:rsidR="00BD7595">
        <w:rPr>
          <w:rFonts w:ascii="Sylfaen" w:eastAsia="Calibri" w:hAnsi="Sylfaen"/>
          <w:i/>
          <w:sz w:val="24"/>
          <w:szCs w:val="24"/>
          <w:lang w:val="hr-HR"/>
        </w:rPr>
        <w:t xml:space="preserve"> konsultimeve është realizuar dhe është </w:t>
      </w:r>
      <w:r w:rsidRPr="00983DEE">
        <w:rPr>
          <w:rFonts w:ascii="Sylfaen" w:eastAsia="Calibri" w:hAnsi="Sylfaen"/>
          <w:i/>
          <w:sz w:val="24"/>
          <w:szCs w:val="24"/>
          <w:lang w:val="hr-HR"/>
        </w:rPr>
        <w:t>zhvilluar konform rregullave dhe procedura</w:t>
      </w:r>
      <w:r w:rsidR="00645408">
        <w:rPr>
          <w:rFonts w:ascii="Sylfaen" w:eastAsia="Calibri" w:hAnsi="Sylfaen"/>
          <w:i/>
          <w:sz w:val="24"/>
          <w:szCs w:val="24"/>
          <w:lang w:val="hr-HR"/>
        </w:rPr>
        <w:t>ve</w:t>
      </w:r>
      <w:r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 të përcaktuara në Rregulloren për Punën e Qeverisë nr. 09/2011, 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>Rregulloren NR. 05/2016 Për standardet minimale për procesin e konsultimit publik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>
        <w:rPr>
          <w:rFonts w:ascii="Sylfaen" w:eastAsia="Calibri" w:hAnsi="Sylfaen"/>
          <w:i/>
          <w:sz w:val="24"/>
          <w:szCs w:val="24"/>
          <w:lang w:val="hr-HR"/>
        </w:rPr>
        <w:t>Udhëzuesin për procesin e konsultimeve Nr.062/2011 dt. 26.09.2011,</w:t>
      </w:r>
      <w:r w:rsidR="00C85E8B" w:rsidRPr="00C85E8B">
        <w:t xml:space="preserve"> 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>Ministria e Tregtisë dhe Industrisë</w:t>
      </w:r>
      <w:r w:rsidR="00C85E8B">
        <w:rPr>
          <w:rFonts w:ascii="Sylfaen" w:eastAsia="Calibri" w:hAnsi="Sylfaen"/>
          <w:i/>
          <w:sz w:val="24"/>
          <w:szCs w:val="24"/>
          <w:lang w:val="hr-HR"/>
        </w:rPr>
        <w:t>, s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i organ propozues i këtij akti </w:t>
      </w:r>
      <w:r w:rsidR="00EF5CC6">
        <w:rPr>
          <w:rFonts w:ascii="Sylfaen" w:eastAsia="Calibri" w:hAnsi="Sylfaen"/>
          <w:i/>
          <w:sz w:val="24"/>
          <w:szCs w:val="24"/>
          <w:lang w:val="hr-HR"/>
        </w:rPr>
        <w:t>nën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>ligjor</w:t>
      </w:r>
      <w:r w:rsidR="00C85E8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ka zhvilluar procesin e konsultimeve paraprake dhe </w:t>
      </w:r>
      <w:r w:rsidR="00EF5CC6">
        <w:rPr>
          <w:rFonts w:ascii="Sylfaen" w:eastAsia="Calibri" w:hAnsi="Sylfaen"/>
          <w:i/>
          <w:sz w:val="24"/>
          <w:szCs w:val="24"/>
          <w:lang w:val="hr-HR"/>
        </w:rPr>
        <w:t>publike në të cilën udhëzimin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 e  ka dërguar në Konsultim te të gjitha institucionet përkatëse dhe shoqatat relevante, që t’ju ofrojmë informata për publikun e në veçanti për grupet e interesit me qëllim të merret mendimi i publikut dhe grupeve të interesit rreth hartimit të </w:t>
      </w:r>
      <w:r w:rsidR="00EF5CC6" w:rsidRPr="00EF5CC6">
        <w:rPr>
          <w:rFonts w:ascii="Sylfaen" w:eastAsia="Calibri" w:hAnsi="Sylfaen"/>
          <w:i/>
          <w:sz w:val="24"/>
          <w:szCs w:val="24"/>
          <w:lang w:val="hr-HR"/>
        </w:rPr>
        <w:t>Udhëzimit Administrativ për procedurën e njoftimit dhe vlerësimin  e pajtueshmërisë së akteve  normative me ligjin për shërbime</w:t>
      </w:r>
      <w:r w:rsidR="00E673B1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E673B1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706395" w:rsidRDefault="00E673B1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G</w:t>
      </w:r>
      <w:r w:rsidR="00983DEE"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jatë kësaj periudhe lidhur me </w:t>
      </w:r>
      <w:r w:rsidR="00706395" w:rsidRPr="00706395">
        <w:rPr>
          <w:rFonts w:ascii="Sylfaen" w:eastAsia="Calibri" w:hAnsi="Sylfaen"/>
          <w:i/>
          <w:sz w:val="24"/>
          <w:szCs w:val="24"/>
          <w:lang w:val="hr-HR"/>
        </w:rPr>
        <w:t>Udhëzimi</w:t>
      </w:r>
      <w:r w:rsidR="00706395">
        <w:rPr>
          <w:rFonts w:ascii="Sylfaen" w:eastAsia="Calibri" w:hAnsi="Sylfaen"/>
          <w:i/>
          <w:sz w:val="24"/>
          <w:szCs w:val="24"/>
          <w:lang w:val="hr-HR"/>
        </w:rPr>
        <w:t>n</w:t>
      </w:r>
      <w:r w:rsidR="00706395" w:rsidRPr="00706395">
        <w:rPr>
          <w:rFonts w:ascii="Sylfaen" w:eastAsia="Calibri" w:hAnsi="Sylfaen"/>
          <w:i/>
          <w:sz w:val="24"/>
          <w:szCs w:val="24"/>
          <w:lang w:val="hr-HR"/>
        </w:rPr>
        <w:t xml:space="preserve"> Administrativ për procedurën e njoftimit dhe vlerësimin  e pajtueshmërisë së akteve  normative me ligjin për shërbime</w:t>
      </w:r>
      <w:r w:rsidR="00C9294D">
        <w:rPr>
          <w:rFonts w:ascii="Sylfaen" w:eastAsia="Calibri" w:hAnsi="Sylfaen"/>
          <w:i/>
          <w:sz w:val="24"/>
          <w:szCs w:val="24"/>
          <w:lang w:val="hr-HR"/>
        </w:rPr>
        <w:t>, nuk kemi pranuar komente nga palët e interesit.</w:t>
      </w:r>
    </w:p>
    <w:p w:rsidR="00706395" w:rsidRDefault="00706395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Kohëzgjatja</w:t>
      </w:r>
      <w:r w:rsidR="00DC4A9B"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 e procesit të kons</w:t>
      </w:r>
      <w:r>
        <w:rPr>
          <w:rFonts w:ascii="Sylfaen" w:eastAsia="Calibri" w:hAnsi="Sylfaen"/>
          <w:i/>
          <w:sz w:val="24"/>
          <w:szCs w:val="24"/>
          <w:lang w:val="hr-HR"/>
        </w:rPr>
        <w:t>ultimit të dokumentit në fjalë, është bërë konform Rregullores</w:t>
      </w:r>
      <w:r w:rsidRPr="005D65F8">
        <w:rPr>
          <w:rFonts w:ascii="Sylfaen" w:eastAsia="Calibri" w:hAnsi="Sylfaen"/>
          <w:i/>
          <w:sz w:val="24"/>
          <w:szCs w:val="24"/>
          <w:lang w:val="hr-HR"/>
        </w:rPr>
        <w:t xml:space="preserve"> p</w:t>
      </w:r>
      <w:r>
        <w:rPr>
          <w:rFonts w:ascii="Sylfaen" w:eastAsia="Calibri" w:hAnsi="Sylfaen"/>
          <w:i/>
          <w:sz w:val="24"/>
          <w:szCs w:val="24"/>
          <w:lang w:val="hr-HR"/>
        </w:rPr>
        <w:t>ër Punën e Qeverisë nr. 09/2011.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DC4A9B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Metodat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Konsultimit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Datat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>/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kohëzgjatja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cilet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kane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kontribuar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komenteve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pranuara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Metodat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Konsultimit</w:t>
            </w:r>
            <w:proofErr w:type="spellEnd"/>
          </w:p>
        </w:tc>
        <w:tc>
          <w:tcPr>
            <w:tcW w:w="167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Datat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>/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kohëzgjatja</w:t>
            </w:r>
            <w:proofErr w:type="spellEnd"/>
          </w:p>
        </w:tc>
        <w:tc>
          <w:tcPr>
            <w:tcW w:w="1483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cilet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kane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kontribuar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komenteve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pranuara</w:t>
            </w:r>
            <w:proofErr w:type="spellEnd"/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Konsultimet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shkrim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/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mënyrë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elektronike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;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06395" w:rsidP="00D2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20.06.2017</w:t>
            </w:r>
            <w:r>
              <w:rPr>
                <w:rFonts w:ascii="Sylfaen" w:hAnsi="Sylfaen"/>
                <w:sz w:val="21"/>
                <w:szCs w:val="24"/>
              </w:rPr>
              <w:tab/>
              <w:t>10.07</w:t>
            </w:r>
            <w:r w:rsidR="00D24163" w:rsidRPr="00D24163">
              <w:rPr>
                <w:rFonts w:ascii="Sylfaen" w:hAnsi="Sylfaen"/>
                <w:sz w:val="21"/>
                <w:szCs w:val="24"/>
              </w:rPr>
              <w:t xml:space="preserve">.2017 </w:t>
            </w:r>
            <w:r w:rsidR="00717A99">
              <w:rPr>
                <w:rFonts w:ascii="Sylfaen" w:hAnsi="Sylfaen"/>
                <w:sz w:val="21"/>
                <w:szCs w:val="24"/>
              </w:rPr>
              <w:t xml:space="preserve"> 15 </w:t>
            </w:r>
            <w:proofErr w:type="spellStart"/>
            <w:r w:rsidR="00717A99">
              <w:rPr>
                <w:rFonts w:ascii="Sylfaen" w:hAnsi="Sylfaen"/>
                <w:sz w:val="21"/>
                <w:szCs w:val="24"/>
              </w:rPr>
              <w:t>ditë</w:t>
            </w:r>
            <w:proofErr w:type="spellEnd"/>
            <w:r w:rsidR="00717A99">
              <w:rPr>
                <w:rFonts w:ascii="Sylfaen" w:hAnsi="Sylfaen"/>
                <w:sz w:val="21"/>
                <w:szCs w:val="24"/>
              </w:rPr>
              <w:t xml:space="preserve"> </w:t>
            </w:r>
            <w:proofErr w:type="spellStart"/>
            <w:r w:rsidR="00717A99">
              <w:rPr>
                <w:rFonts w:ascii="Sylfaen" w:hAnsi="Sylfaen"/>
                <w:sz w:val="21"/>
                <w:szCs w:val="24"/>
              </w:rPr>
              <w:t>pune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45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Konsultimet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shkrim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/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mënyrë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elektronike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;</w:t>
            </w:r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de-DE"/>
              </w:rPr>
            </w:pPr>
            <w:r w:rsidRPr="00DC4A9B">
              <w:rPr>
                <w:rFonts w:ascii="Sylfaen" w:hAnsi="Sylfaen"/>
                <w:color w:val="000000"/>
                <w:sz w:val="21"/>
                <w:szCs w:val="23"/>
                <w:lang w:val="de-DE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  <w:r w:rsidRPr="00DC4A9B">
              <w:rPr>
                <w:rFonts w:ascii="Sylfaen" w:hAnsi="Sylfaen"/>
                <w:color w:val="000000"/>
                <w:sz w:val="21"/>
                <w:szCs w:val="23"/>
                <w:lang w:val="de-DE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grupe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grupe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Default="00C9294D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08.05.2017</w:t>
            </w:r>
          </w:p>
          <w:p w:rsidR="00EC2C5B" w:rsidRPr="00DC4A9B" w:rsidRDefault="00EC2C5B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0</w:t>
            </w:r>
            <w:r w:rsidRPr="00EC2C5B">
              <w:rPr>
                <w:rFonts w:ascii="Sylfaen" w:hAnsi="Sylfaen"/>
                <w:sz w:val="21"/>
                <w:szCs w:val="24"/>
              </w:rPr>
              <w:t xml:space="preserve">4 </w:t>
            </w:r>
            <w:proofErr w:type="spellStart"/>
            <w:r w:rsidRPr="00EC2C5B">
              <w:rPr>
                <w:rFonts w:ascii="Sylfaen" w:hAnsi="Sylfaen"/>
                <w:sz w:val="21"/>
                <w:szCs w:val="24"/>
              </w:rPr>
              <w:t>dhe</w:t>
            </w:r>
            <w:proofErr w:type="spellEnd"/>
            <w:r w:rsidRPr="00EC2C5B">
              <w:rPr>
                <w:rFonts w:ascii="Sylfaen" w:hAnsi="Sylfaen"/>
                <w:sz w:val="21"/>
                <w:szCs w:val="24"/>
              </w:rPr>
              <w:t xml:space="preserve"> 5 </w:t>
            </w:r>
            <w:proofErr w:type="spellStart"/>
            <w:r w:rsidRPr="00EC2C5B">
              <w:rPr>
                <w:rFonts w:ascii="Sylfaen" w:hAnsi="Sylfaen"/>
                <w:sz w:val="21"/>
                <w:szCs w:val="24"/>
              </w:rPr>
              <w:t>korrik</w:t>
            </w:r>
            <w:proofErr w:type="spellEnd"/>
            <w:r w:rsidRPr="00EC2C5B">
              <w:rPr>
                <w:rFonts w:ascii="Sylfaen" w:hAnsi="Sylfaen"/>
                <w:sz w:val="21"/>
                <w:szCs w:val="24"/>
              </w:rPr>
              <w:t xml:space="preserve"> 2017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Intervistat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/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Intervistat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/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Hulumtimet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Hulumtimet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Votimi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Votimi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Panelet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qytetarë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Panelet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qytetarë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Stendat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rrugë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Stendat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rrugë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tjetër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tjetër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</w:tbl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en-GB"/>
        </w:rPr>
      </w:pPr>
    </w:p>
    <w:p w:rsidR="00C877AC" w:rsidRDefault="00C877AC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lastRenderedPageBreak/>
        <w:t>P</w:t>
      </w:r>
      <w:r w:rsidRPr="00DC4A9B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b/>
          <w:sz w:val="24"/>
          <w:szCs w:val="24"/>
          <w:lang w:val="hr-HR"/>
        </w:rPr>
        <w:t>rmbledhje e  kontributeve të pranuara gjatë procesit t</w:t>
      </w:r>
      <w:r w:rsidRPr="00DC4A9B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b/>
          <w:sz w:val="24"/>
          <w:szCs w:val="24"/>
          <w:lang w:val="hr-HR"/>
        </w:rPr>
        <w:t xml:space="preserve"> konsultimit dhe kategoritë e kontribuesve </w:t>
      </w:r>
    </w:p>
    <w:p w:rsidR="00C877AC" w:rsidRDefault="00C877AC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  <w:bookmarkStart w:id="0" w:name="_GoBack"/>
      <w:bookmarkEnd w:id="0"/>
    </w:p>
    <w:p w:rsidR="00C877AC" w:rsidRDefault="00C877AC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C877AC" w:rsidRPr="00DC4A9B" w:rsidRDefault="00C877AC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Hapat e ardhshëm</w:t>
      </w:r>
    </w:p>
    <w:p w:rsidR="008860B9" w:rsidRPr="00E94A8D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</w:rPr>
      </w:pPr>
    </w:p>
    <w:p w:rsidR="00DC4A9B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Pas përfundimit të procesit të konsultimit </w:t>
      </w:r>
      <w:r w:rsidR="00BC4366">
        <w:rPr>
          <w:rFonts w:ascii="Sylfaen" w:eastAsia="Calibri" w:hAnsi="Sylfaen"/>
          <w:i/>
          <w:sz w:val="24"/>
          <w:szCs w:val="24"/>
          <w:lang w:val="hr-HR"/>
        </w:rPr>
        <w:t xml:space="preserve">paraprak dhe </w:t>
      </w:r>
      <w:r w:rsidR="00E94A8D" w:rsidRPr="00E94A8D">
        <w:rPr>
          <w:rFonts w:ascii="Sylfaen" w:eastAsia="Calibri" w:hAnsi="Sylfaen"/>
          <w:i/>
          <w:sz w:val="24"/>
          <w:szCs w:val="24"/>
          <w:lang w:val="hr-HR"/>
        </w:rPr>
        <w:t xml:space="preserve">konsultimit publik </w:t>
      </w:r>
      <w:r w:rsidR="00E94A8D">
        <w:rPr>
          <w:rFonts w:ascii="Sylfaen" w:eastAsia="Calibri" w:hAnsi="Sylfaen"/>
          <w:i/>
          <w:sz w:val="24"/>
          <w:szCs w:val="24"/>
          <w:lang w:val="hr-HR"/>
        </w:rPr>
        <w:t>i cil</w:t>
      </w:r>
      <w:r w:rsidR="001215C8">
        <w:rPr>
          <w:rFonts w:ascii="Sylfaen" w:eastAsia="Calibri" w:hAnsi="Sylfaen"/>
          <w:i/>
          <w:sz w:val="24"/>
          <w:szCs w:val="24"/>
          <w:lang w:val="hr-HR"/>
        </w:rPr>
        <w:t>i</w:t>
      </w:r>
      <w:r w:rsidR="00E94A8D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E94A8D">
        <w:rPr>
          <w:rFonts w:ascii="Sylfaen" w:eastAsia="Calibri" w:hAnsi="Sylfaen"/>
          <w:i/>
          <w:sz w:val="24"/>
          <w:szCs w:val="24"/>
          <w:lang w:val="sq-AL"/>
        </w:rPr>
        <w:t xml:space="preserve">është bërë </w:t>
      </w:r>
      <w:r w:rsidR="00E94A8D" w:rsidRPr="00E94A8D">
        <w:rPr>
          <w:rFonts w:ascii="Sylfaen" w:eastAsia="Calibri" w:hAnsi="Sylfaen"/>
          <w:i/>
          <w:sz w:val="24"/>
          <w:szCs w:val="24"/>
          <w:lang w:val="hr-HR"/>
        </w:rPr>
        <w:t>në pajtim me udhëzuesit dhe standardet përkatëse për konsultime publike të nxjerra në pajtim me RRPQ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 xml:space="preserve">, zyrtari përgjegjës për hartimin e </w:t>
      </w:r>
      <w:r w:rsidR="00C877AC">
        <w:rPr>
          <w:rFonts w:ascii="Sylfaen" w:eastAsia="Calibri" w:hAnsi="Sylfaen"/>
          <w:i/>
          <w:sz w:val="24"/>
          <w:szCs w:val="24"/>
          <w:lang w:val="hr-HR"/>
        </w:rPr>
        <w:t xml:space="preserve">këtij drafti 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>ia dërgon projekt aktin normative drejtorit të departamentit Ligjor të ministrisë përkatëse</w:t>
      </w:r>
      <w:r w:rsidR="001215C8" w:rsidRPr="001215C8">
        <w:t xml:space="preserve"> </w:t>
      </w:r>
      <w:r w:rsidR="001215C8">
        <w:rPr>
          <w:rFonts w:ascii="Sylfaen" w:hAnsi="Sylfaen"/>
          <w:i/>
          <w:sz w:val="24"/>
          <w:szCs w:val="24"/>
        </w:rPr>
        <w:t xml:space="preserve">i cili </w:t>
      </w:r>
      <w:r w:rsidR="001215C8">
        <w:t xml:space="preserve"> 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>nëse nuk ka vërejtje, ia dërgon projekt aktin normativ për shqyrtim dhe miratim Ministrit përkatës përmes Sekretarit të Përgjithshëm të ministrisë përkatës</w:t>
      </w:r>
      <w:r w:rsidR="001215C8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1215C8" w:rsidRPr="00DC4A9B" w:rsidRDefault="001215C8" w:rsidP="00E94A8D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  <w:r w:rsidRPr="00DC4A9B">
        <w:rPr>
          <w:rFonts w:ascii="Sylfaen" w:eastAsia="Calibri" w:hAnsi="Sylfaen"/>
          <w:sz w:val="24"/>
          <w:szCs w:val="24"/>
          <w:lang w:val="hr-HR"/>
        </w:rPr>
        <w:t>Tabela e detajuar me informatat per kontribuesit, arsyetimet p</w:t>
      </w:r>
      <w:r w:rsidRPr="00DC4A9B">
        <w:rPr>
          <w:rFonts w:ascii="Sylfaen" w:eastAsia="Calibri" w:hAnsi="Sylfaen"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>r p</w:t>
      </w:r>
      <w:r w:rsidRPr="00DC4A9B">
        <w:rPr>
          <w:rFonts w:ascii="Sylfaen" w:eastAsia="Calibri" w:hAnsi="Sylfaen"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>rgjigjet e pranuara dhe t</w:t>
      </w:r>
      <w:r w:rsidRPr="00DC4A9B">
        <w:rPr>
          <w:rFonts w:ascii="Sylfaen" w:eastAsia="Calibri" w:hAnsi="Sylfaen"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 xml:space="preserve"> refuzuara.  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578"/>
        <w:gridCol w:w="2425"/>
        <w:gridCol w:w="3320"/>
        <w:gridCol w:w="3146"/>
      </w:tblGrid>
      <w:tr w:rsidR="00B53F59" w:rsidRPr="00B53F59" w:rsidTr="006F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Emri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  i 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Koment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i 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3320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Përgjigja nga Ministria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pranuar plotësisht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E pranuar pjesërisht 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refuzuar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Sqarim nga Ministria </w:t>
            </w:r>
          </w:p>
          <w:p w:rsidR="00B53F59" w:rsidRPr="00B53F59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(veçanërisht arsyet për të mos pranuar komente të caktuara)</w:t>
            </w:r>
          </w:p>
        </w:tc>
      </w:tr>
    </w:tbl>
    <w:p w:rsidR="00592F21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sectPr w:rsidR="00592F21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FE" w:rsidRDefault="003B62FE" w:rsidP="00531727">
      <w:pPr>
        <w:spacing w:after="0" w:line="240" w:lineRule="auto"/>
      </w:pPr>
      <w:r>
        <w:separator/>
      </w:r>
    </w:p>
    <w:p w:rsidR="003B62FE" w:rsidRDefault="003B62FE"/>
  </w:endnote>
  <w:endnote w:type="continuationSeparator" w:id="0">
    <w:p w:rsidR="003B62FE" w:rsidRDefault="003B62FE" w:rsidP="00531727">
      <w:pPr>
        <w:spacing w:after="0" w:line="240" w:lineRule="auto"/>
      </w:pPr>
      <w:r>
        <w:continuationSeparator/>
      </w:r>
    </w:p>
    <w:p w:rsidR="003B62FE" w:rsidRDefault="003B62FE"/>
  </w:endnote>
  <w:endnote w:type="continuationNotice" w:id="1">
    <w:p w:rsidR="003B62FE" w:rsidRDefault="003B62FE">
      <w:pPr>
        <w:spacing w:after="0" w:line="240" w:lineRule="auto"/>
      </w:pPr>
    </w:p>
    <w:p w:rsidR="003B62FE" w:rsidRDefault="003B6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FE" w:rsidRDefault="003B62FE" w:rsidP="00531727">
      <w:pPr>
        <w:spacing w:after="0" w:line="240" w:lineRule="auto"/>
      </w:pPr>
      <w:r>
        <w:separator/>
      </w:r>
    </w:p>
    <w:p w:rsidR="003B62FE" w:rsidRDefault="003B62FE"/>
  </w:footnote>
  <w:footnote w:type="continuationSeparator" w:id="0">
    <w:p w:rsidR="003B62FE" w:rsidRDefault="003B62FE" w:rsidP="00531727">
      <w:pPr>
        <w:spacing w:after="0" w:line="240" w:lineRule="auto"/>
      </w:pPr>
      <w:r>
        <w:continuationSeparator/>
      </w:r>
    </w:p>
    <w:p w:rsidR="003B62FE" w:rsidRDefault="003B62FE"/>
  </w:footnote>
  <w:footnote w:type="continuationNotice" w:id="1">
    <w:p w:rsidR="003B62FE" w:rsidRDefault="003B62FE">
      <w:pPr>
        <w:spacing w:after="0" w:line="240" w:lineRule="auto"/>
      </w:pPr>
    </w:p>
    <w:p w:rsidR="003B62FE" w:rsidRDefault="003B62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F"/>
    <w:rsid w:val="000002BA"/>
    <w:rsid w:val="00014885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3D7A"/>
    <w:rsid w:val="001311BF"/>
    <w:rsid w:val="001339FD"/>
    <w:rsid w:val="0014171F"/>
    <w:rsid w:val="0015128F"/>
    <w:rsid w:val="00152190"/>
    <w:rsid w:val="001560AD"/>
    <w:rsid w:val="001569EA"/>
    <w:rsid w:val="00165453"/>
    <w:rsid w:val="001655FC"/>
    <w:rsid w:val="00167F84"/>
    <w:rsid w:val="00171728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3083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211C"/>
    <w:rsid w:val="00313A06"/>
    <w:rsid w:val="00316CD8"/>
    <w:rsid w:val="00320C4E"/>
    <w:rsid w:val="003241EB"/>
    <w:rsid w:val="00325337"/>
    <w:rsid w:val="00325D02"/>
    <w:rsid w:val="00327B64"/>
    <w:rsid w:val="003350B6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94E6D"/>
    <w:rsid w:val="00395ACA"/>
    <w:rsid w:val="003A5916"/>
    <w:rsid w:val="003A67AC"/>
    <w:rsid w:val="003A69B4"/>
    <w:rsid w:val="003B0477"/>
    <w:rsid w:val="003B62FE"/>
    <w:rsid w:val="003C2D73"/>
    <w:rsid w:val="003C4939"/>
    <w:rsid w:val="003C4CC4"/>
    <w:rsid w:val="003C5386"/>
    <w:rsid w:val="003E1F3A"/>
    <w:rsid w:val="003E4DCF"/>
    <w:rsid w:val="00401674"/>
    <w:rsid w:val="00402AC3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A69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702E1B"/>
    <w:rsid w:val="00706395"/>
    <w:rsid w:val="007103F5"/>
    <w:rsid w:val="00712B7A"/>
    <w:rsid w:val="00714336"/>
    <w:rsid w:val="00717A99"/>
    <w:rsid w:val="00717CB0"/>
    <w:rsid w:val="00724054"/>
    <w:rsid w:val="0073085C"/>
    <w:rsid w:val="00732EA3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1DFF"/>
    <w:rsid w:val="00772F37"/>
    <w:rsid w:val="007764CA"/>
    <w:rsid w:val="0078325F"/>
    <w:rsid w:val="007857CA"/>
    <w:rsid w:val="00790C9E"/>
    <w:rsid w:val="0079131E"/>
    <w:rsid w:val="00791B1E"/>
    <w:rsid w:val="00793148"/>
    <w:rsid w:val="007B4CDD"/>
    <w:rsid w:val="007C283F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44DC"/>
    <w:rsid w:val="00820504"/>
    <w:rsid w:val="00824C8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746B"/>
    <w:rsid w:val="00942AFF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822F1"/>
    <w:rsid w:val="00C8257A"/>
    <w:rsid w:val="00C8288C"/>
    <w:rsid w:val="00C83AD8"/>
    <w:rsid w:val="00C855D2"/>
    <w:rsid w:val="00C85E8B"/>
    <w:rsid w:val="00C86E3B"/>
    <w:rsid w:val="00C877AC"/>
    <w:rsid w:val="00C9294D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736D2"/>
    <w:rsid w:val="00E81061"/>
    <w:rsid w:val="00E84B78"/>
    <w:rsid w:val="00E9312E"/>
    <w:rsid w:val="00E93673"/>
    <w:rsid w:val="00E94A8D"/>
    <w:rsid w:val="00E97B53"/>
    <w:rsid w:val="00EA6C73"/>
    <w:rsid w:val="00EA7230"/>
    <w:rsid w:val="00EB1A1F"/>
    <w:rsid w:val="00EB28A6"/>
    <w:rsid w:val="00EC0E4B"/>
    <w:rsid w:val="00EC2C5B"/>
    <w:rsid w:val="00EC455C"/>
    <w:rsid w:val="00EC5BCE"/>
    <w:rsid w:val="00EC6BCA"/>
    <w:rsid w:val="00EC7E58"/>
    <w:rsid w:val="00ED1E01"/>
    <w:rsid w:val="00ED1F6D"/>
    <w:rsid w:val="00EE472E"/>
    <w:rsid w:val="00EF5CC6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E72355-8E06-4E31-834D-5F11A91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07D2-4F9E-4B18-BB4E-9A6C62E2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Selvie Çeku</cp:lastModifiedBy>
  <cp:revision>54</cp:revision>
  <cp:lastPrinted>2016-02-18T09:50:00Z</cp:lastPrinted>
  <dcterms:created xsi:type="dcterms:W3CDTF">2016-06-16T11:34:00Z</dcterms:created>
  <dcterms:modified xsi:type="dcterms:W3CDTF">2017-07-13T13:36:00Z</dcterms:modified>
</cp:coreProperties>
</file>