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37266B" w:rsidRDefault="004A2CAC" w:rsidP="00621F39">
      <w:pPr>
        <w:jc w:val="center"/>
        <w:rPr>
          <w:b/>
          <w:bCs/>
          <w:smallCaps/>
          <w:sz w:val="32"/>
        </w:rPr>
      </w:pPr>
      <w:r w:rsidRPr="0037266B">
        <w:rPr>
          <w:b/>
          <w:bCs/>
          <w:smallCaps/>
          <w:sz w:val="32"/>
        </w:rPr>
        <w:t>Raporti nga procesi i konsultimit</w:t>
      </w:r>
    </w:p>
    <w:p w:rsidR="004A2CAC" w:rsidRPr="0037266B" w:rsidRDefault="004A2CAC" w:rsidP="00621F39">
      <w:pPr>
        <w:jc w:val="center"/>
      </w:pPr>
    </w:p>
    <w:p w:rsidR="004A2CAC" w:rsidRPr="0037266B" w:rsidRDefault="0081156C" w:rsidP="00621F39">
      <w:pPr>
        <w:jc w:val="center"/>
        <w:rPr>
          <w:b/>
        </w:rPr>
      </w:pPr>
      <w:r w:rsidRPr="0081156C">
        <w:rPr>
          <w:rFonts w:ascii="Book Antiqua" w:hAnsi="Book Antiqua"/>
          <w:b/>
        </w:rPr>
        <w:t>UDHËZIM ADMINISTRATIV  MMPH-Nr.    /2017  PËR LISTEN TEKNIKE TË SIGURISË PËR KIMIKATE, PËRMBAJTJEN DHE MËNYREN E PLOTËSIMIT TË SAJ</w:t>
      </w:r>
    </w:p>
    <w:p w:rsidR="0081156C" w:rsidRDefault="0081156C" w:rsidP="00621F39">
      <w:pPr>
        <w:jc w:val="center"/>
        <w:rPr>
          <w:b/>
        </w:rPr>
      </w:pPr>
    </w:p>
    <w:p w:rsidR="004A2CAC" w:rsidRPr="0037266B" w:rsidRDefault="004A2CAC" w:rsidP="00621F39">
      <w:pPr>
        <w:jc w:val="center"/>
        <w:rPr>
          <w:b/>
        </w:rPr>
      </w:pPr>
      <w:bookmarkStart w:id="0" w:name="_GoBack"/>
      <w:bookmarkEnd w:id="0"/>
      <w:r w:rsidRPr="0037266B">
        <w:rPr>
          <w:b/>
        </w:rPr>
        <w:t>Hyrja</w:t>
      </w:r>
    </w:p>
    <w:p w:rsidR="00EC2144" w:rsidRPr="00D44F49" w:rsidRDefault="00AD34B0" w:rsidP="00D44F49">
      <w:pPr>
        <w:jc w:val="both"/>
        <w:rPr>
          <w:rFonts w:ascii="Book Antiqua" w:hAnsi="Book Antiqua"/>
          <w:noProof/>
          <w:sz w:val="22"/>
          <w:szCs w:val="22"/>
          <w:lang w:eastAsia="en-GB"/>
        </w:rPr>
      </w:pPr>
      <w:r w:rsidRPr="00A538EC">
        <w:rPr>
          <w:rFonts w:ascii="Book Antiqua" w:hAnsi="Book Antiqua"/>
          <w:sz w:val="22"/>
          <w:szCs w:val="22"/>
        </w:rPr>
        <w:t xml:space="preserve">Ministria e Mjedisit dhe Planifikimit Hapësinor, në mbështetje të nenit </w:t>
      </w:r>
      <w:r w:rsidR="00D44F49" w:rsidRPr="00FF0EDC">
        <w:t xml:space="preserve">të nenit 33 </w:t>
      </w:r>
      <w:r w:rsidR="00D44F49" w:rsidRPr="00D44F49">
        <w:rPr>
          <w:rFonts w:ascii="Book Antiqua" w:hAnsi="Book Antiqua"/>
          <w:noProof/>
          <w:sz w:val="22"/>
          <w:szCs w:val="22"/>
          <w:lang w:eastAsia="en-GB"/>
        </w:rPr>
        <w:t>paragrafi 6 dhe 8 të Ligjit Nr.04/L-197për Kimikate(Gazeta Zyrtare  Nr.18/2014),</w:t>
      </w:r>
      <w:r w:rsidR="00D44F49">
        <w:rPr>
          <w:rFonts w:ascii="Book Antiqua" w:hAnsi="Book Antiqua"/>
          <w:noProof/>
          <w:sz w:val="22"/>
          <w:szCs w:val="22"/>
          <w:lang w:eastAsia="en-GB"/>
        </w:rPr>
        <w:t xml:space="preserve">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ka hartuar</w:t>
      </w:r>
      <w:r w:rsidRPr="00D44F49">
        <w:rPr>
          <w:rFonts w:ascii="Book Antiqua" w:hAnsi="Book Antiqua"/>
          <w:noProof/>
          <w:sz w:val="22"/>
          <w:szCs w:val="22"/>
          <w:lang w:eastAsia="en-GB"/>
        </w:rPr>
        <w:t xml:space="preserve">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Draft </w:t>
      </w:r>
      <w:r w:rsidR="00EC2144" w:rsidRPr="00D44F49">
        <w:rPr>
          <w:rFonts w:ascii="Book Antiqua" w:hAnsi="Book Antiqua"/>
          <w:noProof/>
          <w:sz w:val="22"/>
          <w:szCs w:val="22"/>
          <w:lang w:eastAsia="en-GB"/>
        </w:rPr>
        <w:t>Udhëzim Administrativ (MMPH)-NR.___/2017 për Listën Teknike të Sigurisë për Kimikate, Përmbajtjen dhe Mënyrën e Plotësimit të saj.</w:t>
      </w:r>
    </w:p>
    <w:p w:rsidR="00EC2144" w:rsidRDefault="00EC2144" w:rsidP="00D44F49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AD34B0" w:rsidRPr="00A538EC" w:rsidRDefault="00AD34B0" w:rsidP="00D44F49">
      <w:pPr>
        <w:jc w:val="both"/>
        <w:rPr>
          <w:rFonts w:ascii="Book Antiqua" w:hAnsi="Book Antiqua"/>
          <w:noProof/>
          <w:sz w:val="22"/>
          <w:szCs w:val="22"/>
          <w:lang w:eastAsia="en-GB"/>
        </w:rPr>
      </w:pP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Për këtë qëllim </w:t>
      </w:r>
      <w:r w:rsidR="00583A2F" w:rsidRPr="00A538EC">
        <w:rPr>
          <w:rFonts w:ascii="Book Antiqua" w:hAnsi="Book Antiqua"/>
          <w:noProof/>
          <w:sz w:val="22"/>
          <w:szCs w:val="22"/>
          <w:lang w:eastAsia="en-GB"/>
        </w:rPr>
        <w:t>Sekretari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i </w:t>
      </w:r>
      <w:r w:rsidR="00583A2F"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Ministrisë së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Mjedisit dhe Planifikimit Hapësinor themeloi Grupin Punues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,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t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cilin jan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p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rfshi an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tar nga fushat e ndryshme q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nd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rlidhen me k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t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U.A.</w:t>
      </w:r>
    </w:p>
    <w:p w:rsidR="00AD34B0" w:rsidRDefault="00C62378" w:rsidP="00C62378">
      <w:pPr>
        <w:pStyle w:val="Caption"/>
        <w:jc w:val="both"/>
        <w:rPr>
          <w:rFonts w:ascii="Book Antiqua" w:hAnsi="Book Antiqua"/>
          <w:b w:val="0"/>
          <w:sz w:val="22"/>
          <w:szCs w:val="22"/>
          <w:lang w:val="sq-AL"/>
        </w:rPr>
      </w:pPr>
      <w:r w:rsidRPr="00A538EC">
        <w:rPr>
          <w:rFonts w:ascii="Book Antiqua" w:hAnsi="Book Antiqua"/>
          <w:b w:val="0"/>
          <w:sz w:val="22"/>
          <w:szCs w:val="22"/>
          <w:lang w:val="sq-AL"/>
        </w:rPr>
        <w:t xml:space="preserve">Janë </w:t>
      </w:r>
      <w:r w:rsidRPr="00E71609">
        <w:rPr>
          <w:rFonts w:ascii="Book Antiqua" w:hAnsi="Book Antiqua"/>
          <w:b w:val="0"/>
          <w:sz w:val="22"/>
          <w:szCs w:val="22"/>
          <w:lang w:val="sq-AL"/>
        </w:rPr>
        <w:t xml:space="preserve">mbajtur </w:t>
      </w:r>
      <w:r w:rsidR="00E71609" w:rsidRPr="00E71609">
        <w:rPr>
          <w:rFonts w:ascii="Book Antiqua" w:hAnsi="Book Antiqua"/>
          <w:b w:val="0"/>
          <w:sz w:val="22"/>
          <w:szCs w:val="22"/>
          <w:lang w:val="sq-AL"/>
        </w:rPr>
        <w:t>12</w:t>
      </w:r>
      <w:r w:rsidRPr="00E71609">
        <w:rPr>
          <w:rFonts w:ascii="Book Antiqua" w:hAnsi="Book Antiqua"/>
          <w:b w:val="0"/>
          <w:sz w:val="22"/>
          <w:szCs w:val="22"/>
          <w:lang w:val="sq-AL"/>
        </w:rPr>
        <w:t xml:space="preserve"> takime</w:t>
      </w:r>
      <w:r w:rsidRPr="00A538EC">
        <w:rPr>
          <w:rFonts w:ascii="Book Antiqua" w:hAnsi="Book Antiqua"/>
          <w:b w:val="0"/>
          <w:sz w:val="22"/>
          <w:szCs w:val="22"/>
          <w:lang w:val="sq-AL"/>
        </w:rPr>
        <w:t xml:space="preserve"> me anëtarët e grupit punues.</w:t>
      </w:r>
    </w:p>
    <w:p w:rsidR="00D44F49" w:rsidRDefault="00D44F49" w:rsidP="00D44F49"/>
    <w:p w:rsidR="004A2CAC" w:rsidRPr="00A538EC" w:rsidRDefault="004A2CAC" w:rsidP="004A2CAC">
      <w:pPr>
        <w:jc w:val="both"/>
        <w:rPr>
          <w:i/>
          <w:sz w:val="22"/>
          <w:szCs w:val="22"/>
        </w:rPr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 xml:space="preserve">Ecuria </w:t>
      </w:r>
      <w:r w:rsidR="005B49A8">
        <w:rPr>
          <w:b/>
        </w:rPr>
        <w:t xml:space="preserve">e </w:t>
      </w:r>
      <w:r w:rsidRPr="0037266B">
        <w:rPr>
          <w:b/>
        </w:rPr>
        <w:t>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583A2F" w:rsidRPr="00583A2F" w:rsidRDefault="00C62378" w:rsidP="00C62378">
      <w:pPr>
        <w:pStyle w:val="Caption"/>
        <w:jc w:val="both"/>
        <w:rPr>
          <w:rFonts w:ascii="Book Antiqua" w:hAnsi="Book Antiqua"/>
          <w:b w:val="0"/>
          <w:sz w:val="22"/>
          <w:szCs w:val="22"/>
          <w:lang w:val="sq-AL"/>
        </w:rPr>
      </w:pPr>
      <w:r w:rsidRPr="00583A2F">
        <w:rPr>
          <w:rFonts w:ascii="Book Antiqua" w:hAnsi="Book Antiqua"/>
          <w:b w:val="0"/>
          <w:sz w:val="22"/>
          <w:szCs w:val="22"/>
          <w:lang w:val="sq-AL"/>
        </w:rPr>
        <w:t xml:space="preserve">Procesi i konsultimeve është inicuar duke bërë prezantimin e  draft dokumentit në ueb faqen e </w:t>
      </w:r>
      <w:r w:rsidRPr="00583A2F">
        <w:rPr>
          <w:rStyle w:val="Heading1Char"/>
          <w:rFonts w:ascii="Book Antiqua" w:hAnsi="Book Antiqua"/>
          <w:iCs/>
          <w:sz w:val="22"/>
          <w:szCs w:val="22"/>
          <w:lang w:val="sq-AL"/>
        </w:rPr>
        <w:t>Ministrisë</w:t>
      </w:r>
      <w:r w:rsidRPr="00583A2F">
        <w:rPr>
          <w:rFonts w:ascii="Book Antiqua" w:hAnsi="Book Antiqua"/>
          <w:b w:val="0"/>
          <w:sz w:val="22"/>
          <w:szCs w:val="22"/>
          <w:lang w:val="sq-AL"/>
        </w:rPr>
        <w:t xml:space="preserve"> dhe shpërndarjen e tij nëpër institucione, </w:t>
      </w:r>
    </w:p>
    <w:p w:rsidR="00C62378" w:rsidRPr="00583A2F" w:rsidRDefault="00C62378" w:rsidP="00C62378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r w:rsidRPr="00583A2F">
        <w:rPr>
          <w:rFonts w:ascii="Book Antiqua" w:hAnsi="Book Antiqua"/>
          <w:b w:val="0"/>
          <w:sz w:val="22"/>
          <w:szCs w:val="22"/>
          <w:lang w:val="sq-AL"/>
        </w:rPr>
        <w:t>Dokumenti është kompletuar, pas shqyrtimit të komenteve të dhëna nga palët  e interesuara</w:t>
      </w:r>
      <w:r w:rsidRPr="00583A2F">
        <w:rPr>
          <w:rFonts w:ascii="Book Antiqua" w:hAnsi="Book Antiqua"/>
          <w:sz w:val="22"/>
          <w:szCs w:val="22"/>
          <w:lang w:val="sq-AL"/>
        </w:rPr>
        <w:t>.</w:t>
      </w:r>
    </w:p>
    <w:p w:rsidR="00C62378" w:rsidRPr="00583A2F" w:rsidRDefault="00C62378" w:rsidP="00C62378">
      <w:pPr>
        <w:rPr>
          <w:rFonts w:ascii="Book Antiqua" w:hAnsi="Book Antiqua"/>
          <w:sz w:val="22"/>
          <w:szCs w:val="22"/>
        </w:rPr>
      </w:pPr>
      <w:r w:rsidRPr="00583A2F">
        <w:rPr>
          <w:rFonts w:ascii="Book Antiqua" w:hAnsi="Book Antiqua"/>
          <w:sz w:val="22"/>
          <w:szCs w:val="22"/>
        </w:rPr>
        <w:t xml:space="preserve">Në vijim në tabelë janë  paraqitur komentet e dhëna nga institucionet e ndryshme </w:t>
      </w:r>
      <w:r w:rsidR="00583A2F">
        <w:rPr>
          <w:rFonts w:ascii="Book Antiqua" w:hAnsi="Book Antiqua"/>
          <w:sz w:val="22"/>
          <w:szCs w:val="22"/>
        </w:rPr>
        <w:t>.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4A2CAC" w:rsidP="004A2CAC">
      <w:pPr>
        <w:jc w:val="both"/>
        <w:rPr>
          <w:i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505"/>
        <w:gridCol w:w="2339"/>
        <w:gridCol w:w="3012"/>
      </w:tblGrid>
      <w:tr w:rsidR="004A2CAC" w:rsidRPr="0037266B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6C59A4"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/kontribuesve</w:t>
            </w: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772D06" w:rsidRPr="00C267B9" w:rsidRDefault="00772D06" w:rsidP="00772D0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1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30.06. 2017 </w:t>
            </w:r>
          </w:p>
        </w:tc>
        <w:tc>
          <w:tcPr>
            <w:tcW w:w="3044" w:type="dxa"/>
          </w:tcPr>
          <w:p w:rsidR="004A2CAC" w:rsidRPr="00016ABA" w:rsidRDefault="000873C9" w:rsidP="002E7A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16ABA">
              <w:rPr>
                <w:rFonts w:asciiTheme="minorHAnsi" w:hAnsiTheme="minorHAnsi"/>
                <w:color w:val="auto"/>
                <w:sz w:val="21"/>
                <w:lang w:val="sq-AL"/>
              </w:rPr>
              <w:t>1</w:t>
            </w:r>
            <w:r w:rsidR="00E236D0" w:rsidRPr="00016ABA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ministri</w:t>
            </w: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772D06" w:rsidRDefault="00772D06" w:rsidP="00772D0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proofErr w:type="spellStart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Nga</w:t>
            </w:r>
            <w:proofErr w:type="spellEnd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 xml:space="preserve"> data 6/19/2017 </w:t>
            </w:r>
            <w:proofErr w:type="spellStart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deri</w:t>
            </w:r>
            <w:proofErr w:type="spellEnd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më</w:t>
            </w:r>
            <w:proofErr w:type="spellEnd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 xml:space="preserve"> 16.06.2017 (15 </w:t>
            </w:r>
            <w:proofErr w:type="spellStart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ditë</w:t>
            </w:r>
            <w:proofErr w:type="spellEnd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pune</w:t>
            </w:r>
            <w:proofErr w:type="spellEnd"/>
            <w:r w:rsidRPr="00772D06">
              <w:rPr>
                <w:rFonts w:ascii="Book Antiqua" w:hAnsi="Book Antiqua"/>
                <w:color w:val="auto"/>
                <w:sz w:val="20"/>
                <w:szCs w:val="20"/>
              </w:rPr>
              <w:t>)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37266B" w:rsidRDefault="00772D0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Jo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FA2C54" w:rsidRPr="0037266B" w:rsidRDefault="00FA2C54" w:rsidP="004A2CAC">
      <w:pPr>
        <w:jc w:val="both"/>
      </w:pPr>
    </w:p>
    <w:p w:rsidR="00FA2C54" w:rsidRPr="0037266B" w:rsidRDefault="00FA2C54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Përmbledhje e  kontributeve të pranuara gjatë 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4A2CAC" w:rsidRPr="0037266B" w:rsidRDefault="004A2CAC" w:rsidP="004A2CAC">
      <w:pPr>
        <w:jc w:val="both"/>
      </w:pPr>
      <w:r w:rsidRPr="0037266B">
        <w:rPr>
          <w:i/>
        </w:rPr>
        <w:t xml:space="preserve">Paraqiten informata rreth kontributeve të dërguara nga ana e palëve te interesit, përfshirë numrin e tyre, mënyrën se si janë dhënë kontributet etj  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Qështje tjera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C62378" w:rsidP="004A2CAC">
      <w:pPr>
        <w:jc w:val="both"/>
      </w:pPr>
      <w:r w:rsidRPr="0037266B">
        <w:rPr>
          <w:i/>
        </w:rPr>
        <w:t>Nuk ka çka të shtohet</w:t>
      </w: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Hapat e ardhshëm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  <w:rPr>
          <w:rFonts w:ascii="Book Antiqua" w:hAnsi="Book Antiqua"/>
        </w:rPr>
      </w:pPr>
      <w:r w:rsidRPr="0037266B">
        <w:rPr>
          <w:rFonts w:ascii="Book Antiqua" w:hAnsi="Book Antiqua"/>
        </w:rPr>
        <w:t xml:space="preserve">Pas përfundimit të procesit të konsultimit dhe finalizimit të </w:t>
      </w:r>
      <w:r w:rsidR="00C62378" w:rsidRPr="0037266B">
        <w:rPr>
          <w:rFonts w:ascii="Book Antiqua" w:hAnsi="Book Antiqua"/>
        </w:rPr>
        <w:t>kë</w:t>
      </w:r>
      <w:r w:rsidR="0037266B" w:rsidRPr="0037266B">
        <w:rPr>
          <w:rFonts w:ascii="Book Antiqua" w:hAnsi="Book Antiqua"/>
        </w:rPr>
        <w:t>t</w:t>
      </w:r>
      <w:r w:rsidR="00C62378" w:rsidRPr="0037266B">
        <w:rPr>
          <w:rFonts w:ascii="Book Antiqua" w:hAnsi="Book Antiqua"/>
        </w:rPr>
        <w:t xml:space="preserve">ij dokumenti </w:t>
      </w:r>
      <w:r w:rsidRPr="0037266B">
        <w:rPr>
          <w:rFonts w:ascii="Book Antiqua" w:hAnsi="Book Antiqua"/>
        </w:rPr>
        <w:t xml:space="preserve"> palët </w:t>
      </w:r>
      <w:r w:rsidR="00C62378" w:rsidRPr="0037266B">
        <w:rPr>
          <w:rFonts w:ascii="Book Antiqua" w:hAnsi="Book Antiqua"/>
        </w:rPr>
        <w:t xml:space="preserve">do të informohen për miratimin e tij nga Ministri </w:t>
      </w:r>
      <w:r w:rsidR="00973A91">
        <w:rPr>
          <w:rFonts w:ascii="Book Antiqua" w:hAnsi="Book Antiqua"/>
        </w:rPr>
        <w:t>i</w:t>
      </w:r>
      <w:r w:rsidR="00C62378" w:rsidRPr="0037266B">
        <w:rPr>
          <w:rFonts w:ascii="Book Antiqua" w:hAnsi="Book Antiqua"/>
        </w:rPr>
        <w:t xml:space="preserve"> MMPH dhe do të publikohet në </w:t>
      </w:r>
      <w:r w:rsidR="00973A91">
        <w:rPr>
          <w:rFonts w:ascii="Book Antiqua" w:hAnsi="Book Antiqua"/>
        </w:rPr>
        <w:t>w</w:t>
      </w:r>
      <w:r w:rsidR="00C62378" w:rsidRPr="0037266B">
        <w:rPr>
          <w:rFonts w:ascii="Book Antiqua" w:hAnsi="Book Antiqua"/>
        </w:rPr>
        <w:t xml:space="preserve">eb faqen e MMPH. </w:t>
      </w:r>
    </w:p>
    <w:p w:rsidR="004A2CAC" w:rsidRPr="0037266B" w:rsidRDefault="004A2CAC" w:rsidP="004A2CAC"/>
    <w:p w:rsidR="004A2CAC" w:rsidRPr="0037266B" w:rsidRDefault="004A2CAC" w:rsidP="004A2CAC"/>
    <w:p w:rsidR="004A2CAC" w:rsidRPr="0037266B" w:rsidRDefault="004A2CAC" w:rsidP="004A2CAC">
      <w:r w:rsidRPr="0037266B">
        <w:t xml:space="preserve">Shtojca – tabela e detajuar me informatat </w:t>
      </w:r>
      <w:r w:rsidR="0037266B" w:rsidRPr="0037266B">
        <w:t>për</w:t>
      </w:r>
      <w:r w:rsidRPr="0037266B">
        <w:t xml:space="preserve"> kontribuesit, arsyetimet për përgjigjet e pranuara dhe të refuzuara.  </w:t>
      </w:r>
    </w:p>
    <w:p w:rsidR="004A2CAC" w:rsidRPr="0037266B" w:rsidRDefault="004A2CAC" w:rsidP="004A2CAC"/>
    <w:tbl>
      <w:tblPr>
        <w:tblStyle w:val="GridTable1LightAccent5"/>
        <w:tblW w:w="9648" w:type="dxa"/>
        <w:tblLook w:val="0420" w:firstRow="1" w:lastRow="0" w:firstColumn="0" w:lastColumn="0" w:noHBand="0" w:noVBand="1"/>
      </w:tblPr>
      <w:tblGrid>
        <w:gridCol w:w="1577"/>
        <w:gridCol w:w="2433"/>
        <w:gridCol w:w="2850"/>
        <w:gridCol w:w="2788"/>
      </w:tblGrid>
      <w:tr w:rsidR="004A2CAC" w:rsidRPr="0037266B" w:rsidTr="0062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1577" w:type="dxa"/>
            <w:shd w:val="clear" w:color="auto" w:fill="F2DBDB" w:themeFill="accent2" w:themeFillTint="33"/>
            <w:hideMark/>
          </w:tcPr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Emri i  i organizatës /individit</w:t>
            </w:r>
          </w:p>
        </w:tc>
        <w:tc>
          <w:tcPr>
            <w:tcW w:w="2433" w:type="dxa"/>
            <w:shd w:val="clear" w:color="auto" w:fill="F2DBDB" w:themeFill="accent2" w:themeFillTint="33"/>
            <w:hideMark/>
          </w:tcPr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Koment i  i organizatës /</w:t>
            </w:r>
            <w:r w:rsidRPr="00C267B9">
              <w:rPr>
                <w:b w:val="0"/>
                <w:bCs w:val="0"/>
                <w:sz w:val="22"/>
                <w:szCs w:val="22"/>
              </w:rPr>
              <w:t>individit</w:t>
            </w:r>
          </w:p>
        </w:tc>
        <w:tc>
          <w:tcPr>
            <w:tcW w:w="2850" w:type="dxa"/>
            <w:shd w:val="clear" w:color="auto" w:fill="F2DBDB" w:themeFill="accent2" w:themeFillTint="33"/>
            <w:hideMark/>
          </w:tcPr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Përgjigja nga Ministria</w:t>
            </w:r>
          </w:p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E pranuar plotësisht</w:t>
            </w:r>
          </w:p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 xml:space="preserve">E pranuar pjesërisht </w:t>
            </w:r>
          </w:p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E refuzuar</w:t>
            </w:r>
          </w:p>
        </w:tc>
        <w:tc>
          <w:tcPr>
            <w:tcW w:w="2788" w:type="dxa"/>
            <w:shd w:val="clear" w:color="auto" w:fill="F2DBDB" w:themeFill="accent2" w:themeFillTint="33"/>
            <w:hideMark/>
          </w:tcPr>
          <w:p w:rsidR="004A2CAC" w:rsidRPr="005B49A8" w:rsidRDefault="004A2CAC" w:rsidP="000031C1">
            <w:pPr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 xml:space="preserve">Sqarim nga Ministria </w:t>
            </w:r>
          </w:p>
          <w:p w:rsidR="004A2CAC" w:rsidRPr="005B49A8" w:rsidRDefault="004A2CAC" w:rsidP="000031C1">
            <w:pPr>
              <w:tabs>
                <w:tab w:val="left" w:pos="2556"/>
              </w:tabs>
              <w:ind w:right="541"/>
              <w:rPr>
                <w:sz w:val="22"/>
                <w:szCs w:val="22"/>
              </w:rPr>
            </w:pPr>
            <w:r w:rsidRPr="005B49A8">
              <w:rPr>
                <w:b w:val="0"/>
                <w:bCs w:val="0"/>
                <w:sz w:val="22"/>
                <w:szCs w:val="22"/>
              </w:rPr>
              <w:t>(veçanërisht arsyet për të mos pranuar komente të caktuara)</w:t>
            </w:r>
          </w:p>
        </w:tc>
      </w:tr>
      <w:tr w:rsidR="003E453C" w:rsidRPr="0037266B" w:rsidTr="00401878">
        <w:trPr>
          <w:trHeight w:val="5559"/>
        </w:trPr>
        <w:tc>
          <w:tcPr>
            <w:tcW w:w="1577" w:type="dxa"/>
            <w:hideMark/>
          </w:tcPr>
          <w:p w:rsidR="00EC2144" w:rsidRDefault="00EC2144" w:rsidP="00EC2144">
            <w:pPr>
              <w:rPr>
                <w:rFonts w:ascii="Book Antiqua" w:hAnsi="Book Antiqua"/>
                <w:sz w:val="22"/>
                <w:szCs w:val="20"/>
              </w:rPr>
            </w:pPr>
          </w:p>
          <w:p w:rsidR="00EC2144" w:rsidRPr="00EC2144" w:rsidRDefault="00EC2144" w:rsidP="00EC2144">
            <w:pPr>
              <w:rPr>
                <w:sz w:val="22"/>
                <w:szCs w:val="20"/>
              </w:rPr>
            </w:pPr>
            <w:r w:rsidRPr="00EC2144">
              <w:rPr>
                <w:rFonts w:ascii="Book Antiqua" w:hAnsi="Book Antiqua"/>
                <w:sz w:val="22"/>
                <w:szCs w:val="20"/>
              </w:rPr>
              <w:t xml:space="preserve">MBPZHR, </w:t>
            </w:r>
          </w:p>
          <w:p w:rsidR="003E453C" w:rsidRPr="00EC2144" w:rsidRDefault="00EC2144" w:rsidP="00EC2144">
            <w:pPr>
              <w:rPr>
                <w:sz w:val="22"/>
                <w:szCs w:val="20"/>
              </w:rPr>
            </w:pPr>
            <w:r w:rsidRPr="00EC2144">
              <w:rPr>
                <w:rFonts w:ascii="Book Antiqua" w:hAnsi="Book Antiqua"/>
                <w:sz w:val="22"/>
                <w:szCs w:val="20"/>
              </w:rPr>
              <w:t>Isah Rudaku</w:t>
            </w:r>
          </w:p>
        </w:tc>
        <w:tc>
          <w:tcPr>
            <w:tcW w:w="2433" w:type="dxa"/>
          </w:tcPr>
          <w:p w:rsidR="00EC2144" w:rsidRDefault="00EC2144" w:rsidP="00401878">
            <w:pPr>
              <w:pStyle w:val="CommentText"/>
              <w:jc w:val="both"/>
              <w:rPr>
                <w:sz w:val="22"/>
              </w:rPr>
            </w:pPr>
          </w:p>
          <w:p w:rsidR="00EC2144" w:rsidRPr="00EC2144" w:rsidRDefault="00401878" w:rsidP="00EC2144">
            <w:pPr>
              <w:pStyle w:val="CommentText"/>
              <w:jc w:val="both"/>
              <w:rPr>
                <w:sz w:val="22"/>
              </w:rPr>
            </w:pPr>
            <w:proofErr w:type="spellStart"/>
            <w:r w:rsidRPr="00EC2144">
              <w:rPr>
                <w:sz w:val="22"/>
              </w:rPr>
              <w:t>Plotësim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dhe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propozim</w:t>
            </w:r>
            <w:proofErr w:type="spellEnd"/>
            <w:r w:rsidRPr="00EC2144">
              <w:rPr>
                <w:sz w:val="22"/>
              </w:rPr>
              <w:t xml:space="preserve"> i </w:t>
            </w:r>
            <w:proofErr w:type="spellStart"/>
            <w:r w:rsidRPr="00EC2144">
              <w:rPr>
                <w:sz w:val="22"/>
              </w:rPr>
              <w:t>shprehjeve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teknike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në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riformulim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të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neneve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të</w:t>
            </w:r>
            <w:proofErr w:type="spellEnd"/>
            <w:r w:rsidRPr="00EC2144">
              <w:rPr>
                <w:sz w:val="22"/>
              </w:rPr>
              <w:t xml:space="preserve"> </w:t>
            </w:r>
            <w:proofErr w:type="spellStart"/>
            <w:r w:rsidRPr="00EC2144">
              <w:rPr>
                <w:sz w:val="22"/>
              </w:rPr>
              <w:t>Darft</w:t>
            </w:r>
            <w:proofErr w:type="spellEnd"/>
            <w:r w:rsidRPr="00EC2144">
              <w:rPr>
                <w:sz w:val="22"/>
              </w:rPr>
              <w:t xml:space="preserve"> </w:t>
            </w:r>
            <w:r w:rsidR="00EC2144" w:rsidRPr="00EC2144">
              <w:rPr>
                <w:sz w:val="22"/>
              </w:rPr>
              <w:t xml:space="preserve">Udhëzimt Administrativ </w:t>
            </w:r>
            <w:r w:rsidRPr="00EC2144">
              <w:rPr>
                <w:sz w:val="22"/>
              </w:rPr>
              <w:t>U.A.</w:t>
            </w:r>
            <w:r w:rsidR="00EC2144">
              <w:rPr>
                <w:sz w:val="22"/>
              </w:rPr>
              <w:t xml:space="preserve"> </w:t>
            </w:r>
            <w:r w:rsidR="00EC2144" w:rsidRPr="00EC2144">
              <w:rPr>
                <w:sz w:val="22"/>
              </w:rPr>
              <w:t>(MMPH)-NR.___/2017 për Listën Teknike të Sigurisë për Kimikate, Përmbajtjen dhe Mënyrën e Plotësimit të saj.</w:t>
            </w:r>
          </w:p>
          <w:p w:rsidR="00EC2144" w:rsidRPr="00EC2144" w:rsidRDefault="00EC2144" w:rsidP="00401878">
            <w:pPr>
              <w:pStyle w:val="CommentText"/>
              <w:jc w:val="both"/>
              <w:rPr>
                <w:sz w:val="22"/>
              </w:rPr>
            </w:pPr>
          </w:p>
        </w:tc>
        <w:tc>
          <w:tcPr>
            <w:tcW w:w="2850" w:type="dxa"/>
            <w:hideMark/>
          </w:tcPr>
          <w:p w:rsidR="00EC2144" w:rsidRDefault="00EC2144" w:rsidP="00401878">
            <w:pPr>
              <w:rPr>
                <w:sz w:val="22"/>
                <w:szCs w:val="20"/>
              </w:rPr>
            </w:pPr>
          </w:p>
          <w:p w:rsidR="00401878" w:rsidRPr="00EC2144" w:rsidRDefault="00401878" w:rsidP="00401878">
            <w:pPr>
              <w:rPr>
                <w:sz w:val="22"/>
                <w:szCs w:val="20"/>
              </w:rPr>
            </w:pPr>
            <w:r w:rsidRPr="00EC2144">
              <w:rPr>
                <w:sz w:val="22"/>
                <w:szCs w:val="20"/>
              </w:rPr>
              <w:t>E pranuar pjesërisht</w:t>
            </w:r>
          </w:p>
          <w:p w:rsidR="003E453C" w:rsidRPr="00EC2144" w:rsidRDefault="003E453C" w:rsidP="0083581D">
            <w:pPr>
              <w:rPr>
                <w:sz w:val="22"/>
                <w:szCs w:val="20"/>
              </w:rPr>
            </w:pPr>
          </w:p>
        </w:tc>
        <w:tc>
          <w:tcPr>
            <w:tcW w:w="2788" w:type="dxa"/>
            <w:hideMark/>
          </w:tcPr>
          <w:p w:rsidR="00EC2144" w:rsidRDefault="00EC2144" w:rsidP="00401878">
            <w:pPr>
              <w:pStyle w:val="CommentText"/>
              <w:jc w:val="both"/>
              <w:rPr>
                <w:rFonts w:asciiTheme="minorHAnsi" w:hAnsiTheme="minorHAnsi"/>
                <w:sz w:val="22"/>
                <w:lang w:val="sq-AL"/>
              </w:rPr>
            </w:pPr>
          </w:p>
          <w:p w:rsidR="00401878" w:rsidRPr="00EC2144" w:rsidRDefault="00401878" w:rsidP="00401878">
            <w:pPr>
              <w:pStyle w:val="CommentText"/>
              <w:jc w:val="both"/>
              <w:rPr>
                <w:rFonts w:asciiTheme="minorHAnsi" w:hAnsiTheme="minorHAnsi"/>
                <w:sz w:val="22"/>
                <w:lang w:val="sq-AL"/>
              </w:rPr>
            </w:pPr>
            <w:r w:rsidRPr="00EC2144">
              <w:rPr>
                <w:rFonts w:asciiTheme="minorHAnsi" w:hAnsiTheme="minorHAnsi"/>
                <w:sz w:val="22"/>
                <w:lang w:val="sq-AL"/>
              </w:rPr>
              <w:t xml:space="preserve">Komentet e dhëna kryesisht  janë  dhënë për </w:t>
            </w:r>
            <w:proofErr w:type="spellStart"/>
            <w:r w:rsidRPr="00EC2144">
              <w:rPr>
                <w:rFonts w:asciiTheme="minorHAnsi" w:hAnsiTheme="minorHAnsi"/>
                <w:sz w:val="22"/>
                <w:lang w:val="sq-AL"/>
              </w:rPr>
              <w:t>që</w:t>
            </w:r>
            <w:r w:rsidRPr="00EC2144">
              <w:rPr>
                <w:sz w:val="22"/>
                <w:lang w:val="sq-AL" w:eastAsia="ja-JP"/>
              </w:rPr>
              <w:t>shtje</w:t>
            </w:r>
            <w:proofErr w:type="spellEnd"/>
            <w:r w:rsidRPr="00EC2144">
              <w:rPr>
                <w:sz w:val="22"/>
                <w:lang w:val="sq-AL" w:eastAsia="ja-JP"/>
              </w:rPr>
              <w:t xml:space="preserve"> teknike</w:t>
            </w:r>
            <w:r w:rsidRPr="00EC2144">
              <w:rPr>
                <w:rFonts w:asciiTheme="minorHAnsi" w:hAnsiTheme="minorHAnsi"/>
                <w:sz w:val="22"/>
                <w:lang w:val="sq-AL"/>
              </w:rPr>
              <w:t>. dhe janë marrë parasysh në riformulim të neneve të caktuara.</w:t>
            </w:r>
          </w:p>
          <w:p w:rsidR="00401878" w:rsidRPr="00EC2144" w:rsidRDefault="00401878" w:rsidP="00401878">
            <w:pPr>
              <w:pStyle w:val="CommentText"/>
              <w:jc w:val="both"/>
              <w:rPr>
                <w:rFonts w:asciiTheme="minorHAnsi" w:hAnsiTheme="minorHAnsi"/>
                <w:sz w:val="22"/>
                <w:lang w:val="sq-AL"/>
              </w:rPr>
            </w:pPr>
          </w:p>
          <w:p w:rsidR="00401878" w:rsidRPr="00EC2144" w:rsidRDefault="00401878" w:rsidP="00401878">
            <w:pPr>
              <w:pStyle w:val="CommentText"/>
              <w:jc w:val="both"/>
              <w:rPr>
                <w:rFonts w:asciiTheme="minorHAnsi" w:hAnsiTheme="minorHAnsi"/>
                <w:sz w:val="22"/>
                <w:lang w:val="sq-AL"/>
              </w:rPr>
            </w:pPr>
            <w:r w:rsidRPr="00EC2144">
              <w:rPr>
                <w:rFonts w:asciiTheme="minorHAnsi" w:hAnsiTheme="minorHAnsi"/>
                <w:sz w:val="22"/>
                <w:lang w:val="sq-AL"/>
              </w:rPr>
              <w:t>Nuk i kemi përfshire komentet të cilat i kemi vlerësuar të pa-arsyeshme.</w:t>
            </w:r>
          </w:p>
          <w:p w:rsidR="003E453C" w:rsidRPr="00EC2144" w:rsidRDefault="003E453C" w:rsidP="00806803">
            <w:pPr>
              <w:pStyle w:val="CommentText"/>
              <w:rPr>
                <w:sz w:val="22"/>
              </w:rPr>
            </w:pPr>
          </w:p>
        </w:tc>
      </w:tr>
    </w:tbl>
    <w:p w:rsidR="009408E4" w:rsidRPr="0095267B" w:rsidRDefault="009408E4" w:rsidP="004A2CAC">
      <w:pPr>
        <w:rPr>
          <w:rFonts w:ascii="Times New Roman" w:hAnsi="Times New Roman" w:cs="Times New Roman"/>
          <w:sz w:val="20"/>
          <w:szCs w:val="20"/>
        </w:rPr>
      </w:pPr>
    </w:p>
    <w:sectPr w:rsidR="009408E4" w:rsidRPr="0095267B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3AB"/>
    <w:multiLevelType w:val="multilevel"/>
    <w:tmpl w:val="0D86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1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016ABA"/>
    <w:rsid w:val="0004355B"/>
    <w:rsid w:val="0005077A"/>
    <w:rsid w:val="000873C9"/>
    <w:rsid w:val="0014437F"/>
    <w:rsid w:val="00153E30"/>
    <w:rsid w:val="0019124F"/>
    <w:rsid w:val="001D277D"/>
    <w:rsid w:val="00222B44"/>
    <w:rsid w:val="00295CA8"/>
    <w:rsid w:val="002C3FEC"/>
    <w:rsid w:val="002E7AA6"/>
    <w:rsid w:val="0037266B"/>
    <w:rsid w:val="003C4AC7"/>
    <w:rsid w:val="003E453C"/>
    <w:rsid w:val="00401878"/>
    <w:rsid w:val="004048B8"/>
    <w:rsid w:val="004A2CAC"/>
    <w:rsid w:val="00530F5A"/>
    <w:rsid w:val="00583A2F"/>
    <w:rsid w:val="00592854"/>
    <w:rsid w:val="005B49A8"/>
    <w:rsid w:val="005C2041"/>
    <w:rsid w:val="005C2C2B"/>
    <w:rsid w:val="005C418E"/>
    <w:rsid w:val="00612556"/>
    <w:rsid w:val="00621F39"/>
    <w:rsid w:val="00622961"/>
    <w:rsid w:val="00675E4C"/>
    <w:rsid w:val="006C59A4"/>
    <w:rsid w:val="006E3462"/>
    <w:rsid w:val="007019E0"/>
    <w:rsid w:val="00772D06"/>
    <w:rsid w:val="00806803"/>
    <w:rsid w:val="0081156C"/>
    <w:rsid w:val="00831D6C"/>
    <w:rsid w:val="0083581D"/>
    <w:rsid w:val="00866E86"/>
    <w:rsid w:val="00875B95"/>
    <w:rsid w:val="0088540B"/>
    <w:rsid w:val="008A64EC"/>
    <w:rsid w:val="009408E4"/>
    <w:rsid w:val="0095267B"/>
    <w:rsid w:val="00973A91"/>
    <w:rsid w:val="009960BC"/>
    <w:rsid w:val="009F1927"/>
    <w:rsid w:val="00A349B1"/>
    <w:rsid w:val="00A538EC"/>
    <w:rsid w:val="00A55209"/>
    <w:rsid w:val="00A62657"/>
    <w:rsid w:val="00A63AF8"/>
    <w:rsid w:val="00AD34B0"/>
    <w:rsid w:val="00B06C9C"/>
    <w:rsid w:val="00B62254"/>
    <w:rsid w:val="00C267B9"/>
    <w:rsid w:val="00C62378"/>
    <w:rsid w:val="00C769FE"/>
    <w:rsid w:val="00D06A34"/>
    <w:rsid w:val="00D2782B"/>
    <w:rsid w:val="00D42697"/>
    <w:rsid w:val="00D44F49"/>
    <w:rsid w:val="00D751C0"/>
    <w:rsid w:val="00DA304F"/>
    <w:rsid w:val="00DE66E4"/>
    <w:rsid w:val="00E236D0"/>
    <w:rsid w:val="00E24CA5"/>
    <w:rsid w:val="00E71609"/>
    <w:rsid w:val="00EB6C57"/>
    <w:rsid w:val="00EC2144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uiPriority w:val="34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uiPriority w:val="34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Header">
    <w:name w:val="header"/>
    <w:basedOn w:val="Normal"/>
    <w:link w:val="HeaderChar"/>
    <w:rsid w:val="00C769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F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4"/>
    <w:rPr>
      <w:rFonts w:asciiTheme="majorHAnsi" w:eastAsiaTheme="majorEastAsia" w:hAnsiTheme="majorHAnsi" w:cstheme="majorBidi"/>
      <w:b/>
      <w:bCs/>
      <w:color w:val="4F81BD" w:themeColor="accent1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uiPriority w:val="34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uiPriority w:val="34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Header">
    <w:name w:val="header"/>
    <w:basedOn w:val="Normal"/>
    <w:link w:val="HeaderChar"/>
    <w:rsid w:val="00C769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F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4"/>
    <w:rPr>
      <w:rFonts w:asciiTheme="majorHAnsi" w:eastAsiaTheme="majorEastAsia" w:hAnsiTheme="majorHAnsi" w:cstheme="majorBidi"/>
      <w:b/>
      <w:bCs/>
      <w:color w:val="4F81BD" w:themeColor="accent1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Adem Berisha</cp:lastModifiedBy>
  <cp:revision>2</cp:revision>
  <dcterms:created xsi:type="dcterms:W3CDTF">2017-07-28T11:53:00Z</dcterms:created>
  <dcterms:modified xsi:type="dcterms:W3CDTF">2017-07-28T11:53:00Z</dcterms:modified>
</cp:coreProperties>
</file>