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352114" w:rsidRPr="001769B0" w14:paraId="4FE5247D" w14:textId="77777777" w:rsidTr="00587E3C">
        <w:trPr>
          <w:trHeight w:val="993"/>
        </w:trPr>
        <w:tc>
          <w:tcPr>
            <w:tcW w:w="9648" w:type="dxa"/>
            <w:vAlign w:val="center"/>
          </w:tcPr>
          <w:p w14:paraId="1423409B" w14:textId="61F7D4BC" w:rsidR="00352114" w:rsidRPr="001769B0" w:rsidRDefault="00352114" w:rsidP="00352114">
            <w:pPr>
              <w:spacing w:line="276" w:lineRule="auto"/>
              <w:jc w:val="center"/>
              <w:rPr>
                <w:rFonts w:ascii="Times New Roman" w:eastAsia="MS Mincho" w:hAnsi="Times New Roman" w:cs="Times New Roman"/>
                <w:sz w:val="22"/>
                <w:szCs w:val="22"/>
                <w:lang w:val="sq-AL"/>
              </w:rPr>
            </w:pPr>
            <w:bookmarkStart w:id="0" w:name="_GoBack"/>
            <w:bookmarkEnd w:id="0"/>
          </w:p>
          <w:p w14:paraId="4E092534" w14:textId="463584AA" w:rsidR="00352114" w:rsidRPr="001769B0" w:rsidRDefault="00352114" w:rsidP="001B5927">
            <w:pPr>
              <w:spacing w:line="276" w:lineRule="auto"/>
              <w:jc w:val="center"/>
              <w:rPr>
                <w:rFonts w:ascii="Times New Roman" w:hAnsi="Times New Roman" w:cs="Times New Roman"/>
                <w:b/>
                <w:bCs/>
                <w:sz w:val="22"/>
                <w:szCs w:val="22"/>
                <w:lang w:val="sq-AL"/>
              </w:rPr>
            </w:pPr>
          </w:p>
        </w:tc>
      </w:tr>
      <w:tr w:rsidR="00352114" w:rsidRPr="001769B0" w14:paraId="6B722828" w14:textId="77777777" w:rsidTr="00587E3C">
        <w:tc>
          <w:tcPr>
            <w:tcW w:w="9648" w:type="dxa"/>
            <w:vAlign w:val="center"/>
          </w:tcPr>
          <w:p w14:paraId="693FEABC" w14:textId="77777777" w:rsidR="00CA446A" w:rsidRPr="002F3BFF" w:rsidRDefault="00CA446A" w:rsidP="00CA446A">
            <w:pPr>
              <w:tabs>
                <w:tab w:val="left" w:pos="180"/>
              </w:tabs>
              <w:jc w:val="center"/>
              <w:rPr>
                <w:rFonts w:ascii="Times New Roman" w:eastAsia="Batang" w:hAnsi="Times New Roman" w:cs="Times New Roman"/>
                <w:b/>
                <w:bCs/>
                <w:sz w:val="20"/>
                <w:szCs w:val="20"/>
              </w:rPr>
            </w:pPr>
            <w:r w:rsidRPr="002F3BFF">
              <w:rPr>
                <w:rFonts w:ascii="Times New Roman" w:hAnsi="Times New Roman" w:cs="Times New Roman"/>
                <w:b/>
                <w:bCs/>
                <w:sz w:val="20"/>
                <w:szCs w:val="20"/>
              </w:rPr>
              <w:t>Republika e Kosovës</w:t>
            </w:r>
          </w:p>
          <w:p w14:paraId="541D3072" w14:textId="77777777" w:rsidR="00CA446A" w:rsidRPr="002F3BFF" w:rsidRDefault="00CA446A" w:rsidP="00CA446A">
            <w:pPr>
              <w:tabs>
                <w:tab w:val="left" w:pos="180"/>
              </w:tabs>
              <w:jc w:val="center"/>
              <w:rPr>
                <w:rFonts w:ascii="Times New Roman" w:eastAsia="MS Mincho" w:hAnsi="Times New Roman" w:cs="Times New Roman"/>
                <w:b/>
                <w:bCs/>
                <w:sz w:val="20"/>
                <w:szCs w:val="20"/>
              </w:rPr>
            </w:pPr>
            <w:r w:rsidRPr="002F3BFF">
              <w:rPr>
                <w:rFonts w:ascii="Times New Roman" w:eastAsia="Batang" w:hAnsi="Times New Roman" w:cs="Times New Roman"/>
                <w:b/>
                <w:bCs/>
                <w:sz w:val="20"/>
                <w:szCs w:val="20"/>
              </w:rPr>
              <w:t>Republika Kosova-</w:t>
            </w:r>
            <w:r w:rsidRPr="002F3BFF">
              <w:rPr>
                <w:rFonts w:ascii="Times New Roman" w:hAnsi="Times New Roman" w:cs="Times New Roman"/>
                <w:b/>
                <w:bCs/>
                <w:sz w:val="20"/>
                <w:szCs w:val="20"/>
              </w:rPr>
              <w:t>Republic of Kosovo</w:t>
            </w:r>
          </w:p>
          <w:p w14:paraId="7ED872CE" w14:textId="76FEC2F3" w:rsidR="00CA446A" w:rsidRPr="002F3BFF" w:rsidRDefault="00CA446A" w:rsidP="00CA446A">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Qeveria–Vlada-Government</w:t>
            </w:r>
          </w:p>
          <w:p w14:paraId="50B95088" w14:textId="02A9BA89" w:rsidR="00CA446A" w:rsidRPr="002F3BFF" w:rsidRDefault="00CA446A" w:rsidP="00CA446A">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Ministria e Zhvillimit Ekonomik - Ministarstvo Ekonomskog Razvoja</w:t>
            </w:r>
          </w:p>
          <w:p w14:paraId="70534972" w14:textId="77777777" w:rsidR="00CA446A" w:rsidRPr="002F3BFF" w:rsidRDefault="00CA446A" w:rsidP="00CA446A">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 xml:space="preserve"> Ministry of Economic Development</w:t>
            </w:r>
          </w:p>
          <w:p w14:paraId="24B5BF21" w14:textId="34A3745C" w:rsidR="00352114" w:rsidRPr="001769B0" w:rsidRDefault="00352114" w:rsidP="00352114">
            <w:pPr>
              <w:spacing w:line="276" w:lineRule="auto"/>
              <w:jc w:val="center"/>
              <w:rPr>
                <w:rFonts w:ascii="Times New Roman" w:eastAsia="MS Mincho" w:hAnsi="Times New Roman" w:cs="Times New Roman"/>
                <w:sz w:val="22"/>
                <w:szCs w:val="22"/>
                <w:u w:val="single"/>
                <w:lang w:val="sq-AL"/>
              </w:rPr>
            </w:pPr>
          </w:p>
        </w:tc>
      </w:tr>
    </w:tbl>
    <w:p w14:paraId="3F47CAA1" w14:textId="77AF96E2" w:rsidR="00863860" w:rsidRPr="001769B0" w:rsidRDefault="00CA446A" w:rsidP="00863860">
      <w:pPr>
        <w:widowControl w:val="0"/>
        <w:autoSpaceDE w:val="0"/>
        <w:autoSpaceDN w:val="0"/>
        <w:adjustRightInd w:val="0"/>
        <w:spacing w:line="276" w:lineRule="auto"/>
        <w:ind w:right="175"/>
        <w:jc w:val="center"/>
        <w:rPr>
          <w:rFonts w:ascii="Times New Roman" w:hAnsi="Times New Roman" w:cs="Times New Roman"/>
          <w:b/>
          <w:lang w:val="sr-Latn-RS"/>
        </w:rPr>
      </w:pPr>
      <w:r w:rsidRPr="001769B0">
        <w:rPr>
          <w:rFonts w:ascii="Times New Roman" w:eastAsia="MS Mincho" w:hAnsi="Times New Roman" w:cs="Times New Roman"/>
          <w:noProof/>
          <w:sz w:val="22"/>
          <w:szCs w:val="22"/>
          <w:lang w:val="en-US"/>
        </w:rPr>
        <w:drawing>
          <wp:anchor distT="0" distB="0" distL="114300" distR="114300" simplePos="0" relativeHeight="251659264" behindDoc="1" locked="0" layoutInCell="1" allowOverlap="1" wp14:anchorId="157B7833" wp14:editId="598BF12E">
            <wp:simplePos x="0" y="0"/>
            <wp:positionH relativeFrom="column">
              <wp:posOffset>2649220</wp:posOffset>
            </wp:positionH>
            <wp:positionV relativeFrom="paragraph">
              <wp:posOffset>-2058035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474533" w:rsidRPr="001769B0">
        <w:rPr>
          <w:rFonts w:ascii="Times New Roman" w:hAnsi="Times New Roman" w:cs="Times New Roman"/>
          <w:b/>
          <w:bCs/>
          <w:smallCaps/>
          <w:sz w:val="28"/>
          <w:szCs w:val="28"/>
          <w:lang w:val="sq-AL"/>
        </w:rPr>
        <w:t>Raporti</w:t>
      </w:r>
      <w:r w:rsidR="00117900" w:rsidRPr="001769B0">
        <w:rPr>
          <w:rFonts w:ascii="Times New Roman" w:hAnsi="Times New Roman" w:cs="Times New Roman"/>
          <w:b/>
          <w:bCs/>
          <w:smallCaps/>
          <w:sz w:val="28"/>
          <w:szCs w:val="28"/>
          <w:lang w:val="sq-AL"/>
        </w:rPr>
        <w:t>t</w:t>
      </w:r>
      <w:r w:rsidR="00474533" w:rsidRPr="001769B0">
        <w:rPr>
          <w:rFonts w:ascii="Times New Roman" w:hAnsi="Times New Roman" w:cs="Times New Roman"/>
          <w:b/>
          <w:bCs/>
          <w:smallCaps/>
          <w:sz w:val="28"/>
          <w:szCs w:val="28"/>
          <w:lang w:val="sq-AL"/>
        </w:rPr>
        <w:t xml:space="preserve"> nga procesi</w:t>
      </w:r>
      <w:r w:rsidR="0040055E" w:rsidRPr="001769B0">
        <w:rPr>
          <w:rFonts w:ascii="Times New Roman" w:hAnsi="Times New Roman" w:cs="Times New Roman"/>
          <w:b/>
          <w:bCs/>
          <w:smallCaps/>
          <w:sz w:val="28"/>
          <w:szCs w:val="28"/>
          <w:lang w:val="sq-AL"/>
        </w:rPr>
        <w:t xml:space="preserve"> i </w:t>
      </w:r>
      <w:r w:rsidR="00474533" w:rsidRPr="001769B0">
        <w:rPr>
          <w:rFonts w:ascii="Times New Roman" w:hAnsi="Times New Roman" w:cs="Times New Roman"/>
          <w:b/>
          <w:bCs/>
          <w:smallCaps/>
          <w:sz w:val="28"/>
          <w:szCs w:val="28"/>
          <w:lang w:val="sq-AL"/>
        </w:rPr>
        <w:t>konsultimit</w:t>
      </w:r>
      <w:r w:rsidRPr="001769B0">
        <w:rPr>
          <w:rFonts w:ascii="Times New Roman" w:hAnsi="Times New Roman" w:cs="Times New Roman"/>
          <w:b/>
          <w:bCs/>
          <w:smallCaps/>
          <w:sz w:val="28"/>
          <w:szCs w:val="28"/>
          <w:lang w:val="sq-AL"/>
        </w:rPr>
        <w:t xml:space="preserve"> me publikun për </w:t>
      </w:r>
      <w:r w:rsidR="008443A9" w:rsidRPr="001769B0">
        <w:rPr>
          <w:rFonts w:ascii="Times New Roman" w:eastAsia="MS Mincho" w:hAnsi="Times New Roman" w:cs="Times New Roman"/>
          <w:b/>
          <w:caps/>
          <w:lang w:val="sr-Latn-RS"/>
        </w:rPr>
        <w:t>ProjekT-</w:t>
      </w:r>
      <w:r w:rsidR="00863860" w:rsidRPr="001769B0">
        <w:rPr>
          <w:rFonts w:ascii="Times New Roman" w:hAnsi="Times New Roman" w:cs="Times New Roman"/>
          <w:b/>
          <w:bCs/>
          <w:lang w:val="sr-Latn-RS"/>
        </w:rPr>
        <w:t>UDHËZIMI</w:t>
      </w:r>
      <w:r w:rsidR="008443A9" w:rsidRPr="001769B0">
        <w:rPr>
          <w:rFonts w:ascii="Times New Roman" w:hAnsi="Times New Roman" w:cs="Times New Roman"/>
          <w:b/>
          <w:bCs/>
          <w:lang w:val="sr-Latn-RS"/>
        </w:rPr>
        <w:t>N</w:t>
      </w:r>
      <w:r w:rsidR="00863860" w:rsidRPr="001769B0">
        <w:rPr>
          <w:rFonts w:ascii="Times New Roman" w:hAnsi="Times New Roman" w:cs="Times New Roman"/>
          <w:b/>
          <w:bCs/>
          <w:lang w:val="sr-Latn-RS"/>
        </w:rPr>
        <w:t xml:space="preserve"> ADMINISTRATIV </w:t>
      </w:r>
      <w:r w:rsidR="00F81ADF" w:rsidRPr="001769B0">
        <w:rPr>
          <w:rFonts w:ascii="Times New Roman" w:hAnsi="Times New Roman" w:cs="Times New Roman"/>
          <w:b/>
          <w:bCs/>
          <w:lang w:val="sr-Latn-RS"/>
        </w:rPr>
        <w:t>PËR ZYRAT KOMUNALE TË ENERGJISË</w:t>
      </w:r>
    </w:p>
    <w:p w14:paraId="02DBA1D6" w14:textId="44244A6B" w:rsidR="009C5C25" w:rsidRPr="001769B0" w:rsidRDefault="009C5C25" w:rsidP="00863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sq-AL"/>
        </w:rPr>
      </w:pPr>
    </w:p>
    <w:p w14:paraId="5D2AEF8E" w14:textId="3219C1E2" w:rsidR="009C5C25" w:rsidRPr="001769B0" w:rsidRDefault="009C5C25" w:rsidP="009D3AC4">
      <w:pPr>
        <w:jc w:val="center"/>
        <w:rPr>
          <w:rFonts w:ascii="Times New Roman" w:hAnsi="Times New Roman" w:cs="Times New Roman"/>
          <w:b/>
          <w:lang w:val="sq-AL"/>
        </w:rPr>
      </w:pPr>
      <w:r w:rsidRPr="001769B0">
        <w:rPr>
          <w:rFonts w:ascii="Times New Roman" w:hAnsi="Times New Roman" w:cs="Times New Roman"/>
          <w:b/>
          <w:lang w:val="sq-AL"/>
        </w:rPr>
        <w:t>Hyrja/sfondi</w:t>
      </w:r>
    </w:p>
    <w:p w14:paraId="2B83B05B" w14:textId="77777777" w:rsidR="00FA0FD6" w:rsidRPr="001769B0" w:rsidRDefault="00FA0FD6" w:rsidP="009D3AC4">
      <w:pPr>
        <w:jc w:val="center"/>
        <w:rPr>
          <w:rFonts w:ascii="Times New Roman" w:hAnsi="Times New Roman" w:cs="Times New Roman"/>
          <w:b/>
          <w:lang w:val="sq-AL"/>
        </w:rPr>
      </w:pPr>
    </w:p>
    <w:p w14:paraId="0E62D093" w14:textId="56E54DCF" w:rsidR="00ED08D0" w:rsidRPr="001769B0" w:rsidRDefault="008443A9" w:rsidP="008443A9">
      <w:pPr>
        <w:pStyle w:val="BodyText2"/>
        <w:spacing w:line="240" w:lineRule="auto"/>
        <w:jc w:val="both"/>
        <w:rPr>
          <w:rFonts w:ascii="Times New Roman" w:hAnsi="Times New Roman"/>
        </w:rPr>
      </w:pPr>
      <w:r w:rsidRPr="001769B0">
        <w:rPr>
          <w:rFonts w:ascii="Times New Roman" w:hAnsi="Times New Roman"/>
          <w:lang w:eastAsia="ja-JP"/>
        </w:rPr>
        <w:t>Ky Projekt-</w:t>
      </w:r>
      <w:r w:rsidR="00ED08D0" w:rsidRPr="001769B0">
        <w:rPr>
          <w:rFonts w:ascii="Times New Roman" w:hAnsi="Times New Roman"/>
          <w:lang w:eastAsia="ja-JP"/>
        </w:rPr>
        <w:t xml:space="preserve">Udhëzim Administrativ ka për qëllim </w:t>
      </w:r>
      <w:r w:rsidR="00F81ADF" w:rsidRPr="001769B0">
        <w:rPr>
          <w:rFonts w:ascii="Times New Roman" w:hAnsi="Times New Roman"/>
        </w:rPr>
        <w:t>organizimin dhe përcaktimin e detyrave dhe përgjegjësive të</w:t>
      </w:r>
      <w:r w:rsidR="00B86DBA" w:rsidRPr="001769B0">
        <w:rPr>
          <w:rFonts w:ascii="Times New Roman" w:hAnsi="Times New Roman"/>
        </w:rPr>
        <w:t xml:space="preserve"> zyrave komunale të energjisë  në  komunat e Republikës së Kosovës, për  adresimin e çështjeve në planifikim </w:t>
      </w:r>
      <w:r w:rsidR="00F81ADF" w:rsidRPr="001769B0">
        <w:rPr>
          <w:rFonts w:ascii="Times New Roman" w:hAnsi="Times New Roman"/>
        </w:rPr>
        <w:t>,</w:t>
      </w:r>
      <w:r w:rsidR="00D357F3">
        <w:rPr>
          <w:rFonts w:ascii="Times New Roman" w:hAnsi="Times New Roman"/>
        </w:rPr>
        <w:t xml:space="preserve"> </w:t>
      </w:r>
      <w:r w:rsidR="00B86DBA" w:rsidRPr="001769B0">
        <w:rPr>
          <w:rFonts w:ascii="Times New Roman" w:hAnsi="Times New Roman"/>
        </w:rPr>
        <w:t>zbatim  dhe monitorim të  politikave t</w:t>
      </w:r>
      <w:r w:rsidR="00F81ADF" w:rsidRPr="001769B0">
        <w:rPr>
          <w:rFonts w:ascii="Times New Roman" w:hAnsi="Times New Roman"/>
        </w:rPr>
        <w:t>ë</w:t>
      </w:r>
      <w:r w:rsidR="00B86DBA" w:rsidRPr="001769B0">
        <w:rPr>
          <w:rFonts w:ascii="Times New Roman" w:hAnsi="Times New Roman"/>
        </w:rPr>
        <w:t xml:space="preserve"> energjisë në nivel lokal. </w:t>
      </w:r>
    </w:p>
    <w:p w14:paraId="2BE3DB60" w14:textId="2AC7C192" w:rsidR="00985B4A" w:rsidRPr="001769B0" w:rsidRDefault="00985B4A" w:rsidP="00FA2212">
      <w:pPr>
        <w:pStyle w:val="ListParagraph"/>
        <w:tabs>
          <w:tab w:val="left" w:pos="180"/>
        </w:tabs>
        <w:spacing w:before="240"/>
        <w:ind w:left="0"/>
        <w:jc w:val="both"/>
        <w:rPr>
          <w:rFonts w:ascii="Times New Roman" w:hAnsi="Times New Roman"/>
          <w:sz w:val="24"/>
          <w:lang w:val="sq-AL"/>
        </w:rPr>
      </w:pPr>
      <w:r w:rsidRPr="001769B0">
        <w:rPr>
          <w:rFonts w:ascii="Times New Roman" w:hAnsi="Times New Roman"/>
          <w:sz w:val="24"/>
          <w:lang w:val="sq-AL"/>
        </w:rPr>
        <w:t xml:space="preserve">Hartimi i </w:t>
      </w:r>
      <w:r w:rsidR="00D357F3">
        <w:rPr>
          <w:rFonts w:ascii="Times New Roman" w:hAnsi="Times New Roman"/>
          <w:sz w:val="24"/>
          <w:lang w:val="sq-AL"/>
        </w:rPr>
        <w:t>P</w:t>
      </w:r>
      <w:r w:rsidR="00ED08D0" w:rsidRPr="001769B0">
        <w:rPr>
          <w:rFonts w:ascii="Times New Roman" w:hAnsi="Times New Roman"/>
          <w:sz w:val="24"/>
          <w:lang w:val="sq-AL"/>
        </w:rPr>
        <w:t>rojekt</w:t>
      </w:r>
      <w:r w:rsidR="00D357F3">
        <w:rPr>
          <w:rFonts w:ascii="Times New Roman" w:hAnsi="Times New Roman"/>
          <w:sz w:val="24"/>
          <w:lang w:val="sq-AL"/>
        </w:rPr>
        <w:t>-</w:t>
      </w:r>
      <w:r w:rsidR="00ED08D0" w:rsidRPr="001769B0">
        <w:rPr>
          <w:rFonts w:ascii="Times New Roman" w:hAnsi="Times New Roman"/>
          <w:sz w:val="24"/>
          <w:lang w:val="sq-AL"/>
        </w:rPr>
        <w:t>Udhëzimit Admini</w:t>
      </w:r>
      <w:r w:rsidRPr="001769B0">
        <w:rPr>
          <w:rFonts w:ascii="Times New Roman" w:hAnsi="Times New Roman"/>
          <w:sz w:val="24"/>
          <w:lang w:val="sq-AL"/>
        </w:rPr>
        <w:t>s</w:t>
      </w:r>
      <w:r w:rsidR="00ED08D0" w:rsidRPr="001769B0">
        <w:rPr>
          <w:rFonts w:ascii="Times New Roman" w:hAnsi="Times New Roman"/>
          <w:sz w:val="24"/>
          <w:lang w:val="sq-AL"/>
        </w:rPr>
        <w:t>trativ</w:t>
      </w:r>
      <w:r w:rsidR="00F81ADF" w:rsidRPr="001769B0">
        <w:rPr>
          <w:rFonts w:ascii="Times New Roman" w:hAnsi="Times New Roman"/>
          <w:sz w:val="24"/>
          <w:lang w:val="sq-AL"/>
        </w:rPr>
        <w:t xml:space="preserve"> është bërë nga Grupi P</w:t>
      </w:r>
      <w:r w:rsidRPr="001769B0">
        <w:rPr>
          <w:rFonts w:ascii="Times New Roman" w:hAnsi="Times New Roman"/>
          <w:sz w:val="24"/>
          <w:lang w:val="sq-AL"/>
        </w:rPr>
        <w:t xml:space="preserve">unues i udhëhequr nga Departamenti i </w:t>
      </w:r>
      <w:r w:rsidR="00ED08D0" w:rsidRPr="001769B0">
        <w:rPr>
          <w:rFonts w:ascii="Times New Roman" w:hAnsi="Times New Roman"/>
          <w:sz w:val="24"/>
          <w:lang w:val="sq-AL"/>
        </w:rPr>
        <w:t>Energ</w:t>
      </w:r>
      <w:r w:rsidR="00C1146D" w:rsidRPr="001769B0">
        <w:rPr>
          <w:rFonts w:ascii="Times New Roman" w:hAnsi="Times New Roman"/>
          <w:sz w:val="24"/>
          <w:lang w:val="sq-AL"/>
        </w:rPr>
        <w:t>jisë respektivisht Divizioni i Politikave të E</w:t>
      </w:r>
      <w:r w:rsidR="00ED08D0" w:rsidRPr="001769B0">
        <w:rPr>
          <w:rFonts w:ascii="Times New Roman" w:hAnsi="Times New Roman"/>
          <w:sz w:val="24"/>
          <w:lang w:val="sq-AL"/>
        </w:rPr>
        <w:t>nergjisë</w:t>
      </w:r>
      <w:r w:rsidR="00F81ADF" w:rsidRPr="001769B0">
        <w:rPr>
          <w:rFonts w:ascii="Times New Roman" w:hAnsi="Times New Roman"/>
          <w:sz w:val="24"/>
          <w:lang w:val="sq-AL"/>
        </w:rPr>
        <w:t xml:space="preserve"> i MZHE-së</w:t>
      </w:r>
      <w:r w:rsidRPr="001769B0">
        <w:rPr>
          <w:rFonts w:ascii="Times New Roman" w:hAnsi="Times New Roman"/>
          <w:sz w:val="24"/>
          <w:lang w:val="sq-AL"/>
        </w:rPr>
        <w:t xml:space="preserve"> ku kanë marrë pjesë edhe përfaqësues të Departamentit Ligjor</w:t>
      </w:r>
      <w:r w:rsidR="00C1146D" w:rsidRPr="001769B0">
        <w:rPr>
          <w:rFonts w:ascii="Times New Roman" w:hAnsi="Times New Roman"/>
          <w:sz w:val="24"/>
          <w:lang w:val="sq-AL"/>
        </w:rPr>
        <w:t>,</w:t>
      </w:r>
      <w:r w:rsidR="00FA1311" w:rsidRPr="001769B0">
        <w:rPr>
          <w:rFonts w:ascii="Times New Roman" w:hAnsi="Times New Roman"/>
          <w:sz w:val="24"/>
          <w:lang w:val="sq-AL"/>
        </w:rPr>
        <w:t xml:space="preserve"> përfaqësues të Divizionit të Burimeve të Ripërtëritshme të Energjisë, Efiçiencës dhe Bashkëprodhimit, </w:t>
      </w:r>
      <w:r w:rsidR="00B86DBA" w:rsidRPr="001769B0">
        <w:rPr>
          <w:rFonts w:ascii="Times New Roman" w:hAnsi="Times New Roman"/>
          <w:sz w:val="24"/>
          <w:lang w:val="sq-AL"/>
        </w:rPr>
        <w:t xml:space="preserve">përfaqësues të Departamentit të Financave dhe Shërbimeve të Përgjithshme </w:t>
      </w:r>
      <w:r w:rsidR="00FA1311" w:rsidRPr="001769B0">
        <w:rPr>
          <w:rFonts w:ascii="Times New Roman" w:hAnsi="Times New Roman"/>
          <w:sz w:val="24"/>
          <w:lang w:val="sq-AL"/>
        </w:rPr>
        <w:t>, përfaqësues të Agjencisë të Kosovës për efiçiencë të energjisë</w:t>
      </w:r>
      <w:r w:rsidRPr="001769B0">
        <w:rPr>
          <w:rFonts w:ascii="Times New Roman" w:hAnsi="Times New Roman"/>
          <w:sz w:val="24"/>
          <w:lang w:val="sq-AL"/>
        </w:rPr>
        <w:t xml:space="preserve">, përfaqësues të </w:t>
      </w:r>
      <w:r w:rsidR="00B86DBA" w:rsidRPr="001769B0">
        <w:rPr>
          <w:rFonts w:ascii="Times New Roman" w:hAnsi="Times New Roman"/>
          <w:sz w:val="24"/>
          <w:lang w:val="sq-AL"/>
        </w:rPr>
        <w:t>Asociacionit të Komunave</w:t>
      </w:r>
      <w:r w:rsidR="00ED08D0" w:rsidRPr="001769B0">
        <w:rPr>
          <w:rFonts w:ascii="Times New Roman" w:hAnsi="Times New Roman"/>
          <w:sz w:val="24"/>
          <w:lang w:val="sq-AL"/>
        </w:rPr>
        <w:t>,</w:t>
      </w:r>
      <w:r w:rsidR="00FA1311" w:rsidRPr="001769B0">
        <w:rPr>
          <w:rFonts w:ascii="Times New Roman" w:hAnsi="Times New Roman"/>
          <w:sz w:val="24"/>
          <w:lang w:val="sq-AL"/>
        </w:rPr>
        <w:t xml:space="preserve"> përfaqësues të Ministrisë së Financave, përfaqësues të Ministrisë së Administrimit të Pushtetit Lokal</w:t>
      </w:r>
      <w:r w:rsidR="00ED08D0" w:rsidRPr="001769B0">
        <w:rPr>
          <w:rFonts w:ascii="Times New Roman" w:hAnsi="Times New Roman"/>
          <w:sz w:val="24"/>
          <w:lang w:val="sq-AL"/>
        </w:rPr>
        <w:t xml:space="preserve"> </w:t>
      </w:r>
      <w:r w:rsidRPr="001769B0">
        <w:rPr>
          <w:rFonts w:ascii="Times New Roman" w:hAnsi="Times New Roman"/>
          <w:sz w:val="24"/>
          <w:lang w:val="sq-AL"/>
        </w:rPr>
        <w:t>.</w:t>
      </w:r>
      <w:r w:rsidR="00F250C0" w:rsidRPr="001769B0">
        <w:rPr>
          <w:rFonts w:ascii="Times New Roman" w:hAnsi="Times New Roman"/>
          <w:sz w:val="24"/>
          <w:lang w:val="sq-AL"/>
        </w:rPr>
        <w:t xml:space="preserve"> </w:t>
      </w:r>
    </w:p>
    <w:p w14:paraId="45B9A8CD" w14:textId="73BE7EE7" w:rsidR="001378A1" w:rsidRPr="001769B0" w:rsidRDefault="001378A1" w:rsidP="00FA2212">
      <w:pPr>
        <w:pStyle w:val="ListParagraph"/>
        <w:tabs>
          <w:tab w:val="left" w:pos="180"/>
        </w:tabs>
        <w:spacing w:before="240"/>
        <w:ind w:left="0"/>
        <w:jc w:val="both"/>
        <w:rPr>
          <w:rFonts w:ascii="Times New Roman" w:hAnsi="Times New Roman"/>
          <w:sz w:val="24"/>
          <w:lang w:val="sq-AL"/>
        </w:rPr>
      </w:pPr>
      <w:r w:rsidRPr="001769B0">
        <w:rPr>
          <w:rFonts w:ascii="Times New Roman" w:hAnsi="Times New Roman"/>
          <w:sz w:val="24"/>
          <w:lang w:val="sq-AL"/>
        </w:rPr>
        <w:t xml:space="preserve">Pas hartimit të </w:t>
      </w:r>
      <w:r w:rsidR="00C1146D" w:rsidRPr="001769B0">
        <w:rPr>
          <w:rFonts w:ascii="Times New Roman" w:hAnsi="Times New Roman"/>
          <w:sz w:val="24"/>
          <w:lang w:val="sq-AL"/>
        </w:rPr>
        <w:t>projekt</w:t>
      </w:r>
      <w:r w:rsidRPr="001769B0">
        <w:rPr>
          <w:rFonts w:ascii="Times New Roman" w:hAnsi="Times New Roman"/>
          <w:sz w:val="24"/>
          <w:lang w:val="sq-AL"/>
        </w:rPr>
        <w:t xml:space="preserve"> </w:t>
      </w:r>
      <w:r w:rsidR="00C1146D" w:rsidRPr="001769B0">
        <w:rPr>
          <w:rFonts w:ascii="Times New Roman" w:hAnsi="Times New Roman"/>
          <w:sz w:val="24"/>
          <w:lang w:val="sq-AL"/>
        </w:rPr>
        <w:t>Udhëzimit Administrativ</w:t>
      </w:r>
      <w:r w:rsidRPr="001769B0">
        <w:rPr>
          <w:rFonts w:ascii="Times New Roman" w:hAnsi="Times New Roman"/>
          <w:sz w:val="24"/>
          <w:lang w:val="sq-AL"/>
        </w:rPr>
        <w:t>, drafti është dërguar për komente, vërejtje apo sugjerime te</w:t>
      </w:r>
      <w:r w:rsidR="00C1146D" w:rsidRPr="001769B0">
        <w:rPr>
          <w:rFonts w:ascii="Times New Roman" w:hAnsi="Times New Roman"/>
          <w:sz w:val="24"/>
          <w:lang w:val="sq-AL"/>
        </w:rPr>
        <w:t>k</w:t>
      </w:r>
      <w:r w:rsidRPr="001769B0">
        <w:rPr>
          <w:rFonts w:ascii="Times New Roman" w:hAnsi="Times New Roman"/>
          <w:sz w:val="24"/>
          <w:lang w:val="sq-AL"/>
        </w:rPr>
        <w:t xml:space="preserve"> të gjitha institucionet dhe agjencitë rele</w:t>
      </w:r>
      <w:r w:rsidR="00ED08D0" w:rsidRPr="001769B0">
        <w:rPr>
          <w:rFonts w:ascii="Times New Roman" w:hAnsi="Times New Roman"/>
          <w:sz w:val="24"/>
          <w:lang w:val="sq-AL"/>
        </w:rPr>
        <w:t>vante të Republikës së Kosovës</w:t>
      </w:r>
      <w:r w:rsidRPr="001769B0">
        <w:rPr>
          <w:rFonts w:ascii="Times New Roman" w:hAnsi="Times New Roman"/>
          <w:sz w:val="24"/>
          <w:lang w:val="sq-AL"/>
        </w:rPr>
        <w:t xml:space="preserve">. </w:t>
      </w:r>
      <w:r w:rsidR="00C1146D" w:rsidRPr="001769B0">
        <w:rPr>
          <w:rFonts w:ascii="Times New Roman" w:hAnsi="Times New Roman"/>
          <w:sz w:val="24"/>
          <w:lang w:val="sq-AL"/>
        </w:rPr>
        <w:t>Projekt Udhëzimi Administrativ</w:t>
      </w:r>
      <w:r w:rsidRPr="001769B0">
        <w:rPr>
          <w:rFonts w:ascii="Times New Roman" w:hAnsi="Times New Roman"/>
          <w:sz w:val="24"/>
          <w:lang w:val="sq-AL"/>
        </w:rPr>
        <w:t xml:space="preserve"> është dërguar për </w:t>
      </w:r>
      <w:r w:rsidR="00CF4C35" w:rsidRPr="001769B0">
        <w:rPr>
          <w:rFonts w:ascii="Times New Roman" w:hAnsi="Times New Roman"/>
          <w:sz w:val="24"/>
          <w:lang w:val="sq-AL"/>
        </w:rPr>
        <w:t>diskutim publik edhe te</w:t>
      </w:r>
      <w:r w:rsidR="00C1146D" w:rsidRPr="001769B0">
        <w:rPr>
          <w:rFonts w:ascii="Times New Roman" w:hAnsi="Times New Roman"/>
          <w:sz w:val="24"/>
          <w:lang w:val="sq-AL"/>
        </w:rPr>
        <w:t>k</w:t>
      </w:r>
      <w:r w:rsidR="00CF4C35" w:rsidRPr="001769B0">
        <w:rPr>
          <w:rFonts w:ascii="Times New Roman" w:hAnsi="Times New Roman"/>
          <w:sz w:val="24"/>
          <w:lang w:val="sq-AL"/>
        </w:rPr>
        <w:t xml:space="preserve"> të gjitha </w:t>
      </w:r>
      <w:r w:rsidRPr="001769B0">
        <w:rPr>
          <w:rFonts w:ascii="Times New Roman" w:hAnsi="Times New Roman"/>
          <w:sz w:val="24"/>
          <w:lang w:val="sq-AL"/>
        </w:rPr>
        <w:t xml:space="preserve">palët </w:t>
      </w:r>
      <w:r w:rsidR="00CF4C35" w:rsidRPr="001769B0">
        <w:rPr>
          <w:rFonts w:ascii="Times New Roman" w:hAnsi="Times New Roman"/>
          <w:sz w:val="24"/>
          <w:lang w:val="sq-AL"/>
        </w:rPr>
        <w:t>tjera të</w:t>
      </w:r>
      <w:r w:rsidRPr="001769B0">
        <w:rPr>
          <w:rFonts w:ascii="Times New Roman" w:hAnsi="Times New Roman"/>
          <w:sz w:val="24"/>
          <w:lang w:val="sq-AL"/>
        </w:rPr>
        <w:t xml:space="preserve"> </w:t>
      </w:r>
      <w:r w:rsidR="00CF4C35" w:rsidRPr="001769B0">
        <w:rPr>
          <w:rFonts w:ascii="Times New Roman" w:hAnsi="Times New Roman"/>
          <w:sz w:val="24"/>
          <w:lang w:val="sq-AL"/>
        </w:rPr>
        <w:t xml:space="preserve">interesit të identifikuara në bashkëpunim me </w:t>
      </w:r>
      <w:r w:rsidR="00C1146D" w:rsidRPr="001769B0">
        <w:rPr>
          <w:rFonts w:ascii="Times New Roman" w:hAnsi="Times New Roman"/>
          <w:sz w:val="24"/>
          <w:lang w:val="sq-AL"/>
        </w:rPr>
        <w:t>Departamentin Ligjor.</w:t>
      </w:r>
      <w:r w:rsidR="00CF4C35" w:rsidRPr="001769B0">
        <w:rPr>
          <w:rFonts w:ascii="Times New Roman" w:hAnsi="Times New Roman"/>
          <w:sz w:val="24"/>
          <w:lang w:val="sq-AL"/>
        </w:rPr>
        <w:t xml:space="preserve"> Konsultimi i </w:t>
      </w:r>
      <w:r w:rsidR="00C1146D" w:rsidRPr="001769B0">
        <w:rPr>
          <w:rFonts w:ascii="Times New Roman" w:hAnsi="Times New Roman"/>
          <w:sz w:val="24"/>
          <w:lang w:val="sq-AL"/>
        </w:rPr>
        <w:t>Projekt Udhëzimit Administrativ</w:t>
      </w:r>
      <w:r w:rsidR="00CF4C35" w:rsidRPr="001769B0">
        <w:rPr>
          <w:rFonts w:ascii="Times New Roman" w:hAnsi="Times New Roman"/>
          <w:sz w:val="24"/>
          <w:lang w:val="sq-AL"/>
        </w:rPr>
        <w:t xml:space="preserve"> </w:t>
      </w:r>
      <w:r w:rsidR="00CF4C35" w:rsidRPr="001769B0">
        <w:rPr>
          <w:rFonts w:ascii="Times New Roman" w:hAnsi="Times New Roman"/>
          <w:sz w:val="24"/>
          <w:lang w:val="sq-AL"/>
        </w:rPr>
        <w:lastRenderedPageBreak/>
        <w:t>është bërë në pajtim me Rregulloren Nr.05/2016 për standardet minimale për procesin e konsultimeve publike.</w:t>
      </w:r>
    </w:p>
    <w:p w14:paraId="23D4F45B" w14:textId="77777777" w:rsidR="004D6F0D" w:rsidRPr="001769B0" w:rsidRDefault="004D6F0D" w:rsidP="00FA2212">
      <w:pPr>
        <w:pStyle w:val="ListParagraph"/>
        <w:tabs>
          <w:tab w:val="left" w:pos="180"/>
        </w:tabs>
        <w:spacing w:before="240"/>
        <w:ind w:left="0"/>
        <w:jc w:val="both"/>
        <w:rPr>
          <w:rFonts w:ascii="Times New Roman" w:hAnsi="Times New Roman"/>
          <w:sz w:val="24"/>
          <w:lang w:val="sq-AL"/>
        </w:rPr>
      </w:pPr>
    </w:p>
    <w:p w14:paraId="2C92D767" w14:textId="212FBCF7" w:rsidR="009C5C25" w:rsidRPr="001769B0" w:rsidRDefault="009C5C25" w:rsidP="00294091">
      <w:pPr>
        <w:jc w:val="center"/>
        <w:rPr>
          <w:rFonts w:ascii="Times New Roman" w:hAnsi="Times New Roman" w:cs="Times New Roman"/>
          <w:b/>
          <w:lang w:val="sq-AL"/>
        </w:rPr>
      </w:pPr>
      <w:r w:rsidRPr="001769B0">
        <w:rPr>
          <w:rFonts w:ascii="Times New Roman" w:hAnsi="Times New Roman" w:cs="Times New Roman"/>
          <w:b/>
          <w:lang w:val="sq-AL"/>
        </w:rPr>
        <w:t>Ecuria procesit të konsultimit</w:t>
      </w:r>
    </w:p>
    <w:p w14:paraId="5C8DE675" w14:textId="67EDC461" w:rsidR="00052CB3" w:rsidRPr="001769B0" w:rsidRDefault="00D357F3" w:rsidP="00CF4C35">
      <w:pPr>
        <w:pStyle w:val="ListParagraph"/>
        <w:tabs>
          <w:tab w:val="left" w:pos="180"/>
        </w:tabs>
        <w:spacing w:before="240"/>
        <w:ind w:left="0"/>
        <w:jc w:val="both"/>
        <w:rPr>
          <w:rFonts w:ascii="Times New Roman" w:hAnsi="Times New Roman"/>
          <w:sz w:val="24"/>
          <w:lang w:val="sq-AL"/>
        </w:rPr>
      </w:pPr>
      <w:r>
        <w:rPr>
          <w:rFonts w:ascii="Times New Roman" w:hAnsi="Times New Roman"/>
          <w:sz w:val="24"/>
          <w:lang w:val="sq-AL" w:eastAsia="ja-JP"/>
        </w:rPr>
        <w:t>Projekt-</w:t>
      </w:r>
      <w:r w:rsidR="004D6F0D" w:rsidRPr="001769B0">
        <w:rPr>
          <w:rFonts w:ascii="Times New Roman" w:hAnsi="Times New Roman"/>
          <w:sz w:val="24"/>
          <w:lang w:val="sq-AL" w:eastAsia="ja-JP"/>
        </w:rPr>
        <w:t>Udhëzim</w:t>
      </w:r>
      <w:r>
        <w:rPr>
          <w:rFonts w:ascii="Times New Roman" w:hAnsi="Times New Roman"/>
          <w:sz w:val="24"/>
          <w:lang w:val="sq-AL" w:eastAsia="ja-JP"/>
        </w:rPr>
        <w:t>i</w:t>
      </w:r>
      <w:r w:rsidR="004D6F0D" w:rsidRPr="001769B0">
        <w:rPr>
          <w:rFonts w:ascii="Times New Roman" w:hAnsi="Times New Roman"/>
          <w:sz w:val="24"/>
          <w:lang w:val="sq-AL" w:eastAsia="ja-JP"/>
        </w:rPr>
        <w:t xml:space="preserve"> Administrativ </w:t>
      </w:r>
      <w:r w:rsidR="00504776" w:rsidRPr="001769B0">
        <w:rPr>
          <w:rFonts w:ascii="Times New Roman" w:hAnsi="Times New Roman"/>
          <w:sz w:val="24"/>
          <w:lang w:val="sq-AL" w:eastAsia="ja-JP"/>
        </w:rPr>
        <w:t xml:space="preserve">për </w:t>
      </w:r>
      <w:r w:rsidR="00F81ADF" w:rsidRPr="001769B0">
        <w:rPr>
          <w:rFonts w:ascii="Times New Roman" w:hAnsi="Times New Roman"/>
          <w:sz w:val="24"/>
          <w:lang w:val="sq-AL" w:eastAsia="ja-JP"/>
        </w:rPr>
        <w:t>Zyrat</w:t>
      </w:r>
      <w:r w:rsidR="00504776" w:rsidRPr="001769B0">
        <w:rPr>
          <w:rFonts w:ascii="Times New Roman" w:hAnsi="Times New Roman"/>
          <w:sz w:val="24"/>
          <w:lang w:val="sq-AL" w:eastAsia="ja-JP"/>
        </w:rPr>
        <w:t xml:space="preserve"> </w:t>
      </w:r>
      <w:r w:rsidR="00F81ADF" w:rsidRPr="001769B0">
        <w:rPr>
          <w:rFonts w:ascii="Times New Roman" w:hAnsi="Times New Roman"/>
          <w:sz w:val="24"/>
          <w:lang w:val="sq-AL" w:eastAsia="ja-JP"/>
        </w:rPr>
        <w:t>Komunale të E</w:t>
      </w:r>
      <w:r w:rsidR="00504776" w:rsidRPr="001769B0">
        <w:rPr>
          <w:rFonts w:ascii="Times New Roman" w:hAnsi="Times New Roman"/>
          <w:sz w:val="24"/>
          <w:lang w:val="sq-AL" w:eastAsia="ja-JP"/>
        </w:rPr>
        <w:t>nergjisë</w:t>
      </w:r>
      <w:r w:rsidR="00CF4C35" w:rsidRPr="001769B0">
        <w:rPr>
          <w:rFonts w:ascii="Times New Roman" w:hAnsi="Times New Roman"/>
          <w:sz w:val="24"/>
          <w:lang w:val="sq-AL"/>
        </w:rPr>
        <w:t xml:space="preserve"> është publikuar për konsultim me publikun në platformën elektronike më datë</w:t>
      </w:r>
      <w:r w:rsidR="00504776" w:rsidRPr="001769B0">
        <w:rPr>
          <w:rFonts w:ascii="Times New Roman" w:hAnsi="Times New Roman"/>
          <w:sz w:val="24"/>
          <w:lang w:val="sq-AL"/>
        </w:rPr>
        <w:t xml:space="preserve"> 19</w:t>
      </w:r>
      <w:r w:rsidR="00AA1864" w:rsidRPr="001769B0">
        <w:rPr>
          <w:rFonts w:ascii="Times New Roman" w:hAnsi="Times New Roman"/>
          <w:sz w:val="24"/>
          <w:lang w:val="sq-AL"/>
        </w:rPr>
        <w:t xml:space="preserve"> </w:t>
      </w:r>
      <w:r w:rsidR="004D6F0D" w:rsidRPr="001769B0">
        <w:rPr>
          <w:rFonts w:ascii="Times New Roman" w:hAnsi="Times New Roman"/>
          <w:sz w:val="24"/>
          <w:lang w:val="sq-AL"/>
        </w:rPr>
        <w:t>Prill</w:t>
      </w:r>
      <w:r w:rsidR="00C1146D" w:rsidRPr="001769B0">
        <w:rPr>
          <w:rFonts w:ascii="Times New Roman" w:hAnsi="Times New Roman"/>
          <w:sz w:val="24"/>
          <w:lang w:val="sq-AL"/>
        </w:rPr>
        <w:t xml:space="preserve"> </w:t>
      </w:r>
      <w:r w:rsidR="00AA1864" w:rsidRPr="001769B0">
        <w:rPr>
          <w:rFonts w:ascii="Times New Roman" w:hAnsi="Times New Roman"/>
          <w:sz w:val="24"/>
          <w:lang w:val="sq-AL"/>
        </w:rPr>
        <w:t xml:space="preserve">2017 dhe ka qenë </w:t>
      </w:r>
      <w:r w:rsidR="00C1146D" w:rsidRPr="001769B0">
        <w:rPr>
          <w:rFonts w:ascii="Times New Roman" w:hAnsi="Times New Roman"/>
          <w:sz w:val="24"/>
          <w:lang w:val="sq-AL"/>
        </w:rPr>
        <w:t>i</w:t>
      </w:r>
      <w:r w:rsidR="00AA1864" w:rsidRPr="001769B0">
        <w:rPr>
          <w:rFonts w:ascii="Times New Roman" w:hAnsi="Times New Roman"/>
          <w:sz w:val="24"/>
          <w:lang w:val="sq-AL"/>
        </w:rPr>
        <w:t xml:space="preserve"> hapur për komente deri më datë </w:t>
      </w:r>
      <w:r w:rsidR="00504776" w:rsidRPr="001769B0">
        <w:rPr>
          <w:rFonts w:ascii="Times New Roman" w:hAnsi="Times New Roman"/>
          <w:sz w:val="24"/>
          <w:lang w:val="sq-AL"/>
        </w:rPr>
        <w:t>11</w:t>
      </w:r>
      <w:r w:rsidR="00AA1864" w:rsidRPr="001769B0">
        <w:rPr>
          <w:rFonts w:ascii="Times New Roman" w:hAnsi="Times New Roman"/>
          <w:sz w:val="24"/>
          <w:lang w:val="sq-AL"/>
        </w:rPr>
        <w:t xml:space="preserve"> </w:t>
      </w:r>
      <w:r w:rsidR="00504776" w:rsidRPr="001769B0">
        <w:rPr>
          <w:rFonts w:ascii="Times New Roman" w:hAnsi="Times New Roman"/>
          <w:sz w:val="24"/>
          <w:lang w:val="sq-AL"/>
        </w:rPr>
        <w:t>Maj</w:t>
      </w:r>
      <w:r w:rsidR="004D6F0D" w:rsidRPr="001769B0">
        <w:rPr>
          <w:rFonts w:ascii="Times New Roman" w:hAnsi="Times New Roman"/>
          <w:sz w:val="24"/>
          <w:lang w:val="sq-AL"/>
        </w:rPr>
        <w:t xml:space="preserve"> </w:t>
      </w:r>
      <w:r w:rsidR="00AA1864" w:rsidRPr="001769B0">
        <w:rPr>
          <w:rFonts w:ascii="Times New Roman" w:hAnsi="Times New Roman"/>
          <w:sz w:val="24"/>
          <w:lang w:val="sq-AL"/>
        </w:rPr>
        <w:t xml:space="preserve">2017. </w:t>
      </w:r>
      <w:r w:rsidR="004D6F0D" w:rsidRPr="001769B0">
        <w:rPr>
          <w:rFonts w:ascii="Times New Roman" w:hAnsi="Times New Roman"/>
          <w:sz w:val="24"/>
          <w:lang w:val="sq-AL"/>
        </w:rPr>
        <w:t xml:space="preserve">Projekt </w:t>
      </w:r>
      <w:r w:rsidR="00C1146D" w:rsidRPr="001769B0">
        <w:rPr>
          <w:rFonts w:ascii="Times New Roman" w:hAnsi="Times New Roman"/>
          <w:sz w:val="24"/>
          <w:lang w:val="sq-AL"/>
        </w:rPr>
        <w:t xml:space="preserve"> </w:t>
      </w:r>
      <w:r w:rsidR="006A19DF" w:rsidRPr="001769B0">
        <w:rPr>
          <w:rFonts w:ascii="Times New Roman" w:hAnsi="Times New Roman"/>
          <w:sz w:val="24"/>
          <w:lang w:val="sq-AL"/>
        </w:rPr>
        <w:t xml:space="preserve"> </w:t>
      </w:r>
      <w:r w:rsidR="008443A9" w:rsidRPr="001769B0">
        <w:rPr>
          <w:rFonts w:ascii="Times New Roman" w:hAnsi="Times New Roman"/>
          <w:sz w:val="24"/>
          <w:lang w:val="sq-AL"/>
        </w:rPr>
        <w:t>Udhëzimi</w:t>
      </w:r>
      <w:r w:rsidR="004D6F0D" w:rsidRPr="001769B0">
        <w:rPr>
          <w:rFonts w:ascii="Times New Roman" w:hAnsi="Times New Roman"/>
          <w:sz w:val="24"/>
          <w:lang w:val="sq-AL"/>
        </w:rPr>
        <w:t xml:space="preserve"> Administrativ</w:t>
      </w:r>
      <w:r w:rsidR="006A19DF" w:rsidRPr="001769B0">
        <w:rPr>
          <w:rFonts w:ascii="Times New Roman" w:hAnsi="Times New Roman"/>
          <w:sz w:val="24"/>
          <w:lang w:val="sq-AL"/>
        </w:rPr>
        <w:t xml:space="preserve"> u është dërguar </w:t>
      </w:r>
      <w:r w:rsidR="00052CB3" w:rsidRPr="001769B0">
        <w:rPr>
          <w:rFonts w:ascii="Times New Roman" w:hAnsi="Times New Roman"/>
          <w:sz w:val="24"/>
          <w:lang w:val="sq-AL"/>
        </w:rPr>
        <w:t xml:space="preserve">edhe </w:t>
      </w:r>
      <w:r w:rsidR="006A19DF" w:rsidRPr="001769B0">
        <w:rPr>
          <w:rFonts w:ascii="Times New Roman" w:hAnsi="Times New Roman"/>
          <w:sz w:val="24"/>
          <w:lang w:val="sq-AL"/>
        </w:rPr>
        <w:t xml:space="preserve">me email palëve </w:t>
      </w:r>
      <w:r w:rsidR="00052CB3" w:rsidRPr="001769B0">
        <w:rPr>
          <w:rFonts w:ascii="Times New Roman" w:hAnsi="Times New Roman"/>
          <w:sz w:val="24"/>
          <w:lang w:val="sq-AL"/>
        </w:rPr>
        <w:t xml:space="preserve">të identifikuara </w:t>
      </w:r>
      <w:r w:rsidR="004D6F0D" w:rsidRPr="001769B0">
        <w:rPr>
          <w:rFonts w:ascii="Times New Roman" w:hAnsi="Times New Roman"/>
          <w:sz w:val="24"/>
          <w:lang w:val="sq-AL"/>
        </w:rPr>
        <w:t>të interesit për konsultim paraprak</w:t>
      </w:r>
      <w:r w:rsidR="00052CB3" w:rsidRPr="001769B0">
        <w:rPr>
          <w:rFonts w:ascii="Times New Roman" w:hAnsi="Times New Roman"/>
          <w:sz w:val="24"/>
          <w:lang w:val="sq-AL"/>
        </w:rPr>
        <w:t xml:space="preserve">. </w:t>
      </w:r>
    </w:p>
    <w:p w14:paraId="17AD3421" w14:textId="77777777" w:rsidR="00DF00C4" w:rsidRPr="001769B0" w:rsidRDefault="000501BD" w:rsidP="00546730">
      <w:pPr>
        <w:pStyle w:val="ListParagraph"/>
        <w:tabs>
          <w:tab w:val="left" w:pos="180"/>
        </w:tabs>
        <w:spacing w:before="240"/>
        <w:ind w:left="0"/>
        <w:jc w:val="both"/>
        <w:rPr>
          <w:rFonts w:ascii="Times New Roman" w:hAnsi="Times New Roman"/>
          <w:sz w:val="24"/>
          <w:lang w:val="sq-AL"/>
        </w:rPr>
      </w:pPr>
      <w:r w:rsidRPr="001769B0">
        <w:rPr>
          <w:rFonts w:ascii="Times New Roman" w:hAnsi="Times New Roman"/>
          <w:sz w:val="24"/>
          <w:lang w:val="sq-AL"/>
        </w:rPr>
        <w:t xml:space="preserve">Palët e interesit janë identifikuar në bashkëpunim me </w:t>
      </w:r>
      <w:r w:rsidR="004D6F0D" w:rsidRPr="001769B0">
        <w:rPr>
          <w:rFonts w:ascii="Times New Roman" w:hAnsi="Times New Roman"/>
          <w:sz w:val="24"/>
          <w:lang w:val="sq-AL"/>
        </w:rPr>
        <w:t>Departamentin Ligjor</w:t>
      </w:r>
      <w:r w:rsidRPr="001769B0">
        <w:rPr>
          <w:rFonts w:ascii="Times New Roman" w:hAnsi="Times New Roman"/>
          <w:sz w:val="24"/>
          <w:lang w:val="sq-AL"/>
        </w:rPr>
        <w:t xml:space="preserve"> dhe duke shfrytëzuar traditën e bashkëpunimit, të krijuar gjatë proceseve të ngjashme në të kaluarën, që MZHE ka pasur. </w:t>
      </w:r>
    </w:p>
    <w:p w14:paraId="4AB866D3" w14:textId="77777777" w:rsidR="0078611B" w:rsidRPr="001769B0" w:rsidRDefault="0078611B" w:rsidP="00FA0FD6">
      <w:pPr>
        <w:jc w:val="both"/>
        <w:rPr>
          <w:rFonts w:ascii="Times New Roman" w:hAnsi="Times New Roman" w:cs="Times New Roman"/>
          <w:i/>
          <w:lang w:val="sq-AL"/>
        </w:rPr>
      </w:pPr>
    </w:p>
    <w:p w14:paraId="5108902B" w14:textId="77777777" w:rsidR="00DF00C4" w:rsidRPr="001769B0" w:rsidRDefault="00DF00C4" w:rsidP="00FA0FD6">
      <w:pPr>
        <w:jc w:val="both"/>
        <w:rPr>
          <w:rFonts w:ascii="Times New Roman" w:hAnsi="Times New Roman" w:cs="Times New Roman"/>
          <w:i/>
          <w:lang w:val="sq-AL"/>
        </w:rPr>
      </w:pPr>
    </w:p>
    <w:tbl>
      <w:tblPr>
        <w:tblStyle w:val="GridTable1Light-Accent51"/>
        <w:tblW w:w="0" w:type="auto"/>
        <w:tblLook w:val="04A0" w:firstRow="1" w:lastRow="0" w:firstColumn="1" w:lastColumn="0" w:noHBand="0" w:noVBand="1"/>
      </w:tblPr>
      <w:tblGrid>
        <w:gridCol w:w="3823"/>
        <w:gridCol w:w="2483"/>
        <w:gridCol w:w="3044"/>
      </w:tblGrid>
      <w:tr w:rsidR="0078611B" w:rsidRPr="001769B0" w14:paraId="0A366BD3" w14:textId="77777777" w:rsidTr="00593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3DA1C11A" w14:textId="77777777" w:rsidR="0078611B" w:rsidRPr="001769B0" w:rsidRDefault="0078611B" w:rsidP="00593CA3">
            <w:pPr>
              <w:pStyle w:val="Default"/>
              <w:rPr>
                <w:color w:val="auto"/>
                <w:sz w:val="20"/>
                <w:lang w:val="sq-AL"/>
              </w:rPr>
            </w:pPr>
            <w:r w:rsidRPr="001769B0">
              <w:rPr>
                <w:color w:val="auto"/>
                <w:sz w:val="20"/>
                <w:lang w:val="sq-AL"/>
              </w:rPr>
              <w:t>Metodat e Konsultimit</w:t>
            </w:r>
          </w:p>
        </w:tc>
        <w:tc>
          <w:tcPr>
            <w:tcW w:w="2483" w:type="dxa"/>
            <w:shd w:val="clear" w:color="auto" w:fill="FBE4D5" w:themeFill="accent2" w:themeFillTint="33"/>
          </w:tcPr>
          <w:p w14:paraId="0179E415" w14:textId="2C220230" w:rsidR="0078611B" w:rsidRPr="001769B0"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sz w:val="20"/>
                <w:lang w:val="sq-AL"/>
              </w:rPr>
            </w:pPr>
            <w:r w:rsidRPr="001769B0">
              <w:rPr>
                <w:color w:val="auto"/>
                <w:sz w:val="20"/>
                <w:lang w:val="sq-AL"/>
              </w:rPr>
              <w:t>Datat/koh</w:t>
            </w:r>
            <w:r w:rsidR="007D7804" w:rsidRPr="001769B0">
              <w:rPr>
                <w:color w:val="auto"/>
                <w:sz w:val="20"/>
                <w:lang w:val="sq-AL"/>
              </w:rPr>
              <w:t>ë</w:t>
            </w:r>
            <w:r w:rsidRPr="001769B0">
              <w:rPr>
                <w:color w:val="auto"/>
                <w:sz w:val="20"/>
                <w:lang w:val="sq-AL"/>
              </w:rPr>
              <w:t>zgjatja</w:t>
            </w:r>
          </w:p>
        </w:tc>
        <w:tc>
          <w:tcPr>
            <w:tcW w:w="3044" w:type="dxa"/>
            <w:shd w:val="clear" w:color="auto" w:fill="FBE4D5" w:themeFill="accent2" w:themeFillTint="33"/>
          </w:tcPr>
          <w:p w14:paraId="3C2FA0BE" w14:textId="382521C5" w:rsidR="0078611B" w:rsidRPr="001769B0"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sz w:val="20"/>
                <w:lang w:val="sq-AL"/>
              </w:rPr>
            </w:pPr>
            <w:r w:rsidRPr="001769B0">
              <w:rPr>
                <w:color w:val="auto"/>
                <w:sz w:val="20"/>
                <w:lang w:val="sq-AL"/>
              </w:rPr>
              <w:t>Numri</w:t>
            </w:r>
            <w:r w:rsidR="0040055E" w:rsidRPr="001769B0">
              <w:rPr>
                <w:color w:val="auto"/>
                <w:sz w:val="20"/>
                <w:lang w:val="sq-AL"/>
              </w:rPr>
              <w:t xml:space="preserve"> i </w:t>
            </w:r>
            <w:r w:rsidRPr="001769B0">
              <w:rPr>
                <w:color w:val="auto"/>
                <w:sz w:val="20"/>
                <w:lang w:val="sq-AL"/>
              </w:rPr>
              <w:t>pjesmarrësve/kontribuesve</w:t>
            </w:r>
          </w:p>
        </w:tc>
      </w:tr>
      <w:tr w:rsidR="0078611B" w:rsidRPr="001769B0" w14:paraId="6AABDA7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4D33193" w14:textId="77777777" w:rsidR="0078611B" w:rsidRPr="001769B0" w:rsidRDefault="0078611B" w:rsidP="0078611B">
            <w:pPr>
              <w:pStyle w:val="Default"/>
              <w:numPr>
                <w:ilvl w:val="0"/>
                <w:numId w:val="9"/>
              </w:numPr>
              <w:ind w:left="454"/>
              <w:rPr>
                <w:b w:val="0"/>
                <w:sz w:val="21"/>
                <w:szCs w:val="23"/>
                <w:lang w:val="sq-AL"/>
              </w:rPr>
            </w:pPr>
            <w:r w:rsidRPr="001769B0">
              <w:rPr>
                <w:b w:val="0"/>
                <w:sz w:val="21"/>
                <w:szCs w:val="23"/>
                <w:lang w:val="sq-AL"/>
              </w:rPr>
              <w:t>Konsultimet me shkrim / në mënyrë elektronike;</w:t>
            </w:r>
          </w:p>
        </w:tc>
        <w:tc>
          <w:tcPr>
            <w:tcW w:w="2483" w:type="dxa"/>
          </w:tcPr>
          <w:p w14:paraId="1521CFE3" w14:textId="4CBDE2DC" w:rsidR="0078611B" w:rsidRPr="001769B0"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15 ditë pune</w:t>
            </w:r>
          </w:p>
        </w:tc>
        <w:tc>
          <w:tcPr>
            <w:tcW w:w="3044" w:type="dxa"/>
          </w:tcPr>
          <w:p w14:paraId="4D30F821" w14:textId="175D06DF" w:rsidR="0078611B" w:rsidRPr="001769B0" w:rsidRDefault="000B71D1"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22</w:t>
            </w:r>
          </w:p>
        </w:tc>
      </w:tr>
      <w:tr w:rsidR="0078611B" w:rsidRPr="001769B0" w14:paraId="674A71A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DE8BDDA" w14:textId="77777777" w:rsidR="0078611B" w:rsidRPr="001769B0" w:rsidRDefault="0078611B" w:rsidP="0078611B">
            <w:pPr>
              <w:pStyle w:val="Default"/>
              <w:numPr>
                <w:ilvl w:val="0"/>
                <w:numId w:val="9"/>
              </w:numPr>
              <w:ind w:left="454"/>
              <w:rPr>
                <w:b w:val="0"/>
                <w:color w:val="auto"/>
                <w:sz w:val="21"/>
                <w:lang w:val="sq-AL"/>
              </w:rPr>
            </w:pPr>
            <w:r w:rsidRPr="001769B0">
              <w:rPr>
                <w:b w:val="0"/>
                <w:sz w:val="21"/>
                <w:szCs w:val="23"/>
                <w:lang w:val="sq-AL"/>
              </w:rPr>
              <w:t>Publikimi në ueb faqe/Platforma elektronike</w:t>
            </w:r>
          </w:p>
        </w:tc>
        <w:tc>
          <w:tcPr>
            <w:tcW w:w="2483" w:type="dxa"/>
          </w:tcPr>
          <w:p w14:paraId="44C83DFE" w14:textId="7A344FAE" w:rsidR="0078611B" w:rsidRPr="001769B0"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15 ditë pune</w:t>
            </w:r>
          </w:p>
        </w:tc>
        <w:tc>
          <w:tcPr>
            <w:tcW w:w="3044" w:type="dxa"/>
          </w:tcPr>
          <w:p w14:paraId="50FF2565" w14:textId="12F367FB" w:rsidR="0078611B" w:rsidRPr="001769B0"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0</w:t>
            </w:r>
          </w:p>
        </w:tc>
      </w:tr>
      <w:tr w:rsidR="0078611B" w:rsidRPr="001769B0" w14:paraId="289F76BC" w14:textId="77777777" w:rsidTr="00593CA3">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DF5C135" w14:textId="77777777" w:rsidR="0078611B" w:rsidRPr="001769B0" w:rsidRDefault="0078611B" w:rsidP="0078611B">
            <w:pPr>
              <w:pStyle w:val="Default"/>
              <w:numPr>
                <w:ilvl w:val="0"/>
                <w:numId w:val="9"/>
              </w:numPr>
              <w:ind w:left="454"/>
              <w:rPr>
                <w:b w:val="0"/>
                <w:color w:val="auto"/>
                <w:sz w:val="21"/>
                <w:lang w:val="sq-AL"/>
              </w:rPr>
            </w:pPr>
            <w:r w:rsidRPr="001769B0">
              <w:rPr>
                <w:b w:val="0"/>
                <w:sz w:val="21"/>
                <w:szCs w:val="23"/>
                <w:lang w:val="sq-AL"/>
              </w:rPr>
              <w:t>Takime me grupe të interesit</w:t>
            </w:r>
          </w:p>
        </w:tc>
        <w:tc>
          <w:tcPr>
            <w:tcW w:w="2483" w:type="dxa"/>
          </w:tcPr>
          <w:p w14:paraId="08020F0F" w14:textId="335C8C3C" w:rsidR="00B13CC1" w:rsidRPr="001769B0" w:rsidRDefault="00DF00C4"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0</w:t>
            </w:r>
          </w:p>
        </w:tc>
        <w:tc>
          <w:tcPr>
            <w:tcW w:w="3044" w:type="dxa"/>
          </w:tcPr>
          <w:p w14:paraId="52086F37" w14:textId="4912FC43" w:rsidR="00B13CC1" w:rsidRPr="001769B0" w:rsidRDefault="00DF00C4" w:rsidP="00593CA3">
            <w:pPr>
              <w:pStyle w:val="Default"/>
              <w:cnfStyle w:val="000000000000" w:firstRow="0" w:lastRow="0" w:firstColumn="0" w:lastColumn="0" w:oddVBand="0" w:evenVBand="0" w:oddHBand="0" w:evenHBand="0" w:firstRowFirstColumn="0" w:firstRowLastColumn="0" w:lastRowFirstColumn="0" w:lastRowLastColumn="0"/>
              <w:rPr>
                <w:color w:val="auto"/>
                <w:sz w:val="21"/>
                <w:lang w:val="sq-AL"/>
              </w:rPr>
            </w:pPr>
            <w:r w:rsidRPr="001769B0">
              <w:rPr>
                <w:color w:val="auto"/>
                <w:sz w:val="21"/>
                <w:lang w:val="sq-AL"/>
              </w:rPr>
              <w:t>0</w:t>
            </w:r>
          </w:p>
        </w:tc>
      </w:tr>
    </w:tbl>
    <w:p w14:paraId="16894ACF" w14:textId="77777777" w:rsidR="009C5C25" w:rsidRPr="001769B0" w:rsidRDefault="009C5C25" w:rsidP="00FA0FD6">
      <w:pPr>
        <w:jc w:val="both"/>
        <w:rPr>
          <w:rFonts w:ascii="Times New Roman" w:hAnsi="Times New Roman" w:cs="Times New Roman"/>
          <w:lang w:val="sq-AL"/>
        </w:rPr>
      </w:pPr>
    </w:p>
    <w:p w14:paraId="0F4E27A4" w14:textId="77777777" w:rsidR="009116DB" w:rsidRPr="001769B0" w:rsidRDefault="009116DB" w:rsidP="00FA0FD6">
      <w:pPr>
        <w:jc w:val="both"/>
        <w:rPr>
          <w:rFonts w:ascii="Times New Roman" w:hAnsi="Times New Roman" w:cs="Times New Roman"/>
          <w:lang w:val="sq-AL"/>
        </w:rPr>
      </w:pPr>
    </w:p>
    <w:p w14:paraId="2EC223E0" w14:textId="77777777" w:rsidR="0040055E" w:rsidRPr="001769B0" w:rsidRDefault="0040055E" w:rsidP="00FA0FD6">
      <w:pPr>
        <w:jc w:val="both"/>
        <w:rPr>
          <w:rFonts w:ascii="Times New Roman" w:hAnsi="Times New Roman" w:cs="Times New Roman"/>
          <w:lang w:val="sq-AL"/>
        </w:rPr>
      </w:pPr>
    </w:p>
    <w:p w14:paraId="304F6585" w14:textId="79D21299" w:rsidR="00CA636D" w:rsidRPr="001769B0" w:rsidRDefault="00CA636D" w:rsidP="00CA636D">
      <w:pPr>
        <w:jc w:val="center"/>
        <w:rPr>
          <w:rFonts w:ascii="Times New Roman" w:hAnsi="Times New Roman" w:cs="Times New Roman"/>
          <w:b/>
          <w:lang w:val="sq-AL"/>
        </w:rPr>
      </w:pPr>
      <w:r w:rsidRPr="001769B0">
        <w:rPr>
          <w:rFonts w:ascii="Times New Roman" w:hAnsi="Times New Roman" w:cs="Times New Roman"/>
          <w:b/>
          <w:lang w:val="sq-AL"/>
        </w:rPr>
        <w:t>Përmbledhje e  kontributeve t</w:t>
      </w:r>
      <w:r w:rsidR="00821CD1" w:rsidRPr="001769B0">
        <w:rPr>
          <w:rFonts w:ascii="Times New Roman" w:hAnsi="Times New Roman" w:cs="Times New Roman"/>
          <w:b/>
          <w:lang w:val="sq-AL"/>
        </w:rPr>
        <w:t>ë</w:t>
      </w:r>
      <w:r w:rsidRPr="001769B0">
        <w:rPr>
          <w:rFonts w:ascii="Times New Roman" w:hAnsi="Times New Roman" w:cs="Times New Roman"/>
          <w:b/>
          <w:lang w:val="sq-AL"/>
        </w:rPr>
        <w:t xml:space="preserve"> pranuara gjat</w:t>
      </w:r>
      <w:r w:rsidR="00821CD1" w:rsidRPr="001769B0">
        <w:rPr>
          <w:rFonts w:ascii="Times New Roman" w:hAnsi="Times New Roman" w:cs="Times New Roman"/>
          <w:b/>
          <w:lang w:val="sq-AL"/>
        </w:rPr>
        <w:t>ë</w:t>
      </w:r>
      <w:r w:rsidRPr="001769B0">
        <w:rPr>
          <w:rFonts w:ascii="Times New Roman" w:hAnsi="Times New Roman" w:cs="Times New Roman"/>
          <w:b/>
          <w:lang w:val="sq-AL"/>
        </w:rPr>
        <w:t xml:space="preserve"> procesit të konsultimit</w:t>
      </w:r>
    </w:p>
    <w:p w14:paraId="291D9E5B" w14:textId="77777777" w:rsidR="00CA636D" w:rsidRPr="001769B0" w:rsidRDefault="00CA636D" w:rsidP="00CA636D">
      <w:pPr>
        <w:jc w:val="center"/>
        <w:rPr>
          <w:rFonts w:ascii="Times New Roman" w:hAnsi="Times New Roman" w:cs="Times New Roman"/>
          <w:b/>
          <w:lang w:val="sq-AL"/>
        </w:rPr>
      </w:pPr>
    </w:p>
    <w:p w14:paraId="6DA913E5" w14:textId="5613DFA7" w:rsidR="008443A9" w:rsidRPr="001769B0" w:rsidRDefault="0056795F" w:rsidP="008443A9">
      <w:pPr>
        <w:jc w:val="both"/>
        <w:rPr>
          <w:rFonts w:ascii="Times New Roman" w:hAnsi="Times New Roman" w:cs="Times New Roman"/>
          <w:lang w:val="sq-AL"/>
        </w:rPr>
      </w:pPr>
      <w:r w:rsidRPr="001769B0">
        <w:rPr>
          <w:rFonts w:ascii="Times New Roman" w:hAnsi="Times New Roman" w:cs="Times New Roman"/>
          <w:lang w:val="sq-AL"/>
        </w:rPr>
        <w:t>Gjatë procesit të konsultimit paraprak dhe atij me p</w:t>
      </w:r>
      <w:r w:rsidR="00C1146D" w:rsidRPr="001769B0">
        <w:rPr>
          <w:rFonts w:ascii="Times New Roman" w:hAnsi="Times New Roman" w:cs="Times New Roman"/>
          <w:lang w:val="sq-AL"/>
        </w:rPr>
        <w:t xml:space="preserve">ublikun  </w:t>
      </w:r>
      <w:r w:rsidR="00BE1A28" w:rsidRPr="001769B0">
        <w:rPr>
          <w:rFonts w:ascii="Times New Roman" w:hAnsi="Times New Roman" w:cs="Times New Roman"/>
          <w:lang w:val="sq-AL"/>
        </w:rPr>
        <w:t xml:space="preserve">kemi pranuar </w:t>
      </w:r>
      <w:r w:rsidRPr="001769B0">
        <w:rPr>
          <w:rFonts w:ascii="Times New Roman" w:hAnsi="Times New Roman" w:cs="Times New Roman"/>
          <w:lang w:val="sq-AL"/>
        </w:rPr>
        <w:t xml:space="preserve"> koment</w:t>
      </w:r>
      <w:r w:rsidR="006E69D0" w:rsidRPr="001769B0">
        <w:rPr>
          <w:rFonts w:ascii="Times New Roman" w:hAnsi="Times New Roman" w:cs="Times New Roman"/>
          <w:lang w:val="sq-AL"/>
        </w:rPr>
        <w:t xml:space="preserve">e, vërejtje apo sugjerime nga </w:t>
      </w:r>
      <w:r w:rsidR="00C1146D" w:rsidRPr="001769B0">
        <w:rPr>
          <w:rFonts w:ascii="Times New Roman" w:hAnsi="Times New Roman" w:cs="Times New Roman"/>
          <w:lang w:val="sq-AL"/>
        </w:rPr>
        <w:t>palët e interesit</w:t>
      </w:r>
      <w:r w:rsidR="006E69D0" w:rsidRPr="001769B0">
        <w:rPr>
          <w:rFonts w:ascii="Times New Roman" w:hAnsi="Times New Roman" w:cs="Times New Roman"/>
          <w:lang w:val="sq-AL"/>
        </w:rPr>
        <w:t>.</w:t>
      </w:r>
      <w:r w:rsidR="008443A9" w:rsidRPr="001769B0">
        <w:rPr>
          <w:rFonts w:ascii="Times New Roman" w:hAnsi="Times New Roman" w:cs="Times New Roman"/>
          <w:lang w:val="sq-AL"/>
        </w:rPr>
        <w:t xml:space="preserve">Të gjitha komentet e pranuara nga instucionet e ndryshme janë paraqitur në Shtojcën me tabelën e detajuar me informatat për kontribuesit, si dhe janë bërë arsyetimet për përgjigjet e pranuara dhe të refuzuara.  </w:t>
      </w:r>
    </w:p>
    <w:p w14:paraId="3371546A" w14:textId="22DBD392" w:rsidR="00751825" w:rsidRPr="001769B0" w:rsidRDefault="00751825" w:rsidP="00BE1A28">
      <w:pPr>
        <w:rPr>
          <w:rFonts w:ascii="Times New Roman" w:hAnsi="Times New Roman" w:cs="Times New Roman"/>
          <w:lang w:val="sq-AL"/>
        </w:rPr>
      </w:pPr>
    </w:p>
    <w:p w14:paraId="2AB7E839" w14:textId="77777777" w:rsidR="00EF5CBB" w:rsidRPr="001769B0" w:rsidRDefault="00EF5CBB" w:rsidP="00FA0FD6">
      <w:pPr>
        <w:jc w:val="both"/>
        <w:rPr>
          <w:rFonts w:ascii="Times New Roman" w:hAnsi="Times New Roman" w:cs="Times New Roman"/>
          <w:lang w:val="sq-AL"/>
        </w:rPr>
      </w:pPr>
    </w:p>
    <w:p w14:paraId="5C5320C7" w14:textId="77777777" w:rsidR="00751825" w:rsidRPr="001769B0" w:rsidRDefault="00751825" w:rsidP="00294091">
      <w:pPr>
        <w:jc w:val="center"/>
        <w:rPr>
          <w:rFonts w:ascii="Times New Roman" w:hAnsi="Times New Roman" w:cs="Times New Roman"/>
          <w:b/>
          <w:lang w:val="sq-AL"/>
        </w:rPr>
      </w:pPr>
    </w:p>
    <w:p w14:paraId="6E97A558" w14:textId="2EF24CD2" w:rsidR="009C5C25" w:rsidRPr="001769B0" w:rsidRDefault="009C5C25" w:rsidP="00294091">
      <w:pPr>
        <w:jc w:val="center"/>
        <w:rPr>
          <w:rFonts w:ascii="Times New Roman" w:hAnsi="Times New Roman" w:cs="Times New Roman"/>
          <w:b/>
          <w:lang w:val="sq-AL"/>
        </w:rPr>
      </w:pPr>
      <w:r w:rsidRPr="001769B0">
        <w:rPr>
          <w:rFonts w:ascii="Times New Roman" w:hAnsi="Times New Roman" w:cs="Times New Roman"/>
          <w:b/>
          <w:lang w:val="sq-AL"/>
        </w:rPr>
        <w:t>Hapat e ardhshëm</w:t>
      </w:r>
    </w:p>
    <w:p w14:paraId="4AAF0766" w14:textId="77777777" w:rsidR="009C5C25" w:rsidRPr="001769B0" w:rsidRDefault="009C5C25" w:rsidP="00FA0FD6">
      <w:pPr>
        <w:jc w:val="both"/>
        <w:rPr>
          <w:rFonts w:ascii="Times New Roman" w:hAnsi="Times New Roman" w:cs="Times New Roman"/>
          <w:lang w:val="sq-AL"/>
        </w:rPr>
      </w:pPr>
    </w:p>
    <w:p w14:paraId="0FD88D4B" w14:textId="666D9109" w:rsidR="0056795F" w:rsidRPr="001769B0" w:rsidRDefault="00D357F3" w:rsidP="0056795F">
      <w:pPr>
        <w:jc w:val="both"/>
        <w:rPr>
          <w:rFonts w:ascii="Times New Roman" w:hAnsi="Times New Roman" w:cs="Times New Roman"/>
          <w:lang w:val="sq-AL"/>
        </w:rPr>
      </w:pPr>
      <w:r>
        <w:rPr>
          <w:rFonts w:ascii="Times New Roman" w:hAnsi="Times New Roman" w:cs="Times New Roman"/>
          <w:lang w:val="sq-AL" w:eastAsia="ja-JP"/>
        </w:rPr>
        <w:lastRenderedPageBreak/>
        <w:t>Projekt-</w:t>
      </w:r>
      <w:r w:rsidR="0056795F" w:rsidRPr="001769B0">
        <w:rPr>
          <w:rFonts w:ascii="Times New Roman" w:hAnsi="Times New Roman" w:cs="Times New Roman"/>
          <w:lang w:val="sq-AL" w:eastAsia="ja-JP"/>
        </w:rPr>
        <w:t>Udhëzim</w:t>
      </w:r>
      <w:r w:rsidR="008443A9" w:rsidRPr="001769B0">
        <w:rPr>
          <w:rFonts w:ascii="Times New Roman" w:hAnsi="Times New Roman" w:cs="Times New Roman"/>
          <w:lang w:val="sq-AL" w:eastAsia="ja-JP"/>
        </w:rPr>
        <w:t>i</w:t>
      </w:r>
      <w:r w:rsidR="0056795F" w:rsidRPr="001769B0">
        <w:rPr>
          <w:rFonts w:ascii="Times New Roman" w:hAnsi="Times New Roman" w:cs="Times New Roman"/>
          <w:lang w:val="sq-AL" w:eastAsia="ja-JP"/>
        </w:rPr>
        <w:t xml:space="preserve"> Administrativ </w:t>
      </w:r>
      <w:r w:rsidR="006E69D0" w:rsidRPr="001769B0">
        <w:rPr>
          <w:rFonts w:ascii="Times New Roman" w:hAnsi="Times New Roman" w:cs="Times New Roman"/>
          <w:lang w:val="sq-AL" w:eastAsia="ja-JP"/>
        </w:rPr>
        <w:t xml:space="preserve">për </w:t>
      </w:r>
      <w:r w:rsidR="00F81ADF" w:rsidRPr="001769B0">
        <w:rPr>
          <w:rFonts w:ascii="Times New Roman" w:hAnsi="Times New Roman" w:cs="Times New Roman"/>
          <w:lang w:val="sq-AL" w:eastAsia="ja-JP"/>
        </w:rPr>
        <w:t xml:space="preserve"> Zyrat Komunale të E</w:t>
      </w:r>
      <w:r w:rsidR="006E69D0" w:rsidRPr="001769B0">
        <w:rPr>
          <w:rFonts w:ascii="Times New Roman" w:hAnsi="Times New Roman" w:cs="Times New Roman"/>
          <w:lang w:val="sq-AL" w:eastAsia="ja-JP"/>
        </w:rPr>
        <w:t>nergjisë</w:t>
      </w:r>
      <w:r w:rsidR="00751825" w:rsidRPr="001769B0">
        <w:rPr>
          <w:rFonts w:ascii="Times New Roman" w:hAnsi="Times New Roman" w:cs="Times New Roman"/>
          <w:lang w:val="sq-AL"/>
        </w:rPr>
        <w:t xml:space="preserve"> tani është finalizuar.</w:t>
      </w:r>
    </w:p>
    <w:p w14:paraId="0C9F2EED" w14:textId="1461F8D6" w:rsidR="000B2585" w:rsidRPr="001769B0" w:rsidRDefault="00D20E59" w:rsidP="00D14341">
      <w:pPr>
        <w:jc w:val="both"/>
        <w:rPr>
          <w:rFonts w:ascii="Times New Roman" w:hAnsi="Times New Roman" w:cs="Times New Roman"/>
          <w:lang w:val="sq-AL"/>
        </w:rPr>
      </w:pPr>
      <w:r w:rsidRPr="001769B0">
        <w:rPr>
          <w:rFonts w:ascii="Times New Roman" w:hAnsi="Times New Roman" w:cs="Times New Roman"/>
          <w:lang w:val="sq-AL"/>
        </w:rPr>
        <w:t xml:space="preserve">Ky </w:t>
      </w:r>
      <w:r w:rsidR="00D357F3">
        <w:rPr>
          <w:rFonts w:ascii="Times New Roman" w:hAnsi="Times New Roman" w:cs="Times New Roman"/>
          <w:lang w:val="sq-AL"/>
        </w:rPr>
        <w:t>Projekt-</w:t>
      </w:r>
      <w:r w:rsidRPr="001769B0">
        <w:rPr>
          <w:rFonts w:ascii="Times New Roman" w:hAnsi="Times New Roman" w:cs="Times New Roman"/>
          <w:lang w:val="sq-AL"/>
        </w:rPr>
        <w:t>Udhëzimi Administrativ gjatë ditëve në vijim do të procedohet në Qeveri , për shqyrtim dhe  miratim i cili aprovohet  nga Kryeministri i Republikës së Kosovës.</w:t>
      </w:r>
    </w:p>
    <w:p w14:paraId="16478EEF" w14:textId="0B0BBECB" w:rsidR="0081023E" w:rsidRPr="001769B0" w:rsidRDefault="0081023E">
      <w:pPr>
        <w:rPr>
          <w:rFonts w:ascii="Times New Roman" w:hAnsi="Times New Roman" w:cs="Times New Roman"/>
          <w:lang w:val="sq-AL"/>
        </w:rPr>
      </w:pPr>
    </w:p>
    <w:p w14:paraId="5CA32538" w14:textId="77777777" w:rsidR="00F81ADF" w:rsidRPr="001769B0" w:rsidRDefault="00F81ADF">
      <w:pPr>
        <w:rPr>
          <w:rFonts w:ascii="Times New Roman" w:hAnsi="Times New Roman" w:cs="Times New Roman"/>
          <w:lang w:val="sq-AL"/>
        </w:rPr>
      </w:pPr>
    </w:p>
    <w:p w14:paraId="79D7CD60" w14:textId="77777777" w:rsidR="00F81ADF" w:rsidRPr="001769B0" w:rsidRDefault="00F81ADF">
      <w:pPr>
        <w:rPr>
          <w:rFonts w:ascii="Times New Roman" w:hAnsi="Times New Roman" w:cs="Times New Roman"/>
          <w:lang w:val="sq-AL"/>
        </w:rPr>
      </w:pPr>
    </w:p>
    <w:p w14:paraId="66EEDBA0" w14:textId="77777777" w:rsidR="00F81ADF" w:rsidRPr="001769B0" w:rsidRDefault="00F81ADF">
      <w:pPr>
        <w:rPr>
          <w:rFonts w:ascii="Times New Roman" w:hAnsi="Times New Roman" w:cs="Times New Roman"/>
          <w:lang w:val="sq-AL"/>
        </w:rPr>
      </w:pPr>
    </w:p>
    <w:p w14:paraId="746C7DC9" w14:textId="77777777" w:rsidR="00F81ADF" w:rsidRPr="001769B0" w:rsidRDefault="00F81ADF">
      <w:pPr>
        <w:rPr>
          <w:rFonts w:ascii="Times New Roman" w:hAnsi="Times New Roman" w:cs="Times New Roman"/>
          <w:lang w:val="sq-AL"/>
        </w:rPr>
      </w:pPr>
    </w:p>
    <w:p w14:paraId="0122811C" w14:textId="77777777" w:rsidR="00F81ADF" w:rsidRPr="001769B0" w:rsidRDefault="00F81ADF">
      <w:pPr>
        <w:rPr>
          <w:rFonts w:ascii="Times New Roman" w:hAnsi="Times New Roman" w:cs="Times New Roman"/>
          <w:lang w:val="sq-AL"/>
        </w:rPr>
      </w:pPr>
    </w:p>
    <w:p w14:paraId="23BFB0AB" w14:textId="77777777" w:rsidR="00F81ADF" w:rsidRPr="001769B0" w:rsidRDefault="00F81ADF">
      <w:pPr>
        <w:rPr>
          <w:rFonts w:ascii="Times New Roman" w:hAnsi="Times New Roman" w:cs="Times New Roman"/>
          <w:lang w:val="sq-AL"/>
        </w:rPr>
      </w:pPr>
    </w:p>
    <w:p w14:paraId="0BE94B05" w14:textId="77777777" w:rsidR="00F81ADF" w:rsidRPr="001769B0" w:rsidRDefault="00F81ADF">
      <w:pPr>
        <w:rPr>
          <w:rFonts w:ascii="Times New Roman" w:hAnsi="Times New Roman" w:cs="Times New Roman"/>
          <w:lang w:val="sq-AL"/>
        </w:rPr>
      </w:pPr>
    </w:p>
    <w:p w14:paraId="0FEFB4F5" w14:textId="77777777" w:rsidR="00F81ADF" w:rsidRPr="001769B0" w:rsidRDefault="00F81ADF">
      <w:pPr>
        <w:rPr>
          <w:rFonts w:ascii="Times New Roman" w:hAnsi="Times New Roman" w:cs="Times New Roman"/>
          <w:lang w:val="sq-AL"/>
        </w:rPr>
      </w:pPr>
    </w:p>
    <w:p w14:paraId="79FDC453" w14:textId="77777777" w:rsidR="00F81ADF" w:rsidRPr="001769B0" w:rsidRDefault="00F81ADF">
      <w:pPr>
        <w:rPr>
          <w:rFonts w:ascii="Times New Roman" w:hAnsi="Times New Roman" w:cs="Times New Roman"/>
          <w:lang w:val="sq-AL"/>
        </w:rPr>
      </w:pPr>
    </w:p>
    <w:p w14:paraId="176197E2" w14:textId="77777777" w:rsidR="00F81ADF" w:rsidRPr="001769B0" w:rsidRDefault="00F81ADF">
      <w:pPr>
        <w:rPr>
          <w:rFonts w:ascii="Times New Roman" w:hAnsi="Times New Roman" w:cs="Times New Roman"/>
          <w:lang w:val="sq-AL"/>
        </w:rPr>
      </w:pPr>
    </w:p>
    <w:p w14:paraId="160C6E61" w14:textId="77777777" w:rsidR="00F81ADF" w:rsidRPr="001769B0" w:rsidRDefault="00F81ADF">
      <w:pPr>
        <w:rPr>
          <w:rFonts w:ascii="Times New Roman" w:hAnsi="Times New Roman" w:cs="Times New Roman"/>
          <w:lang w:val="sq-AL"/>
        </w:rPr>
      </w:pPr>
    </w:p>
    <w:p w14:paraId="75F33855" w14:textId="77777777" w:rsidR="00F81ADF" w:rsidRPr="001769B0" w:rsidRDefault="00F81ADF">
      <w:pPr>
        <w:rPr>
          <w:rFonts w:ascii="Times New Roman" w:hAnsi="Times New Roman" w:cs="Times New Roman"/>
          <w:lang w:val="sq-AL"/>
        </w:rPr>
      </w:pPr>
    </w:p>
    <w:p w14:paraId="0EC4FE75" w14:textId="77777777" w:rsidR="00F81ADF" w:rsidRPr="001769B0" w:rsidRDefault="00F81ADF">
      <w:pPr>
        <w:rPr>
          <w:rFonts w:ascii="Times New Roman" w:hAnsi="Times New Roman" w:cs="Times New Roman"/>
          <w:lang w:val="sq-AL"/>
        </w:rPr>
      </w:pPr>
    </w:p>
    <w:p w14:paraId="36627F6F" w14:textId="77777777" w:rsidR="00F81ADF" w:rsidRPr="001769B0" w:rsidRDefault="00F81ADF">
      <w:pPr>
        <w:rPr>
          <w:rFonts w:ascii="Times New Roman" w:hAnsi="Times New Roman" w:cs="Times New Roman"/>
          <w:lang w:val="sq-AL"/>
        </w:rPr>
      </w:pPr>
    </w:p>
    <w:p w14:paraId="1EC59DC2" w14:textId="77777777" w:rsidR="001769B0" w:rsidRPr="001769B0" w:rsidRDefault="001769B0">
      <w:pPr>
        <w:rPr>
          <w:rFonts w:ascii="Times New Roman" w:hAnsi="Times New Roman" w:cs="Times New Roman"/>
          <w:lang w:val="sq-AL"/>
        </w:rPr>
      </w:pPr>
    </w:p>
    <w:p w14:paraId="728C37B5" w14:textId="77777777" w:rsidR="001769B0" w:rsidRPr="001769B0" w:rsidRDefault="001769B0">
      <w:pPr>
        <w:rPr>
          <w:rFonts w:ascii="Times New Roman" w:hAnsi="Times New Roman" w:cs="Times New Roman"/>
          <w:lang w:val="sq-AL"/>
        </w:rPr>
      </w:pPr>
    </w:p>
    <w:p w14:paraId="7BBF9040" w14:textId="77777777" w:rsidR="00F81ADF" w:rsidRPr="001769B0" w:rsidRDefault="00F81ADF">
      <w:pPr>
        <w:rPr>
          <w:rFonts w:ascii="Times New Roman" w:hAnsi="Times New Roman" w:cs="Times New Roman"/>
          <w:lang w:val="sq-AL"/>
        </w:rPr>
      </w:pPr>
    </w:p>
    <w:p w14:paraId="7F0DD9A9" w14:textId="77777777" w:rsidR="00F81ADF" w:rsidRPr="001769B0" w:rsidRDefault="00F81ADF">
      <w:pPr>
        <w:rPr>
          <w:rFonts w:ascii="Times New Roman" w:hAnsi="Times New Roman" w:cs="Times New Roman"/>
          <w:lang w:val="sq-AL"/>
        </w:rPr>
      </w:pPr>
    </w:p>
    <w:p w14:paraId="13BA5C35" w14:textId="77777777" w:rsidR="001769B0" w:rsidRDefault="001769B0" w:rsidP="00D14341">
      <w:pPr>
        <w:jc w:val="both"/>
        <w:rPr>
          <w:rFonts w:ascii="Times New Roman" w:hAnsi="Times New Roman" w:cs="Times New Roman"/>
          <w:lang w:val="sq-AL"/>
        </w:rPr>
      </w:pPr>
    </w:p>
    <w:p w14:paraId="6F701047" w14:textId="77777777" w:rsidR="001769B0" w:rsidRDefault="001769B0" w:rsidP="00D14341">
      <w:pPr>
        <w:jc w:val="both"/>
        <w:rPr>
          <w:rFonts w:ascii="Times New Roman" w:hAnsi="Times New Roman" w:cs="Times New Roman"/>
          <w:lang w:val="sq-AL"/>
        </w:rPr>
      </w:pPr>
    </w:p>
    <w:p w14:paraId="392D6862" w14:textId="77777777" w:rsidR="001769B0" w:rsidRDefault="001769B0" w:rsidP="00D14341">
      <w:pPr>
        <w:jc w:val="both"/>
        <w:rPr>
          <w:rFonts w:ascii="Times New Roman" w:hAnsi="Times New Roman" w:cs="Times New Roman"/>
          <w:lang w:val="sq-AL"/>
        </w:rPr>
      </w:pPr>
    </w:p>
    <w:p w14:paraId="5C9CA835" w14:textId="030C9F4A" w:rsidR="009C5C25" w:rsidRPr="001769B0" w:rsidRDefault="000B2585" w:rsidP="00D14341">
      <w:pPr>
        <w:jc w:val="both"/>
        <w:rPr>
          <w:rFonts w:ascii="Times New Roman" w:hAnsi="Times New Roman" w:cs="Times New Roman"/>
          <w:lang w:val="sq-AL"/>
        </w:rPr>
      </w:pPr>
      <w:r w:rsidRPr="001769B0">
        <w:rPr>
          <w:rFonts w:ascii="Times New Roman" w:hAnsi="Times New Roman" w:cs="Times New Roman"/>
          <w:lang w:val="sq-AL"/>
        </w:rPr>
        <w:t>Shtojca</w:t>
      </w:r>
      <w:r w:rsidR="009C5C25" w:rsidRPr="001769B0">
        <w:rPr>
          <w:rFonts w:ascii="Times New Roman" w:hAnsi="Times New Roman" w:cs="Times New Roman"/>
          <w:lang w:val="sq-AL"/>
        </w:rPr>
        <w:t xml:space="preserve"> – tabela e detajuar me informatat p</w:t>
      </w:r>
      <w:r w:rsidR="0081023E" w:rsidRPr="001769B0">
        <w:rPr>
          <w:rFonts w:ascii="Times New Roman" w:hAnsi="Times New Roman" w:cs="Times New Roman"/>
          <w:lang w:val="sq-AL"/>
        </w:rPr>
        <w:t>ë</w:t>
      </w:r>
      <w:r w:rsidR="009C5C25" w:rsidRPr="001769B0">
        <w:rPr>
          <w:rFonts w:ascii="Times New Roman" w:hAnsi="Times New Roman" w:cs="Times New Roman"/>
          <w:lang w:val="sq-AL"/>
        </w:rPr>
        <w:t>r kontribuesit</w:t>
      </w:r>
      <w:r w:rsidR="0040055E" w:rsidRPr="001769B0">
        <w:rPr>
          <w:rFonts w:ascii="Times New Roman" w:hAnsi="Times New Roman" w:cs="Times New Roman"/>
          <w:lang w:val="sq-AL"/>
        </w:rPr>
        <w:t>,</w:t>
      </w:r>
      <w:r w:rsidR="009C5C25" w:rsidRPr="001769B0">
        <w:rPr>
          <w:rFonts w:ascii="Times New Roman" w:hAnsi="Times New Roman" w:cs="Times New Roman"/>
          <w:lang w:val="sq-AL"/>
        </w:rPr>
        <w:t xml:space="preserve"> arsyetimet për përgjigjet e pranuara dhe të refuzuara.  </w:t>
      </w:r>
    </w:p>
    <w:p w14:paraId="00EDE561" w14:textId="77777777" w:rsidR="009C5C25" w:rsidRPr="001769B0" w:rsidRDefault="009C5C25" w:rsidP="009C5C25">
      <w:pPr>
        <w:rPr>
          <w:rFonts w:ascii="Times New Roman" w:hAnsi="Times New Roman" w:cs="Times New Roman"/>
          <w:lang w:val="sq-AL"/>
        </w:rPr>
      </w:pPr>
    </w:p>
    <w:tbl>
      <w:tblPr>
        <w:tblStyle w:val="GridTable1Light-Accent51"/>
        <w:tblW w:w="9648" w:type="dxa"/>
        <w:tblLook w:val="0420" w:firstRow="1" w:lastRow="0" w:firstColumn="0" w:lastColumn="0" w:noHBand="0" w:noVBand="1"/>
      </w:tblPr>
      <w:tblGrid>
        <w:gridCol w:w="2697"/>
        <w:gridCol w:w="2393"/>
        <w:gridCol w:w="1801"/>
        <w:gridCol w:w="2757"/>
      </w:tblGrid>
      <w:tr w:rsidR="00C83066" w:rsidRPr="001769B0" w14:paraId="351DD67D" w14:textId="77777777" w:rsidTr="00ED5CA4">
        <w:trPr>
          <w:cnfStyle w:val="100000000000" w:firstRow="1" w:lastRow="0" w:firstColumn="0" w:lastColumn="0" w:oddVBand="0" w:evenVBand="0" w:oddHBand="0" w:evenHBand="0" w:firstRowFirstColumn="0" w:firstRowLastColumn="0" w:lastRowFirstColumn="0" w:lastRowLastColumn="0"/>
          <w:trHeight w:val="1582"/>
        </w:trPr>
        <w:tc>
          <w:tcPr>
            <w:tcW w:w="2697" w:type="dxa"/>
            <w:shd w:val="clear" w:color="auto" w:fill="FBE4D5" w:themeFill="accent2" w:themeFillTint="33"/>
            <w:hideMark/>
          </w:tcPr>
          <w:p w14:paraId="418571D6" w14:textId="35982262"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Emri</w:t>
            </w:r>
            <w:r w:rsidR="0040055E" w:rsidRPr="001769B0">
              <w:rPr>
                <w:rFonts w:ascii="Times New Roman" w:hAnsi="Times New Roman" w:cs="Times New Roman"/>
                <w:bCs w:val="0"/>
                <w:sz w:val="22"/>
                <w:szCs w:val="22"/>
                <w:lang w:val="sq-AL"/>
              </w:rPr>
              <w:t xml:space="preserve"> i  i </w:t>
            </w:r>
            <w:r w:rsidRPr="001769B0">
              <w:rPr>
                <w:rFonts w:ascii="Times New Roman" w:hAnsi="Times New Roman" w:cs="Times New Roman"/>
                <w:bCs w:val="0"/>
                <w:sz w:val="22"/>
                <w:szCs w:val="22"/>
                <w:lang w:val="sq-AL"/>
              </w:rPr>
              <w:t>organizatës /individit</w:t>
            </w:r>
          </w:p>
        </w:tc>
        <w:tc>
          <w:tcPr>
            <w:tcW w:w="2393" w:type="dxa"/>
            <w:shd w:val="clear" w:color="auto" w:fill="FBE4D5" w:themeFill="accent2" w:themeFillTint="33"/>
            <w:hideMark/>
          </w:tcPr>
          <w:p w14:paraId="376CF00B" w14:textId="49C86859"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Koment</w:t>
            </w:r>
            <w:r w:rsidR="0040055E" w:rsidRPr="001769B0">
              <w:rPr>
                <w:rFonts w:ascii="Times New Roman" w:hAnsi="Times New Roman" w:cs="Times New Roman"/>
                <w:bCs w:val="0"/>
                <w:sz w:val="22"/>
                <w:szCs w:val="22"/>
                <w:lang w:val="sq-AL"/>
              </w:rPr>
              <w:t xml:space="preserve"> i  i </w:t>
            </w:r>
            <w:r w:rsidRPr="001769B0">
              <w:rPr>
                <w:rFonts w:ascii="Times New Roman" w:hAnsi="Times New Roman" w:cs="Times New Roman"/>
                <w:bCs w:val="0"/>
                <w:sz w:val="22"/>
                <w:szCs w:val="22"/>
                <w:lang w:val="sq-AL"/>
              </w:rPr>
              <w:t>organizatës /individit</w:t>
            </w:r>
          </w:p>
        </w:tc>
        <w:tc>
          <w:tcPr>
            <w:tcW w:w="1801" w:type="dxa"/>
            <w:shd w:val="clear" w:color="auto" w:fill="FBE4D5" w:themeFill="accent2" w:themeFillTint="33"/>
            <w:hideMark/>
          </w:tcPr>
          <w:p w14:paraId="69419801" w14:textId="6381A4B6" w:rsidR="009C5C25" w:rsidRPr="001769B0" w:rsidRDefault="007D7804"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Përgjigj</w:t>
            </w:r>
            <w:r w:rsidR="009C5C25" w:rsidRPr="001769B0">
              <w:rPr>
                <w:rFonts w:ascii="Times New Roman" w:hAnsi="Times New Roman" w:cs="Times New Roman"/>
                <w:bCs w:val="0"/>
                <w:sz w:val="22"/>
                <w:szCs w:val="22"/>
                <w:lang w:val="sq-AL"/>
              </w:rPr>
              <w:t>a nga Ministria</w:t>
            </w:r>
          </w:p>
          <w:p w14:paraId="14715F8B" w14:textId="77777777"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E pranuar plotësisht</w:t>
            </w:r>
          </w:p>
          <w:p w14:paraId="5C6B10AA" w14:textId="516436AF"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E pranuar pjesërisht</w:t>
            </w:r>
          </w:p>
          <w:p w14:paraId="36A86F12" w14:textId="79BBD0A1"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E refuzuar</w:t>
            </w:r>
          </w:p>
        </w:tc>
        <w:tc>
          <w:tcPr>
            <w:tcW w:w="2757" w:type="dxa"/>
            <w:shd w:val="clear" w:color="auto" w:fill="FBE4D5" w:themeFill="accent2" w:themeFillTint="33"/>
            <w:hideMark/>
          </w:tcPr>
          <w:p w14:paraId="76B9C9DF" w14:textId="0C92AF05" w:rsidR="009C5C25" w:rsidRPr="001769B0" w:rsidRDefault="009C5C25" w:rsidP="00F81ADF">
            <w:pPr>
              <w:rPr>
                <w:rFonts w:ascii="Times New Roman" w:hAnsi="Times New Roman" w:cs="Times New Roman"/>
                <w:sz w:val="22"/>
                <w:szCs w:val="22"/>
                <w:lang w:val="sq-AL"/>
              </w:rPr>
            </w:pPr>
            <w:r w:rsidRPr="001769B0">
              <w:rPr>
                <w:rFonts w:ascii="Times New Roman" w:hAnsi="Times New Roman" w:cs="Times New Roman"/>
                <w:bCs w:val="0"/>
                <w:sz w:val="22"/>
                <w:szCs w:val="22"/>
                <w:lang w:val="sq-AL"/>
              </w:rPr>
              <w:t>Sqarim nga Ministria</w:t>
            </w:r>
          </w:p>
          <w:p w14:paraId="50826307" w14:textId="77777777" w:rsidR="009C5C25" w:rsidRPr="001769B0" w:rsidRDefault="009C5C25" w:rsidP="00F81ADF">
            <w:pPr>
              <w:tabs>
                <w:tab w:val="left" w:pos="2556"/>
              </w:tabs>
              <w:ind w:right="541"/>
              <w:rPr>
                <w:rFonts w:ascii="Times New Roman" w:hAnsi="Times New Roman" w:cs="Times New Roman"/>
                <w:sz w:val="22"/>
                <w:szCs w:val="22"/>
                <w:lang w:val="sq-AL"/>
              </w:rPr>
            </w:pPr>
            <w:r w:rsidRPr="001769B0">
              <w:rPr>
                <w:rFonts w:ascii="Times New Roman" w:hAnsi="Times New Roman" w:cs="Times New Roman"/>
                <w:bCs w:val="0"/>
                <w:sz w:val="22"/>
                <w:szCs w:val="22"/>
                <w:lang w:val="sq-AL"/>
              </w:rPr>
              <w:t>(veçanërisht arsyet për të mos pranuar komente të caktuara)</w:t>
            </w:r>
          </w:p>
        </w:tc>
      </w:tr>
      <w:tr w:rsidR="00C83066" w:rsidRPr="001769B0" w14:paraId="4E71D557" w14:textId="77777777" w:rsidTr="00ED5CA4">
        <w:trPr>
          <w:trHeight w:val="954"/>
        </w:trPr>
        <w:tc>
          <w:tcPr>
            <w:tcW w:w="2697" w:type="dxa"/>
            <w:hideMark/>
          </w:tcPr>
          <w:p w14:paraId="54BA562C" w14:textId="0E2F2CF2" w:rsidR="009C5C25" w:rsidRPr="001769B0" w:rsidRDefault="006E69D0" w:rsidP="00C83066">
            <w:pPr>
              <w:rPr>
                <w:rFonts w:ascii="Times New Roman" w:hAnsi="Times New Roman" w:cs="Times New Roman"/>
                <w:sz w:val="22"/>
                <w:szCs w:val="22"/>
                <w:lang w:val="sq-AL"/>
              </w:rPr>
            </w:pPr>
            <w:r w:rsidRPr="001769B0">
              <w:rPr>
                <w:rFonts w:ascii="Times New Roman" w:eastAsia="Times New Roman" w:hAnsi="Times New Roman" w:cs="Times New Roman"/>
                <w:color w:val="000000"/>
                <w:sz w:val="22"/>
                <w:szCs w:val="22"/>
                <w:lang w:val="sq-AL"/>
              </w:rPr>
              <w:t>Elvira Vala</w:t>
            </w:r>
            <w:r w:rsidRPr="001769B0">
              <w:rPr>
                <w:rFonts w:ascii="Times New Roman" w:eastAsia="Times New Roman" w:hAnsi="Times New Roman" w:cs="Times New Roman"/>
                <w:color w:val="000000"/>
                <w:sz w:val="22"/>
                <w:szCs w:val="22"/>
                <w:lang w:val="sq-AL"/>
              </w:rPr>
              <w:br/>
              <w:t>Profesoreshe/Konsulente</w:t>
            </w:r>
          </w:p>
        </w:tc>
        <w:tc>
          <w:tcPr>
            <w:tcW w:w="2393" w:type="dxa"/>
            <w:hideMark/>
          </w:tcPr>
          <w:p w14:paraId="0B88AAE2" w14:textId="69944E17" w:rsidR="009C5C25" w:rsidRPr="001769B0" w:rsidRDefault="006E69D0" w:rsidP="00C83066">
            <w:pPr>
              <w:tabs>
                <w:tab w:val="left" w:pos="180"/>
              </w:tabs>
              <w:rPr>
                <w:rFonts w:ascii="Times New Roman" w:hAnsi="Times New Roman" w:cs="Times New Roman"/>
                <w:sz w:val="22"/>
                <w:szCs w:val="22"/>
                <w:lang w:val="sq-AL"/>
              </w:rPr>
            </w:pPr>
            <w:r w:rsidRPr="001769B0">
              <w:rPr>
                <w:rFonts w:ascii="Times New Roman" w:eastAsia="Times New Roman" w:hAnsi="Times New Roman" w:cs="Times New Roman"/>
                <w:color w:val="000000"/>
                <w:sz w:val="22"/>
                <w:szCs w:val="22"/>
                <w:lang w:val="sq-AL"/>
              </w:rPr>
              <w:t>Kualifikimi i  zyrtareve komunal  qe operojnë ne ZKE duhet te jete i fushës se Inxhinierise;</w:t>
            </w:r>
            <w:r w:rsidRPr="001769B0">
              <w:rPr>
                <w:rFonts w:ascii="Times New Roman" w:eastAsia="Times New Roman" w:hAnsi="Times New Roman" w:cs="Times New Roman"/>
                <w:color w:val="000000"/>
                <w:sz w:val="22"/>
                <w:szCs w:val="22"/>
                <w:lang w:val="sq-AL"/>
              </w:rPr>
              <w:br/>
              <w:t xml:space="preserve">1. Energjise - drejtimi Menaxhimi i Energjise </w:t>
            </w:r>
            <w:r w:rsidRPr="001769B0">
              <w:rPr>
                <w:rFonts w:ascii="Times New Roman" w:eastAsia="Times New Roman" w:hAnsi="Times New Roman" w:cs="Times New Roman"/>
                <w:color w:val="000000"/>
                <w:sz w:val="22"/>
                <w:szCs w:val="22"/>
                <w:lang w:val="sq-AL"/>
              </w:rPr>
              <w:lastRenderedPageBreak/>
              <w:t xml:space="preserve">apo Inxhinierise Energjetike, </w:t>
            </w:r>
            <w:r w:rsidRPr="001769B0">
              <w:rPr>
                <w:rFonts w:ascii="Times New Roman" w:eastAsia="Times New Roman" w:hAnsi="Times New Roman" w:cs="Times New Roman"/>
                <w:color w:val="000000"/>
                <w:sz w:val="22"/>
                <w:szCs w:val="22"/>
                <w:lang w:val="sq-AL"/>
              </w:rPr>
              <w:br/>
              <w:t xml:space="preserve">2. Elektroteknikes - drejtimi Sistemet Energjetike apo Energjetikes Industriale </w:t>
            </w:r>
            <w:r w:rsidRPr="001769B0">
              <w:rPr>
                <w:rFonts w:ascii="Times New Roman" w:eastAsia="Times New Roman" w:hAnsi="Times New Roman" w:cs="Times New Roman"/>
                <w:color w:val="000000"/>
                <w:sz w:val="22"/>
                <w:szCs w:val="22"/>
                <w:lang w:val="sq-AL"/>
              </w:rPr>
              <w:br/>
              <w:t>3. Makinerise - drejtimi Termoenergjetik apo Prodhimit.</w:t>
            </w:r>
          </w:p>
        </w:tc>
        <w:tc>
          <w:tcPr>
            <w:tcW w:w="1801" w:type="dxa"/>
            <w:hideMark/>
          </w:tcPr>
          <w:p w14:paraId="15104BDD" w14:textId="66AC5011" w:rsidR="009C5C25" w:rsidRPr="001769B0" w:rsidRDefault="006E69D0" w:rsidP="003F10B4">
            <w:pPr>
              <w:rPr>
                <w:rFonts w:ascii="Times New Roman" w:hAnsi="Times New Roman" w:cs="Times New Roman"/>
                <w:sz w:val="22"/>
                <w:szCs w:val="22"/>
                <w:lang w:val="sq-AL"/>
              </w:rPr>
            </w:pPr>
            <w:r w:rsidRPr="001769B0">
              <w:rPr>
                <w:rFonts w:ascii="Times New Roman" w:hAnsi="Times New Roman" w:cs="Times New Roman"/>
                <w:sz w:val="22"/>
                <w:szCs w:val="22"/>
                <w:lang w:val="sq-AL"/>
              </w:rPr>
              <w:lastRenderedPageBreak/>
              <w:t xml:space="preserve">E pranuar </w:t>
            </w:r>
            <w:r w:rsidR="003F10B4" w:rsidRPr="001769B0">
              <w:rPr>
                <w:rFonts w:ascii="Times New Roman" w:hAnsi="Times New Roman" w:cs="Times New Roman"/>
                <w:sz w:val="22"/>
                <w:szCs w:val="22"/>
                <w:lang w:val="sq-AL"/>
              </w:rPr>
              <w:t>pjesërisht</w:t>
            </w:r>
          </w:p>
        </w:tc>
        <w:tc>
          <w:tcPr>
            <w:tcW w:w="2757" w:type="dxa"/>
          </w:tcPr>
          <w:p w14:paraId="2D3B13C2" w14:textId="08E90CEE" w:rsidR="009C5C25" w:rsidRPr="001769B0" w:rsidRDefault="003F10B4" w:rsidP="003F10B4">
            <w:pPr>
              <w:tabs>
                <w:tab w:val="left" w:pos="180"/>
              </w:tabs>
              <w:rPr>
                <w:rFonts w:ascii="Times New Roman" w:eastAsia="Book Antiqua" w:hAnsi="Times New Roman" w:cs="Times New Roman"/>
                <w:sz w:val="22"/>
                <w:szCs w:val="22"/>
                <w:lang w:val="sq-AL"/>
              </w:rPr>
            </w:pPr>
            <w:r w:rsidRPr="001769B0">
              <w:rPr>
                <w:rFonts w:ascii="Times New Roman" w:hAnsi="Times New Roman" w:cs="Times New Roman"/>
                <w:sz w:val="22"/>
                <w:szCs w:val="22"/>
                <w:lang w:val="sq-AL"/>
              </w:rPr>
              <w:t xml:space="preserve">Duke qenë se ky Udhëzim Administrativ përcakton detyrat dhe përgjegjësitë e Zyrave Komunale të Energjisë, dhe këto zyra do të veprojnë në kuadër të </w:t>
            </w:r>
            <w:r w:rsidRPr="001769B0">
              <w:rPr>
                <w:rFonts w:ascii="Times New Roman" w:hAnsi="Times New Roman" w:cs="Times New Roman"/>
                <w:sz w:val="22"/>
                <w:szCs w:val="22"/>
                <w:lang w:val="sq-AL"/>
              </w:rPr>
              <w:lastRenderedPageBreak/>
              <w:t>strukturave organizative komunale është në autoritetin e komunave që të vendosin rreth kualifikimit të zyrtarëve komunal.Ky Udhëzim Administrativ rekomandon që kualifikimi i tyre të jetë nga njëra prej fushave të inxhinierisë.</w:t>
            </w:r>
          </w:p>
        </w:tc>
      </w:tr>
      <w:tr w:rsidR="00ED5CA4" w:rsidRPr="001769B0" w14:paraId="414EB1ED" w14:textId="77777777" w:rsidTr="00ED5CA4">
        <w:trPr>
          <w:trHeight w:val="954"/>
        </w:trPr>
        <w:tc>
          <w:tcPr>
            <w:tcW w:w="2697" w:type="dxa"/>
          </w:tcPr>
          <w:p w14:paraId="01BB51D0" w14:textId="5262203B" w:rsidR="00ED5CA4" w:rsidRPr="001769B0" w:rsidRDefault="00ED5CA4" w:rsidP="00ED5CA4">
            <w:pPr>
              <w:rPr>
                <w:rFonts w:ascii="Times New Roman" w:hAnsi="Times New Roman" w:cs="Times New Roman"/>
                <w:sz w:val="22"/>
                <w:szCs w:val="22"/>
                <w:lang w:val="sq-AL"/>
              </w:rPr>
            </w:pPr>
            <w:r w:rsidRPr="001769B0">
              <w:rPr>
                <w:rFonts w:ascii="Times New Roman" w:hAnsi="Times New Roman" w:cs="Times New Roman"/>
                <w:sz w:val="22"/>
                <w:szCs w:val="22"/>
                <w:lang w:val="sq-AL"/>
              </w:rPr>
              <w:lastRenderedPageBreak/>
              <w:t>Ministria e Administrimit të Pushtetit Lokal</w:t>
            </w:r>
          </w:p>
        </w:tc>
        <w:tc>
          <w:tcPr>
            <w:tcW w:w="2393" w:type="dxa"/>
          </w:tcPr>
          <w:p w14:paraId="0A3E570E" w14:textId="507B6EF4" w:rsidR="00ED5CA4" w:rsidRPr="001769B0" w:rsidRDefault="00ED5CA4" w:rsidP="00ED5CA4">
            <w:pPr>
              <w:contextualSpacing/>
              <w:rPr>
                <w:rFonts w:ascii="Times New Roman" w:hAnsi="Times New Roman" w:cs="Times New Roman"/>
                <w:sz w:val="22"/>
                <w:szCs w:val="22"/>
                <w:lang w:val="sq-AL"/>
              </w:rPr>
            </w:pPr>
            <w:r w:rsidRPr="001769B0">
              <w:rPr>
                <w:rFonts w:ascii="Times New Roman" w:hAnsi="Times New Roman" w:cs="Times New Roman"/>
                <w:sz w:val="22"/>
                <w:szCs w:val="22"/>
                <w:lang w:val="sq-AL"/>
              </w:rPr>
              <w:t>Sa i përket çështjes së organizimit të brendshëm të komunave,ky projekt-Udhëzim Administrativ,duhet të diskutohet me komunat sepse sipas nenit 66 të ligjit për vetëqeverisje lokale dhe Kartës Evropiane për vetëqeverisje lokale,neni 3 paragrafi I dhe neni 4.Qeveria nuk ka të drejtë të nderhyjë në organizimin e brendshëm të komunave.Komunat janë të pavaruara në organizimin e brendshëm</w:t>
            </w:r>
            <w:r w:rsidR="007E3207" w:rsidRPr="001769B0">
              <w:rPr>
                <w:rFonts w:ascii="Times New Roman" w:hAnsi="Times New Roman" w:cs="Times New Roman"/>
                <w:sz w:val="22"/>
                <w:szCs w:val="22"/>
                <w:lang w:val="sq-AL"/>
              </w:rPr>
              <w:t>.</w:t>
            </w:r>
          </w:p>
        </w:tc>
        <w:tc>
          <w:tcPr>
            <w:tcW w:w="1801" w:type="dxa"/>
          </w:tcPr>
          <w:p w14:paraId="149E7A4D" w14:textId="70800331" w:rsidR="00ED5CA4" w:rsidRPr="001769B0" w:rsidRDefault="00464D0F" w:rsidP="00800DB2">
            <w:pPr>
              <w:rPr>
                <w:rFonts w:ascii="Times New Roman" w:hAnsi="Times New Roman" w:cs="Times New Roman"/>
                <w:sz w:val="22"/>
                <w:szCs w:val="22"/>
                <w:lang w:val="sq-AL"/>
              </w:rPr>
            </w:pPr>
            <w:r w:rsidRPr="001769B0">
              <w:rPr>
                <w:rFonts w:ascii="Times New Roman" w:hAnsi="Times New Roman" w:cs="Times New Roman"/>
                <w:sz w:val="22"/>
                <w:szCs w:val="22"/>
                <w:lang w:val="sq-AL"/>
              </w:rPr>
              <w:t xml:space="preserve">E </w:t>
            </w:r>
            <w:r w:rsidR="00800DB2" w:rsidRPr="001769B0">
              <w:rPr>
                <w:rFonts w:ascii="Times New Roman" w:hAnsi="Times New Roman" w:cs="Times New Roman"/>
                <w:sz w:val="22"/>
                <w:szCs w:val="22"/>
                <w:lang w:val="sq-AL"/>
              </w:rPr>
              <w:t>pranuar plotësisht</w:t>
            </w:r>
          </w:p>
        </w:tc>
        <w:tc>
          <w:tcPr>
            <w:tcW w:w="2757" w:type="dxa"/>
          </w:tcPr>
          <w:p w14:paraId="1297CFF3" w14:textId="3A4F971E" w:rsidR="00464D0F" w:rsidRPr="001769B0" w:rsidRDefault="00800DB2" w:rsidP="00ED5CA4">
            <w:pPr>
              <w:ind w:right="667"/>
              <w:rPr>
                <w:rFonts w:ascii="Times New Roman" w:hAnsi="Times New Roman" w:cs="Times New Roman"/>
                <w:sz w:val="22"/>
                <w:szCs w:val="22"/>
                <w:lang w:val="sq-AL"/>
              </w:rPr>
            </w:pPr>
            <w:r w:rsidRPr="001769B0">
              <w:rPr>
                <w:rFonts w:ascii="Times New Roman" w:hAnsi="Times New Roman" w:cs="Times New Roman"/>
                <w:sz w:val="22"/>
                <w:szCs w:val="22"/>
                <w:lang w:val="sq-AL"/>
              </w:rPr>
              <w:t>H</w:t>
            </w:r>
            <w:r w:rsidR="007E3207" w:rsidRPr="001769B0">
              <w:rPr>
                <w:rFonts w:ascii="Times New Roman" w:hAnsi="Times New Roman" w:cs="Times New Roman"/>
                <w:sz w:val="22"/>
                <w:szCs w:val="22"/>
                <w:lang w:val="sq-AL"/>
              </w:rPr>
              <w:t>artimi i kë</w:t>
            </w:r>
            <w:r w:rsidRPr="001769B0">
              <w:rPr>
                <w:rFonts w:ascii="Times New Roman" w:hAnsi="Times New Roman" w:cs="Times New Roman"/>
                <w:sz w:val="22"/>
                <w:szCs w:val="22"/>
                <w:lang w:val="sq-AL"/>
              </w:rPr>
              <w:t>tij akti nënligjor rrjedh nga Ligji pë</w:t>
            </w:r>
            <w:r w:rsidR="00464D0F" w:rsidRPr="001769B0">
              <w:rPr>
                <w:rFonts w:ascii="Times New Roman" w:hAnsi="Times New Roman" w:cs="Times New Roman"/>
                <w:sz w:val="22"/>
                <w:szCs w:val="22"/>
                <w:lang w:val="sq-AL"/>
              </w:rPr>
              <w:t>r Energjin</w:t>
            </w:r>
            <w:r w:rsidR="007E3207" w:rsidRPr="001769B0">
              <w:rPr>
                <w:rFonts w:ascii="Times New Roman" w:hAnsi="Times New Roman" w:cs="Times New Roman"/>
                <w:sz w:val="22"/>
                <w:szCs w:val="22"/>
                <w:lang w:val="sq-AL"/>
              </w:rPr>
              <w:t>ë</w:t>
            </w:r>
            <w:r w:rsidR="00464D0F" w:rsidRPr="001769B0">
              <w:rPr>
                <w:rFonts w:ascii="Times New Roman" w:hAnsi="Times New Roman" w:cs="Times New Roman"/>
                <w:sz w:val="22"/>
                <w:szCs w:val="22"/>
                <w:lang w:val="sq-AL"/>
              </w:rPr>
              <w:t xml:space="preserve"> Nr.05/L-081,Neni 7,Paragrafi 4 ku citohet:”</w:t>
            </w:r>
            <w:r w:rsidR="00464D0F" w:rsidRPr="001769B0">
              <w:rPr>
                <w:rFonts w:ascii="Times New Roman" w:hAnsi="Times New Roman" w:cs="Times New Roman"/>
                <w:sz w:val="22"/>
                <w:szCs w:val="22"/>
              </w:rPr>
              <w:t xml:space="preserve"> </w:t>
            </w:r>
            <w:r w:rsidR="00464D0F" w:rsidRPr="001769B0">
              <w:rPr>
                <w:rFonts w:ascii="Times New Roman" w:hAnsi="Times New Roman" w:cs="Times New Roman"/>
                <w:sz w:val="22"/>
                <w:szCs w:val="22"/>
                <w:lang w:val="sq-AL"/>
              </w:rPr>
              <w:t>Për zbatimin e detyrave që kanë të bëjnë me Strategjinë, Qeveria miraton akt nënligjorë për themelimin, financimin dhe operimin e zyrave komunale të energjisë, për të adresuar çështjet e zbatimit dhe monitorimit në nivel lokal.</w:t>
            </w:r>
          </w:p>
          <w:p w14:paraId="5ABACC0B" w14:textId="77777777" w:rsidR="0005042F" w:rsidRPr="001769B0" w:rsidRDefault="007E3207" w:rsidP="00464D0F">
            <w:pPr>
              <w:ind w:right="667"/>
              <w:rPr>
                <w:rFonts w:ascii="Times New Roman" w:hAnsi="Times New Roman" w:cs="Times New Roman"/>
                <w:sz w:val="22"/>
                <w:szCs w:val="22"/>
                <w:lang w:val="sq-AL"/>
              </w:rPr>
            </w:pPr>
            <w:r w:rsidRPr="001769B0">
              <w:rPr>
                <w:rFonts w:ascii="Times New Roman" w:hAnsi="Times New Roman" w:cs="Times New Roman"/>
                <w:sz w:val="22"/>
                <w:szCs w:val="22"/>
                <w:lang w:val="sq-AL"/>
              </w:rPr>
              <w:t>Gjatë procesit të hartimit të</w:t>
            </w:r>
            <w:r w:rsidR="00464D0F" w:rsidRPr="001769B0">
              <w:rPr>
                <w:rFonts w:ascii="Times New Roman" w:hAnsi="Times New Roman" w:cs="Times New Roman"/>
                <w:sz w:val="22"/>
                <w:szCs w:val="22"/>
                <w:lang w:val="sq-AL"/>
              </w:rPr>
              <w:t xml:space="preserve"> Projekt-Udhezimit A</w:t>
            </w:r>
            <w:r w:rsidRPr="001769B0">
              <w:rPr>
                <w:rFonts w:ascii="Times New Roman" w:hAnsi="Times New Roman" w:cs="Times New Roman"/>
                <w:sz w:val="22"/>
                <w:szCs w:val="22"/>
                <w:lang w:val="sq-AL"/>
              </w:rPr>
              <w:t>dministrativ është krijuar grupi punues në</w:t>
            </w:r>
            <w:r w:rsidR="00464D0F" w:rsidRPr="001769B0">
              <w:rPr>
                <w:rFonts w:ascii="Times New Roman" w:hAnsi="Times New Roman" w:cs="Times New Roman"/>
                <w:sz w:val="22"/>
                <w:szCs w:val="22"/>
                <w:lang w:val="sq-AL"/>
              </w:rPr>
              <w:t xml:space="preserve"> t</w:t>
            </w:r>
            <w:r w:rsidRPr="001769B0">
              <w:rPr>
                <w:rFonts w:ascii="Times New Roman" w:hAnsi="Times New Roman" w:cs="Times New Roman"/>
                <w:sz w:val="22"/>
                <w:szCs w:val="22"/>
                <w:lang w:val="sq-AL"/>
              </w:rPr>
              <w:t>ë cilin ka marrë</w:t>
            </w:r>
            <w:r w:rsidR="00464D0F" w:rsidRPr="001769B0">
              <w:rPr>
                <w:rFonts w:ascii="Times New Roman" w:hAnsi="Times New Roman" w:cs="Times New Roman"/>
                <w:sz w:val="22"/>
                <w:szCs w:val="22"/>
                <w:lang w:val="sq-AL"/>
              </w:rPr>
              <w:t xml:space="preserve"> pjes</w:t>
            </w:r>
            <w:r w:rsidRPr="001769B0">
              <w:rPr>
                <w:rFonts w:ascii="Times New Roman" w:hAnsi="Times New Roman" w:cs="Times New Roman"/>
                <w:sz w:val="22"/>
                <w:szCs w:val="22"/>
                <w:lang w:val="sq-AL"/>
              </w:rPr>
              <w:t>ë</w:t>
            </w:r>
            <w:r w:rsidR="00464D0F" w:rsidRPr="001769B0">
              <w:rPr>
                <w:rFonts w:ascii="Times New Roman" w:hAnsi="Times New Roman" w:cs="Times New Roman"/>
                <w:sz w:val="22"/>
                <w:szCs w:val="22"/>
                <w:lang w:val="sq-AL"/>
              </w:rPr>
              <w:t xml:space="preserve"> p</w:t>
            </w:r>
            <w:r w:rsidRPr="001769B0">
              <w:rPr>
                <w:rFonts w:ascii="Times New Roman" w:hAnsi="Times New Roman" w:cs="Times New Roman"/>
                <w:sz w:val="22"/>
                <w:szCs w:val="22"/>
                <w:lang w:val="sq-AL"/>
              </w:rPr>
              <w:t>ë</w:t>
            </w:r>
            <w:r w:rsidR="00464D0F" w:rsidRPr="001769B0">
              <w:rPr>
                <w:rFonts w:ascii="Times New Roman" w:hAnsi="Times New Roman" w:cs="Times New Roman"/>
                <w:sz w:val="22"/>
                <w:szCs w:val="22"/>
                <w:lang w:val="sq-AL"/>
              </w:rPr>
              <w:t>rfaqesuesi i komun</w:t>
            </w:r>
            <w:r w:rsidRPr="001769B0">
              <w:rPr>
                <w:rFonts w:ascii="Times New Roman" w:hAnsi="Times New Roman" w:cs="Times New Roman"/>
                <w:sz w:val="22"/>
                <w:szCs w:val="22"/>
                <w:lang w:val="sq-AL"/>
              </w:rPr>
              <w:t>ave  nga Asociacioni i Komunave si dhe përfaqësues nga Ministria e Administrimit të Pushtetit Lokal.Gjithë procesi është zhvilluar në pajtim me të gjithë anëtarët e grupit punues.</w:t>
            </w:r>
            <w:r w:rsidR="0005042F" w:rsidRPr="001769B0">
              <w:rPr>
                <w:rFonts w:ascii="Times New Roman" w:hAnsi="Times New Roman" w:cs="Times New Roman"/>
                <w:sz w:val="22"/>
                <w:szCs w:val="22"/>
              </w:rPr>
              <w:t xml:space="preserve"> </w:t>
            </w:r>
          </w:p>
          <w:p w14:paraId="6511650F" w14:textId="3C6096A6" w:rsidR="00464D0F" w:rsidRPr="001769B0" w:rsidRDefault="0005042F" w:rsidP="00464D0F">
            <w:pPr>
              <w:ind w:right="667"/>
              <w:rPr>
                <w:rFonts w:ascii="Times New Roman" w:hAnsi="Times New Roman" w:cs="Times New Roman"/>
                <w:sz w:val="22"/>
                <w:szCs w:val="22"/>
                <w:lang w:val="sq-AL"/>
              </w:rPr>
            </w:pPr>
            <w:r w:rsidRPr="001769B0">
              <w:rPr>
                <w:rFonts w:ascii="Times New Roman" w:hAnsi="Times New Roman" w:cs="Times New Roman"/>
                <w:sz w:val="22"/>
                <w:szCs w:val="22"/>
                <w:lang w:val="sq-AL"/>
              </w:rPr>
              <w:t>Mënyra e organizimit dhe funksionimit të këtyre zyrave, mbetet nën autoritetin e komunave.</w:t>
            </w:r>
          </w:p>
          <w:p w14:paraId="1EC687A6" w14:textId="0311FB95" w:rsidR="00464D0F" w:rsidRPr="001769B0" w:rsidRDefault="00464D0F" w:rsidP="00ED5CA4">
            <w:pPr>
              <w:ind w:right="667"/>
              <w:rPr>
                <w:rFonts w:ascii="Times New Roman" w:hAnsi="Times New Roman" w:cs="Times New Roman"/>
                <w:sz w:val="22"/>
                <w:szCs w:val="22"/>
                <w:lang w:val="sq-AL"/>
              </w:rPr>
            </w:pPr>
          </w:p>
        </w:tc>
      </w:tr>
      <w:tr w:rsidR="00ED5CA4" w:rsidRPr="001769B0" w14:paraId="6ACE49ED" w14:textId="77777777" w:rsidTr="00ED5CA4">
        <w:trPr>
          <w:trHeight w:val="954"/>
        </w:trPr>
        <w:tc>
          <w:tcPr>
            <w:tcW w:w="2697" w:type="dxa"/>
          </w:tcPr>
          <w:p w14:paraId="0012389C" w14:textId="083D790D" w:rsidR="00ED5CA4" w:rsidRPr="001769B0" w:rsidRDefault="00ED5CA4" w:rsidP="00ED5CA4">
            <w:pPr>
              <w:rPr>
                <w:rFonts w:ascii="Times New Roman" w:hAnsi="Times New Roman" w:cs="Times New Roman"/>
                <w:sz w:val="22"/>
                <w:szCs w:val="22"/>
                <w:lang w:val="sq-AL"/>
              </w:rPr>
            </w:pPr>
            <w:r w:rsidRPr="001769B0">
              <w:rPr>
                <w:rFonts w:ascii="Times New Roman" w:hAnsi="Times New Roman" w:cs="Times New Roman"/>
                <w:sz w:val="22"/>
                <w:szCs w:val="22"/>
                <w:lang w:val="sq-AL"/>
              </w:rPr>
              <w:t>Ministria e Administrimit të Pushtetit Lokal</w:t>
            </w:r>
          </w:p>
        </w:tc>
        <w:tc>
          <w:tcPr>
            <w:tcW w:w="2393" w:type="dxa"/>
          </w:tcPr>
          <w:p w14:paraId="56126F85" w14:textId="47EB51C4" w:rsidR="00ED5CA4" w:rsidRPr="001769B0" w:rsidRDefault="00ED5CA4" w:rsidP="00ED5CA4">
            <w:pPr>
              <w:rPr>
                <w:rFonts w:ascii="Times New Roman" w:hAnsi="Times New Roman" w:cs="Times New Roman"/>
                <w:sz w:val="22"/>
                <w:szCs w:val="22"/>
                <w:lang w:val="sq-AL"/>
              </w:rPr>
            </w:pPr>
            <w:r w:rsidRPr="001769B0">
              <w:rPr>
                <w:rFonts w:ascii="Times New Roman" w:hAnsi="Times New Roman" w:cs="Times New Roman"/>
                <w:sz w:val="22"/>
                <w:szCs w:val="22"/>
                <w:lang w:val="sq-AL"/>
              </w:rPr>
              <w:t xml:space="preserve">Sa i përket çështjes së financimit,ky udhëzim krijon obligime financiare për komunat </w:t>
            </w:r>
            <w:r w:rsidRPr="001769B0">
              <w:rPr>
                <w:rFonts w:ascii="Times New Roman" w:hAnsi="Times New Roman" w:cs="Times New Roman"/>
                <w:sz w:val="22"/>
                <w:szCs w:val="22"/>
                <w:lang w:val="sq-AL"/>
              </w:rPr>
              <w:lastRenderedPageBreak/>
              <w:t>,pra për rritjen e stafit në komuna dhe për funksionalizim të këtyre zyrave,gjë që është vështirë e zbatueshme për komunat duke pasur parasysh që komunat nuk mund të rrisin numrin e stafit aktual sepse numri i të punësuarve në komuna është e përcaktuar me ligjin vjetor të buxhetit.</w:t>
            </w:r>
          </w:p>
        </w:tc>
        <w:tc>
          <w:tcPr>
            <w:tcW w:w="1801" w:type="dxa"/>
          </w:tcPr>
          <w:p w14:paraId="1C4D19A9" w14:textId="58159ED6" w:rsidR="00ED5CA4" w:rsidRPr="001769B0" w:rsidRDefault="000D402C" w:rsidP="00ED5CA4">
            <w:pPr>
              <w:rPr>
                <w:rFonts w:ascii="Times New Roman" w:hAnsi="Times New Roman" w:cs="Times New Roman"/>
                <w:sz w:val="22"/>
                <w:szCs w:val="22"/>
                <w:lang w:val="sq-AL"/>
              </w:rPr>
            </w:pPr>
            <w:r w:rsidRPr="001769B0">
              <w:rPr>
                <w:rFonts w:ascii="Times New Roman" w:hAnsi="Times New Roman" w:cs="Times New Roman"/>
                <w:sz w:val="22"/>
                <w:szCs w:val="22"/>
                <w:lang w:val="sq-AL"/>
              </w:rPr>
              <w:lastRenderedPageBreak/>
              <w:t>E pranuar</w:t>
            </w:r>
            <w:r w:rsidR="007E3207" w:rsidRPr="001769B0">
              <w:rPr>
                <w:rFonts w:ascii="Times New Roman" w:hAnsi="Times New Roman" w:cs="Times New Roman"/>
                <w:sz w:val="22"/>
                <w:szCs w:val="22"/>
                <w:lang w:val="sq-AL"/>
              </w:rPr>
              <w:t xml:space="preserve"> plotësisht</w:t>
            </w:r>
          </w:p>
        </w:tc>
        <w:tc>
          <w:tcPr>
            <w:tcW w:w="2757" w:type="dxa"/>
          </w:tcPr>
          <w:p w14:paraId="554A3FC4" w14:textId="77777777" w:rsidR="00ED5CA4" w:rsidRPr="001769B0" w:rsidRDefault="00ED5CA4" w:rsidP="00ED5CA4">
            <w:pPr>
              <w:tabs>
                <w:tab w:val="left" w:pos="180"/>
              </w:tabs>
              <w:rPr>
                <w:rFonts w:ascii="Times New Roman" w:hAnsi="Times New Roman" w:cs="Times New Roman"/>
                <w:sz w:val="22"/>
                <w:szCs w:val="22"/>
                <w:lang w:val="sq-AL"/>
              </w:rPr>
            </w:pPr>
          </w:p>
          <w:p w14:paraId="6037AF61" w14:textId="79D158D7" w:rsidR="0005042F" w:rsidRPr="001769B0" w:rsidRDefault="003F10B4" w:rsidP="0005042F">
            <w:pPr>
              <w:tabs>
                <w:tab w:val="left" w:pos="180"/>
              </w:tabs>
              <w:rPr>
                <w:rFonts w:ascii="Times New Roman" w:hAnsi="Times New Roman" w:cs="Times New Roman"/>
                <w:sz w:val="22"/>
                <w:szCs w:val="22"/>
                <w:lang w:val="sq-AL"/>
              </w:rPr>
            </w:pPr>
            <w:r w:rsidRPr="001769B0">
              <w:rPr>
                <w:rFonts w:ascii="Times New Roman" w:hAnsi="Times New Roman" w:cs="Times New Roman"/>
                <w:sz w:val="22"/>
                <w:szCs w:val="22"/>
                <w:lang w:val="sq-AL"/>
              </w:rPr>
              <w:t>Ky Udhë</w:t>
            </w:r>
            <w:r w:rsidR="0005042F" w:rsidRPr="001769B0">
              <w:rPr>
                <w:rFonts w:ascii="Times New Roman" w:hAnsi="Times New Roman" w:cs="Times New Roman"/>
                <w:sz w:val="22"/>
                <w:szCs w:val="22"/>
                <w:lang w:val="sq-AL"/>
              </w:rPr>
              <w:t xml:space="preserve">zim Administrativ përcakton detyrat dhe përgjegjësitë e Zyrave </w:t>
            </w:r>
            <w:r w:rsidR="0005042F" w:rsidRPr="001769B0">
              <w:rPr>
                <w:rFonts w:ascii="Times New Roman" w:hAnsi="Times New Roman" w:cs="Times New Roman"/>
                <w:sz w:val="22"/>
                <w:szCs w:val="22"/>
                <w:lang w:val="sq-AL"/>
              </w:rPr>
              <w:lastRenderedPageBreak/>
              <w:t>Komunale te Energji</w:t>
            </w:r>
            <w:r w:rsidRPr="001769B0">
              <w:rPr>
                <w:rFonts w:ascii="Times New Roman" w:hAnsi="Times New Roman" w:cs="Times New Roman"/>
                <w:sz w:val="22"/>
                <w:szCs w:val="22"/>
                <w:lang w:val="sq-AL"/>
              </w:rPr>
              <w:t>s</w:t>
            </w:r>
            <w:r w:rsidR="0005042F" w:rsidRPr="001769B0">
              <w:rPr>
                <w:rFonts w:ascii="Times New Roman" w:hAnsi="Times New Roman" w:cs="Times New Roman"/>
                <w:sz w:val="22"/>
                <w:szCs w:val="22"/>
                <w:lang w:val="sq-AL"/>
              </w:rPr>
              <w:t>ë për adresim të çështjeve në planifikim,zbatim dhe monitorim të politikave të energjisë në nivel lokal.Ky Udhëzim Administrativ nuk do të krijojë obligime financiare për komunat sepse Zyrat Komunale të Energjisë do të veprojnë në kuadër të strukturave organizative komunale dhe do të ngarkohen nga autoriteti përkatës komunal me detyra dhe përgjegjësi të përcaktuara nga ky Udhëzim Administrativ.Mënyra e organizimit të tyre është në kompetencë të autoriteteve komunale.</w:t>
            </w:r>
          </w:p>
          <w:p w14:paraId="54DE2F6D" w14:textId="1062671B" w:rsidR="00481B8F" w:rsidRPr="001769B0" w:rsidRDefault="00481B8F" w:rsidP="007E3207">
            <w:pPr>
              <w:tabs>
                <w:tab w:val="left" w:pos="180"/>
              </w:tabs>
              <w:rPr>
                <w:rFonts w:ascii="Times New Roman" w:hAnsi="Times New Roman" w:cs="Times New Roman"/>
                <w:sz w:val="22"/>
                <w:szCs w:val="22"/>
                <w:lang w:val="sq-AL"/>
              </w:rPr>
            </w:pPr>
          </w:p>
        </w:tc>
      </w:tr>
    </w:tbl>
    <w:p w14:paraId="7FBADAB0" w14:textId="77777777" w:rsidR="00C11188" w:rsidRPr="001769B0" w:rsidRDefault="00C11188" w:rsidP="00F64F4D">
      <w:pPr>
        <w:tabs>
          <w:tab w:val="center" w:pos="6480"/>
        </w:tabs>
        <w:rPr>
          <w:rFonts w:ascii="Times New Roman" w:hAnsi="Times New Roman" w:cs="Times New Roman"/>
          <w:b/>
          <w:lang w:val="sq-AL"/>
        </w:rPr>
      </w:pPr>
    </w:p>
    <w:p w14:paraId="4C68B672" w14:textId="77777777" w:rsidR="001769B0" w:rsidRPr="001769B0" w:rsidRDefault="001769B0" w:rsidP="001769B0">
      <w:pPr>
        <w:widowControl w:val="0"/>
        <w:autoSpaceDE w:val="0"/>
        <w:autoSpaceDN w:val="0"/>
        <w:adjustRightInd w:val="0"/>
        <w:spacing w:line="276" w:lineRule="auto"/>
        <w:ind w:right="175"/>
        <w:jc w:val="center"/>
        <w:rPr>
          <w:rFonts w:ascii="Times New Roman" w:hAnsi="Times New Roman" w:cs="Times New Roman"/>
          <w:b/>
          <w:bCs/>
          <w:smallCaps/>
          <w:sz w:val="28"/>
          <w:szCs w:val="28"/>
        </w:rPr>
      </w:pPr>
    </w:p>
    <w:p w14:paraId="1E0A435B" w14:textId="77777777" w:rsidR="001769B0" w:rsidRDefault="001769B0" w:rsidP="001769B0">
      <w:pPr>
        <w:widowControl w:val="0"/>
        <w:autoSpaceDE w:val="0"/>
        <w:autoSpaceDN w:val="0"/>
        <w:adjustRightInd w:val="0"/>
        <w:spacing w:line="276" w:lineRule="auto"/>
        <w:ind w:right="175"/>
        <w:jc w:val="center"/>
        <w:rPr>
          <w:rFonts w:ascii="Times New Roman" w:hAnsi="Times New Roman" w:cs="Times New Roman"/>
          <w:b/>
          <w:bCs/>
          <w:smallCaps/>
          <w:sz w:val="28"/>
          <w:szCs w:val="28"/>
        </w:rPr>
      </w:pPr>
    </w:p>
    <w:p w14:paraId="4D465850" w14:textId="1EB6CD1B" w:rsidR="005447FE" w:rsidRDefault="005447FE" w:rsidP="005447FE">
      <w:pPr>
        <w:tabs>
          <w:tab w:val="left" w:pos="180"/>
        </w:tabs>
        <w:jc w:val="center"/>
        <w:rPr>
          <w:rFonts w:ascii="Times New Roman" w:hAnsi="Times New Roman" w:cs="Times New Roman"/>
          <w:b/>
          <w:bCs/>
        </w:rPr>
      </w:pPr>
      <w:r w:rsidRPr="001769B0">
        <w:rPr>
          <w:rFonts w:ascii="Times New Roman" w:eastAsia="MS Mincho" w:hAnsi="Times New Roman" w:cs="Times New Roman"/>
          <w:noProof/>
          <w:sz w:val="22"/>
          <w:szCs w:val="22"/>
          <w:lang w:val="en-US"/>
        </w:rPr>
        <w:drawing>
          <wp:anchor distT="0" distB="0" distL="114300" distR="114300" simplePos="0" relativeHeight="251661312" behindDoc="1" locked="0" layoutInCell="1" allowOverlap="1" wp14:anchorId="65E748B1" wp14:editId="5644B3A5">
            <wp:simplePos x="0" y="0"/>
            <wp:positionH relativeFrom="column">
              <wp:posOffset>2524125</wp:posOffset>
            </wp:positionH>
            <wp:positionV relativeFrom="paragraph">
              <wp:posOffset>-361950</wp:posOffset>
            </wp:positionV>
            <wp:extent cx="838200" cy="92837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4EA1393F" w14:textId="77777777" w:rsidR="005447FE" w:rsidRDefault="005447FE" w:rsidP="005447FE">
      <w:pPr>
        <w:tabs>
          <w:tab w:val="left" w:pos="180"/>
        </w:tabs>
        <w:jc w:val="center"/>
        <w:rPr>
          <w:rFonts w:ascii="Times New Roman" w:hAnsi="Times New Roman" w:cs="Times New Roman"/>
          <w:b/>
          <w:bCs/>
        </w:rPr>
      </w:pPr>
    </w:p>
    <w:p w14:paraId="1A1DF96F" w14:textId="77777777" w:rsidR="005447FE" w:rsidRDefault="005447FE" w:rsidP="005447FE">
      <w:pPr>
        <w:tabs>
          <w:tab w:val="left" w:pos="180"/>
        </w:tabs>
        <w:jc w:val="center"/>
        <w:rPr>
          <w:rFonts w:ascii="Times New Roman" w:hAnsi="Times New Roman" w:cs="Times New Roman"/>
          <w:b/>
          <w:bCs/>
        </w:rPr>
      </w:pPr>
    </w:p>
    <w:p w14:paraId="0AF6DF1C" w14:textId="77777777" w:rsidR="005447FE" w:rsidRDefault="005447FE" w:rsidP="005447FE">
      <w:pPr>
        <w:tabs>
          <w:tab w:val="left" w:pos="180"/>
        </w:tabs>
        <w:jc w:val="center"/>
        <w:rPr>
          <w:rFonts w:ascii="Times New Roman" w:hAnsi="Times New Roman" w:cs="Times New Roman"/>
          <w:b/>
          <w:bCs/>
        </w:rPr>
      </w:pPr>
    </w:p>
    <w:p w14:paraId="66B6A6C6" w14:textId="1C2F408E" w:rsidR="005447FE" w:rsidRPr="002F3BFF" w:rsidRDefault="005447FE" w:rsidP="005447FE">
      <w:pPr>
        <w:tabs>
          <w:tab w:val="left" w:pos="180"/>
          <w:tab w:val="left" w:pos="630"/>
          <w:tab w:val="center" w:pos="4680"/>
        </w:tabs>
        <w:rPr>
          <w:rFonts w:ascii="Times New Roman" w:eastAsia="Batang" w:hAnsi="Times New Roman" w:cs="Times New Roman"/>
          <w:b/>
          <w:bCs/>
          <w:sz w:val="20"/>
          <w:szCs w:val="2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2F3BFF">
        <w:rPr>
          <w:rFonts w:ascii="Times New Roman" w:hAnsi="Times New Roman" w:cs="Times New Roman"/>
          <w:b/>
          <w:bCs/>
          <w:sz w:val="20"/>
          <w:szCs w:val="20"/>
        </w:rPr>
        <w:t>Republika e Kosovës</w:t>
      </w:r>
    </w:p>
    <w:p w14:paraId="0828E215" w14:textId="77777777" w:rsidR="005447FE" w:rsidRPr="002F3BFF" w:rsidRDefault="005447FE" w:rsidP="005447FE">
      <w:pPr>
        <w:tabs>
          <w:tab w:val="left" w:pos="180"/>
        </w:tabs>
        <w:jc w:val="center"/>
        <w:rPr>
          <w:rFonts w:ascii="Times New Roman" w:eastAsia="MS Mincho" w:hAnsi="Times New Roman" w:cs="Times New Roman"/>
          <w:b/>
          <w:bCs/>
          <w:sz w:val="20"/>
          <w:szCs w:val="20"/>
        </w:rPr>
      </w:pPr>
      <w:r w:rsidRPr="002F3BFF">
        <w:rPr>
          <w:rFonts w:ascii="Times New Roman" w:eastAsia="Batang" w:hAnsi="Times New Roman" w:cs="Times New Roman"/>
          <w:b/>
          <w:bCs/>
          <w:sz w:val="20"/>
          <w:szCs w:val="20"/>
        </w:rPr>
        <w:t>Republika Kosova-</w:t>
      </w:r>
      <w:r w:rsidRPr="002F3BFF">
        <w:rPr>
          <w:rFonts w:ascii="Times New Roman" w:hAnsi="Times New Roman" w:cs="Times New Roman"/>
          <w:b/>
          <w:bCs/>
          <w:sz w:val="20"/>
          <w:szCs w:val="20"/>
        </w:rPr>
        <w:t>Republic of Kosovo</w:t>
      </w:r>
    </w:p>
    <w:p w14:paraId="2376058A" w14:textId="77777777" w:rsidR="005447FE" w:rsidRPr="002F3BFF" w:rsidRDefault="005447FE" w:rsidP="005447FE">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Qeveria–Vlada-Government</w:t>
      </w:r>
    </w:p>
    <w:p w14:paraId="01BF44AC" w14:textId="18F0958D" w:rsidR="005447FE" w:rsidRPr="002F3BFF" w:rsidRDefault="005447FE" w:rsidP="005447FE">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Ministria e Zhvillimit Ekonomik - Ministarstvo Ekonomskog Razvoja</w:t>
      </w:r>
      <w:r w:rsidR="002F3BFF">
        <w:rPr>
          <w:rFonts w:ascii="Times New Roman" w:hAnsi="Times New Roman" w:cs="Times New Roman"/>
          <w:b/>
          <w:bCs/>
          <w:i/>
          <w:iCs/>
          <w:sz w:val="20"/>
          <w:szCs w:val="20"/>
        </w:rPr>
        <w:t>-</w:t>
      </w:r>
    </w:p>
    <w:p w14:paraId="21BA1D2E" w14:textId="77777777" w:rsidR="005447FE" w:rsidRPr="002F3BFF" w:rsidRDefault="005447FE" w:rsidP="005447FE">
      <w:pPr>
        <w:tabs>
          <w:tab w:val="left" w:pos="180"/>
        </w:tabs>
        <w:jc w:val="center"/>
        <w:rPr>
          <w:rFonts w:ascii="Times New Roman" w:hAnsi="Times New Roman" w:cs="Times New Roman"/>
          <w:b/>
          <w:bCs/>
          <w:i/>
          <w:iCs/>
          <w:sz w:val="20"/>
          <w:szCs w:val="20"/>
        </w:rPr>
      </w:pPr>
      <w:r w:rsidRPr="002F3BFF">
        <w:rPr>
          <w:rFonts w:ascii="Times New Roman" w:hAnsi="Times New Roman" w:cs="Times New Roman"/>
          <w:b/>
          <w:bCs/>
          <w:i/>
          <w:iCs/>
          <w:sz w:val="20"/>
          <w:szCs w:val="20"/>
        </w:rPr>
        <w:t xml:space="preserve"> Ministry of Economic Development</w:t>
      </w:r>
    </w:p>
    <w:p w14:paraId="4FA0CBC8" w14:textId="77777777" w:rsidR="005447FE" w:rsidRDefault="005447FE" w:rsidP="001769B0">
      <w:pPr>
        <w:widowControl w:val="0"/>
        <w:autoSpaceDE w:val="0"/>
        <w:autoSpaceDN w:val="0"/>
        <w:adjustRightInd w:val="0"/>
        <w:spacing w:line="276" w:lineRule="auto"/>
        <w:ind w:right="175"/>
        <w:jc w:val="center"/>
        <w:rPr>
          <w:rFonts w:ascii="Times New Roman" w:hAnsi="Times New Roman" w:cs="Times New Roman"/>
          <w:b/>
          <w:bCs/>
          <w:smallCaps/>
          <w:sz w:val="28"/>
          <w:szCs w:val="28"/>
        </w:rPr>
      </w:pPr>
    </w:p>
    <w:p w14:paraId="00FA10C1" w14:textId="0842108B" w:rsidR="001769B0" w:rsidRPr="001769B0" w:rsidRDefault="001769B0" w:rsidP="001769B0">
      <w:pPr>
        <w:widowControl w:val="0"/>
        <w:autoSpaceDE w:val="0"/>
        <w:autoSpaceDN w:val="0"/>
        <w:adjustRightInd w:val="0"/>
        <w:spacing w:line="276" w:lineRule="auto"/>
        <w:ind w:right="175"/>
        <w:jc w:val="center"/>
        <w:rPr>
          <w:rFonts w:ascii="Times New Roman" w:hAnsi="Times New Roman" w:cs="Times New Roman"/>
          <w:b/>
        </w:rPr>
      </w:pPr>
      <w:r w:rsidRPr="001769B0">
        <w:rPr>
          <w:rFonts w:ascii="Times New Roman" w:hAnsi="Times New Roman" w:cs="Times New Roman"/>
          <w:b/>
          <w:bCs/>
          <w:smallCaps/>
          <w:sz w:val="28"/>
          <w:szCs w:val="28"/>
        </w:rPr>
        <w:t xml:space="preserve">Report of the consultation process on the Draft Administrative Instruction on Municipal Energy Offices </w:t>
      </w:r>
    </w:p>
    <w:p w14:paraId="14615AE9" w14:textId="77777777" w:rsidR="001769B0" w:rsidRPr="001769B0" w:rsidRDefault="001769B0" w:rsidP="0017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sq-AL"/>
        </w:rPr>
      </w:pPr>
    </w:p>
    <w:p w14:paraId="75E96938" w14:textId="77777777" w:rsidR="001769B0" w:rsidRPr="001769B0" w:rsidRDefault="001769B0" w:rsidP="001769B0">
      <w:pPr>
        <w:jc w:val="center"/>
        <w:rPr>
          <w:rFonts w:ascii="Times New Roman" w:hAnsi="Times New Roman" w:cs="Times New Roman"/>
          <w:b/>
        </w:rPr>
      </w:pPr>
      <w:r w:rsidRPr="001769B0">
        <w:rPr>
          <w:rFonts w:ascii="Times New Roman" w:hAnsi="Times New Roman" w:cs="Times New Roman"/>
          <w:b/>
        </w:rPr>
        <w:t>Introduction/Background</w:t>
      </w:r>
    </w:p>
    <w:p w14:paraId="1676871D" w14:textId="77777777" w:rsidR="001769B0" w:rsidRPr="001769B0" w:rsidRDefault="001769B0" w:rsidP="001769B0">
      <w:pPr>
        <w:jc w:val="center"/>
        <w:rPr>
          <w:rFonts w:ascii="Times New Roman" w:hAnsi="Times New Roman" w:cs="Times New Roman"/>
          <w:b/>
          <w:lang w:val="sq-AL"/>
        </w:rPr>
      </w:pPr>
    </w:p>
    <w:p w14:paraId="5C2A25D8" w14:textId="77777777" w:rsidR="001769B0" w:rsidRPr="001769B0" w:rsidRDefault="001769B0" w:rsidP="001769B0">
      <w:pPr>
        <w:pStyle w:val="BodyText2"/>
        <w:spacing w:line="240" w:lineRule="auto"/>
        <w:jc w:val="both"/>
        <w:rPr>
          <w:rFonts w:ascii="Times New Roman" w:hAnsi="Times New Roman"/>
        </w:rPr>
      </w:pPr>
      <w:r w:rsidRPr="001769B0">
        <w:rPr>
          <w:rFonts w:ascii="Times New Roman" w:hAnsi="Times New Roman"/>
        </w:rPr>
        <w:t xml:space="preserve">This draft Administrative Instruction aims to organize and define the tasks and responsibilities of municipal energy offices in the municipalities of the Republic of Kosovo, address issues in planning, implementation and monitoring of energy policies in the local level. </w:t>
      </w:r>
    </w:p>
    <w:p w14:paraId="57FAC627" w14:textId="77777777" w:rsidR="001769B0" w:rsidRPr="001769B0" w:rsidRDefault="001769B0" w:rsidP="001769B0">
      <w:pPr>
        <w:pStyle w:val="ListParagraph"/>
        <w:tabs>
          <w:tab w:val="left" w:pos="180"/>
        </w:tabs>
        <w:spacing w:before="240"/>
        <w:ind w:left="0"/>
        <w:jc w:val="both"/>
        <w:rPr>
          <w:rFonts w:ascii="Times New Roman" w:hAnsi="Times New Roman"/>
          <w:sz w:val="24"/>
        </w:rPr>
      </w:pPr>
      <w:r w:rsidRPr="001769B0">
        <w:rPr>
          <w:rFonts w:ascii="Times New Roman" w:hAnsi="Times New Roman"/>
          <w:sz w:val="24"/>
        </w:rPr>
        <w:lastRenderedPageBreak/>
        <w:t xml:space="preserve">The drafting of the Administrative Instruction was done by the Working Group led by the Energy Department, namely the Energy Policy Division in MED, with the participation of representatives of the Legal Department, Renewable Energy, Efficiency and Co-Generation Division, representatives of the Department of Finance and General Services, representatives of the Kosovo Energy Efficiency Agency, representatives of the Association of Municipalities, Ministry of Finance, Ministry of Local Government Administration. </w:t>
      </w:r>
    </w:p>
    <w:p w14:paraId="4A90BB95" w14:textId="77777777" w:rsidR="001769B0" w:rsidRPr="001769B0" w:rsidRDefault="001769B0" w:rsidP="001769B0">
      <w:pPr>
        <w:pStyle w:val="ListParagraph"/>
        <w:tabs>
          <w:tab w:val="left" w:pos="180"/>
        </w:tabs>
        <w:spacing w:before="240"/>
        <w:ind w:left="0"/>
        <w:jc w:val="both"/>
        <w:rPr>
          <w:rFonts w:ascii="Times New Roman" w:hAnsi="Times New Roman"/>
          <w:sz w:val="24"/>
        </w:rPr>
      </w:pPr>
      <w:r w:rsidRPr="001769B0">
        <w:rPr>
          <w:rFonts w:ascii="Times New Roman" w:hAnsi="Times New Roman"/>
          <w:sz w:val="24"/>
        </w:rPr>
        <w:t>After the drafting of the Administrative Instruction, the draft was sent for comments, remarks or suggestions to all relevant institutions and agencies of the Republic of Kosovo. The Draft Administrative Instruction was sent for public discussion to all other stakeholders identified in cooperation with the Legal Department. Consultation on the Draft Administrative Instruction was done in accordance with Regulation No. 05/2016 on Minimum Standards for the Public Consultation Process.</w:t>
      </w:r>
    </w:p>
    <w:p w14:paraId="2D790ECF" w14:textId="77777777" w:rsidR="001769B0" w:rsidRPr="001769B0" w:rsidRDefault="001769B0" w:rsidP="001769B0">
      <w:pPr>
        <w:pStyle w:val="ListParagraph"/>
        <w:tabs>
          <w:tab w:val="left" w:pos="180"/>
        </w:tabs>
        <w:spacing w:before="240"/>
        <w:ind w:left="0"/>
        <w:jc w:val="both"/>
        <w:rPr>
          <w:rFonts w:ascii="Times New Roman" w:hAnsi="Times New Roman"/>
          <w:sz w:val="24"/>
          <w:lang w:val="sq-AL"/>
        </w:rPr>
      </w:pPr>
    </w:p>
    <w:p w14:paraId="1839E036" w14:textId="77777777" w:rsidR="001769B0" w:rsidRPr="001769B0" w:rsidRDefault="001769B0" w:rsidP="001769B0">
      <w:pPr>
        <w:jc w:val="center"/>
        <w:rPr>
          <w:rFonts w:ascii="Times New Roman" w:hAnsi="Times New Roman" w:cs="Times New Roman"/>
          <w:b/>
        </w:rPr>
      </w:pPr>
      <w:r w:rsidRPr="001769B0">
        <w:rPr>
          <w:rFonts w:ascii="Times New Roman" w:hAnsi="Times New Roman" w:cs="Times New Roman"/>
          <w:b/>
        </w:rPr>
        <w:t>Course of the consultation process</w:t>
      </w:r>
    </w:p>
    <w:p w14:paraId="7F5B3641" w14:textId="00CAAEC8" w:rsidR="001769B0" w:rsidRPr="001769B0" w:rsidRDefault="00D357F3" w:rsidP="001769B0">
      <w:pPr>
        <w:pStyle w:val="ListParagraph"/>
        <w:tabs>
          <w:tab w:val="left" w:pos="180"/>
        </w:tabs>
        <w:spacing w:before="240"/>
        <w:ind w:left="0"/>
        <w:jc w:val="both"/>
        <w:rPr>
          <w:rFonts w:ascii="Times New Roman" w:hAnsi="Times New Roman"/>
          <w:sz w:val="24"/>
        </w:rPr>
      </w:pPr>
      <w:r>
        <w:rPr>
          <w:rFonts w:ascii="Times New Roman" w:hAnsi="Times New Roman"/>
          <w:sz w:val="24"/>
        </w:rPr>
        <w:t>The D</w:t>
      </w:r>
      <w:r w:rsidR="001769B0" w:rsidRPr="001769B0">
        <w:rPr>
          <w:rFonts w:ascii="Times New Roman" w:hAnsi="Times New Roman"/>
          <w:sz w:val="24"/>
        </w:rPr>
        <w:t xml:space="preserve">raft Administrative on Municipal Energy Offices was published for public consultation in the electronic platform on 19 April 2017 and was opened until 11 May 2017. The Draft Administrative Instruction was also sent vial email to the identified stakeholders for prior consultation. </w:t>
      </w:r>
    </w:p>
    <w:p w14:paraId="693D561E" w14:textId="77777777" w:rsidR="001769B0" w:rsidRPr="001769B0" w:rsidRDefault="001769B0" w:rsidP="001769B0">
      <w:pPr>
        <w:pStyle w:val="ListParagraph"/>
        <w:tabs>
          <w:tab w:val="left" w:pos="180"/>
        </w:tabs>
        <w:spacing w:before="240"/>
        <w:ind w:left="0"/>
        <w:jc w:val="both"/>
        <w:rPr>
          <w:rFonts w:ascii="Times New Roman" w:hAnsi="Times New Roman"/>
          <w:sz w:val="24"/>
        </w:rPr>
      </w:pPr>
      <w:r w:rsidRPr="001769B0">
        <w:rPr>
          <w:rFonts w:ascii="Times New Roman" w:hAnsi="Times New Roman"/>
          <w:sz w:val="24"/>
        </w:rPr>
        <w:t xml:space="preserve">The stakeholders were identified in cooperation with the Legal Department and using the tradition of cooperation, established during similar processes in the past, by MED. </w:t>
      </w:r>
    </w:p>
    <w:p w14:paraId="711DBC80" w14:textId="77777777" w:rsidR="001769B0" w:rsidRPr="001769B0" w:rsidRDefault="001769B0" w:rsidP="001769B0">
      <w:pPr>
        <w:jc w:val="both"/>
        <w:rPr>
          <w:rFonts w:ascii="Times New Roman" w:hAnsi="Times New Roman" w:cs="Times New Roman"/>
          <w:i/>
          <w:lang w:val="sq-AL"/>
        </w:rPr>
      </w:pPr>
    </w:p>
    <w:p w14:paraId="1CD56127" w14:textId="77777777" w:rsidR="001769B0" w:rsidRPr="001769B0" w:rsidRDefault="001769B0" w:rsidP="001769B0">
      <w:pPr>
        <w:jc w:val="both"/>
        <w:rPr>
          <w:rFonts w:ascii="Times New Roman" w:hAnsi="Times New Roman" w:cs="Times New Roman"/>
          <w:i/>
          <w:lang w:val="sq-AL"/>
        </w:rPr>
      </w:pPr>
    </w:p>
    <w:tbl>
      <w:tblPr>
        <w:tblStyle w:val="GridTable1Light-Accent51"/>
        <w:tblW w:w="0" w:type="auto"/>
        <w:tblLook w:val="04A0" w:firstRow="1" w:lastRow="0" w:firstColumn="1" w:lastColumn="0" w:noHBand="0" w:noVBand="1"/>
      </w:tblPr>
      <w:tblGrid>
        <w:gridCol w:w="3823"/>
        <w:gridCol w:w="2483"/>
        <w:gridCol w:w="3044"/>
      </w:tblGrid>
      <w:tr w:rsidR="001769B0" w:rsidRPr="001769B0" w14:paraId="51D5A73A" w14:textId="77777777" w:rsidTr="008B0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40FCE950" w14:textId="77777777" w:rsidR="001769B0" w:rsidRPr="001769B0" w:rsidRDefault="001769B0" w:rsidP="008B04A2">
            <w:pPr>
              <w:pStyle w:val="Default"/>
              <w:rPr>
                <w:color w:val="auto"/>
                <w:sz w:val="20"/>
              </w:rPr>
            </w:pPr>
            <w:r w:rsidRPr="001769B0">
              <w:rPr>
                <w:color w:val="auto"/>
                <w:sz w:val="20"/>
              </w:rPr>
              <w:t>Methods of consultation</w:t>
            </w:r>
          </w:p>
        </w:tc>
        <w:tc>
          <w:tcPr>
            <w:tcW w:w="2483" w:type="dxa"/>
            <w:shd w:val="clear" w:color="auto" w:fill="FBE4D5" w:themeFill="accent2" w:themeFillTint="33"/>
          </w:tcPr>
          <w:p w14:paraId="418F7B3A" w14:textId="77777777" w:rsidR="001769B0" w:rsidRPr="001769B0" w:rsidRDefault="001769B0" w:rsidP="008B04A2">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1769B0">
              <w:rPr>
                <w:color w:val="auto"/>
                <w:sz w:val="20"/>
              </w:rPr>
              <w:t>Dates/duration</w:t>
            </w:r>
          </w:p>
        </w:tc>
        <w:tc>
          <w:tcPr>
            <w:tcW w:w="3044" w:type="dxa"/>
            <w:shd w:val="clear" w:color="auto" w:fill="FBE4D5" w:themeFill="accent2" w:themeFillTint="33"/>
          </w:tcPr>
          <w:p w14:paraId="38773FC1" w14:textId="77777777" w:rsidR="001769B0" w:rsidRPr="001769B0" w:rsidRDefault="001769B0" w:rsidP="008B04A2">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1769B0">
              <w:rPr>
                <w:color w:val="auto"/>
                <w:sz w:val="20"/>
              </w:rPr>
              <w:t>Number of participants/contributors</w:t>
            </w:r>
          </w:p>
        </w:tc>
      </w:tr>
      <w:tr w:rsidR="001769B0" w:rsidRPr="001769B0" w14:paraId="46CA106A" w14:textId="77777777" w:rsidTr="008B04A2">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0C7D4D4A" w14:textId="77777777" w:rsidR="001769B0" w:rsidRPr="001769B0" w:rsidRDefault="001769B0" w:rsidP="001769B0">
            <w:pPr>
              <w:pStyle w:val="Default"/>
              <w:numPr>
                <w:ilvl w:val="0"/>
                <w:numId w:val="14"/>
              </w:numPr>
              <w:rPr>
                <w:b w:val="0"/>
                <w:sz w:val="21"/>
                <w:szCs w:val="23"/>
              </w:rPr>
            </w:pPr>
            <w:r w:rsidRPr="001769B0">
              <w:rPr>
                <w:b w:val="0"/>
                <w:sz w:val="21"/>
                <w:szCs w:val="23"/>
              </w:rPr>
              <w:t>Written /electronic consultation</w:t>
            </w:r>
          </w:p>
        </w:tc>
        <w:tc>
          <w:tcPr>
            <w:tcW w:w="2483" w:type="dxa"/>
          </w:tcPr>
          <w:p w14:paraId="3E0AD4F8"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15 work days</w:t>
            </w:r>
          </w:p>
        </w:tc>
        <w:tc>
          <w:tcPr>
            <w:tcW w:w="3044" w:type="dxa"/>
          </w:tcPr>
          <w:p w14:paraId="4098F3B4"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22</w:t>
            </w:r>
          </w:p>
        </w:tc>
      </w:tr>
      <w:tr w:rsidR="001769B0" w:rsidRPr="001769B0" w14:paraId="4473409A" w14:textId="77777777" w:rsidTr="008B04A2">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0E48C0C" w14:textId="77777777" w:rsidR="001769B0" w:rsidRPr="001769B0" w:rsidRDefault="001769B0" w:rsidP="001769B0">
            <w:pPr>
              <w:pStyle w:val="Default"/>
              <w:numPr>
                <w:ilvl w:val="0"/>
                <w:numId w:val="14"/>
              </w:numPr>
              <w:ind w:left="454"/>
              <w:rPr>
                <w:b w:val="0"/>
                <w:color w:val="auto"/>
                <w:sz w:val="21"/>
              </w:rPr>
            </w:pPr>
            <w:r w:rsidRPr="001769B0">
              <w:rPr>
                <w:b w:val="0"/>
                <w:sz w:val="21"/>
                <w:szCs w:val="23"/>
              </w:rPr>
              <w:t>Publication in website/electronic platform</w:t>
            </w:r>
          </w:p>
        </w:tc>
        <w:tc>
          <w:tcPr>
            <w:tcW w:w="2483" w:type="dxa"/>
          </w:tcPr>
          <w:p w14:paraId="6ADD8485"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 xml:space="preserve">15 work days </w:t>
            </w:r>
          </w:p>
        </w:tc>
        <w:tc>
          <w:tcPr>
            <w:tcW w:w="3044" w:type="dxa"/>
          </w:tcPr>
          <w:p w14:paraId="4F31CC31"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0</w:t>
            </w:r>
          </w:p>
        </w:tc>
      </w:tr>
      <w:tr w:rsidR="001769B0" w:rsidRPr="001769B0" w14:paraId="4BE14B62" w14:textId="77777777" w:rsidTr="008B04A2">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148234C1" w14:textId="77777777" w:rsidR="001769B0" w:rsidRPr="001769B0" w:rsidRDefault="001769B0" w:rsidP="001769B0">
            <w:pPr>
              <w:pStyle w:val="Default"/>
              <w:numPr>
                <w:ilvl w:val="0"/>
                <w:numId w:val="14"/>
              </w:numPr>
              <w:ind w:left="454"/>
              <w:rPr>
                <w:b w:val="0"/>
                <w:color w:val="auto"/>
                <w:sz w:val="21"/>
              </w:rPr>
            </w:pPr>
            <w:r w:rsidRPr="001769B0">
              <w:rPr>
                <w:b w:val="0"/>
                <w:sz w:val="21"/>
                <w:szCs w:val="23"/>
              </w:rPr>
              <w:t>Meetings with stakeholders</w:t>
            </w:r>
          </w:p>
        </w:tc>
        <w:tc>
          <w:tcPr>
            <w:tcW w:w="2483" w:type="dxa"/>
          </w:tcPr>
          <w:p w14:paraId="622E9DAA"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0</w:t>
            </w:r>
          </w:p>
        </w:tc>
        <w:tc>
          <w:tcPr>
            <w:tcW w:w="3044" w:type="dxa"/>
          </w:tcPr>
          <w:p w14:paraId="31635C86" w14:textId="77777777" w:rsidR="001769B0" w:rsidRPr="001769B0" w:rsidRDefault="001769B0" w:rsidP="008B04A2">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1769B0">
              <w:rPr>
                <w:color w:val="auto"/>
                <w:sz w:val="21"/>
              </w:rPr>
              <w:t>0</w:t>
            </w:r>
          </w:p>
        </w:tc>
      </w:tr>
    </w:tbl>
    <w:p w14:paraId="1D15CC1D" w14:textId="77777777" w:rsidR="001769B0" w:rsidRPr="001769B0" w:rsidRDefault="001769B0" w:rsidP="001769B0">
      <w:pPr>
        <w:jc w:val="both"/>
        <w:rPr>
          <w:rFonts w:ascii="Times New Roman" w:hAnsi="Times New Roman" w:cs="Times New Roman"/>
          <w:lang w:val="sq-AL"/>
        </w:rPr>
      </w:pPr>
    </w:p>
    <w:p w14:paraId="68444262" w14:textId="77777777" w:rsidR="001769B0" w:rsidRPr="001769B0" w:rsidRDefault="001769B0" w:rsidP="001769B0">
      <w:pPr>
        <w:jc w:val="both"/>
        <w:rPr>
          <w:rFonts w:ascii="Times New Roman" w:hAnsi="Times New Roman" w:cs="Times New Roman"/>
          <w:lang w:val="sq-AL"/>
        </w:rPr>
      </w:pPr>
    </w:p>
    <w:p w14:paraId="1DB39F3E" w14:textId="77777777" w:rsidR="001769B0" w:rsidRPr="001769B0" w:rsidRDefault="001769B0" w:rsidP="001769B0">
      <w:pPr>
        <w:jc w:val="both"/>
        <w:rPr>
          <w:rFonts w:ascii="Times New Roman" w:hAnsi="Times New Roman" w:cs="Times New Roman"/>
          <w:lang w:val="sq-AL"/>
        </w:rPr>
      </w:pPr>
    </w:p>
    <w:p w14:paraId="0AC6C60A" w14:textId="77777777" w:rsidR="001769B0" w:rsidRDefault="001769B0" w:rsidP="001769B0">
      <w:pPr>
        <w:jc w:val="center"/>
        <w:rPr>
          <w:rFonts w:ascii="Times New Roman" w:hAnsi="Times New Roman" w:cs="Times New Roman"/>
          <w:b/>
        </w:rPr>
      </w:pPr>
    </w:p>
    <w:p w14:paraId="06A82828" w14:textId="77777777" w:rsidR="001769B0" w:rsidRDefault="001769B0" w:rsidP="001769B0">
      <w:pPr>
        <w:jc w:val="center"/>
        <w:rPr>
          <w:rFonts w:ascii="Times New Roman" w:hAnsi="Times New Roman" w:cs="Times New Roman"/>
          <w:b/>
        </w:rPr>
      </w:pPr>
    </w:p>
    <w:p w14:paraId="7C1934AF" w14:textId="77777777" w:rsidR="001769B0" w:rsidRDefault="001769B0" w:rsidP="001769B0">
      <w:pPr>
        <w:jc w:val="center"/>
        <w:rPr>
          <w:rFonts w:ascii="Times New Roman" w:hAnsi="Times New Roman" w:cs="Times New Roman"/>
          <w:b/>
        </w:rPr>
      </w:pPr>
    </w:p>
    <w:p w14:paraId="0EF0C7BF" w14:textId="77777777" w:rsidR="001769B0" w:rsidRPr="001769B0" w:rsidRDefault="001769B0" w:rsidP="001769B0">
      <w:pPr>
        <w:jc w:val="center"/>
        <w:rPr>
          <w:rFonts w:ascii="Times New Roman" w:hAnsi="Times New Roman" w:cs="Times New Roman"/>
          <w:b/>
        </w:rPr>
      </w:pPr>
      <w:r w:rsidRPr="001769B0">
        <w:rPr>
          <w:rFonts w:ascii="Times New Roman" w:hAnsi="Times New Roman" w:cs="Times New Roman"/>
          <w:b/>
        </w:rPr>
        <w:t>Summary of contributions received during the consultation process</w:t>
      </w:r>
    </w:p>
    <w:p w14:paraId="462BA308" w14:textId="77777777" w:rsidR="001769B0" w:rsidRPr="001769B0" w:rsidRDefault="001769B0" w:rsidP="001769B0">
      <w:pPr>
        <w:jc w:val="center"/>
        <w:rPr>
          <w:rFonts w:ascii="Times New Roman" w:hAnsi="Times New Roman" w:cs="Times New Roman"/>
          <w:b/>
          <w:lang w:val="sq-AL"/>
        </w:rPr>
      </w:pPr>
    </w:p>
    <w:p w14:paraId="131A5009" w14:textId="77777777" w:rsidR="001769B0" w:rsidRPr="001769B0" w:rsidRDefault="001769B0" w:rsidP="001769B0">
      <w:pPr>
        <w:jc w:val="both"/>
        <w:rPr>
          <w:rFonts w:ascii="Times New Roman" w:hAnsi="Times New Roman" w:cs="Times New Roman"/>
        </w:rPr>
      </w:pPr>
      <w:r w:rsidRPr="001769B0">
        <w:rPr>
          <w:rFonts w:ascii="Times New Roman" w:hAnsi="Times New Roman" w:cs="Times New Roman"/>
        </w:rPr>
        <w:t xml:space="preserve">During the prior consultation process and public consultations, we received comments, remarks and suggestions from stakeholders. All comments received by various instuons are shown in the Annex, with the detailed table with the information on the contributors as well as the justifications for the accepted and rejected responses.  </w:t>
      </w:r>
    </w:p>
    <w:p w14:paraId="737D32D9" w14:textId="77777777" w:rsidR="001769B0" w:rsidRPr="001769B0" w:rsidRDefault="001769B0" w:rsidP="001769B0">
      <w:pPr>
        <w:rPr>
          <w:rFonts w:ascii="Times New Roman" w:hAnsi="Times New Roman" w:cs="Times New Roman"/>
          <w:lang w:val="sq-AL"/>
        </w:rPr>
      </w:pPr>
    </w:p>
    <w:p w14:paraId="251496E9" w14:textId="77777777" w:rsidR="001769B0" w:rsidRPr="001769B0" w:rsidRDefault="001769B0" w:rsidP="001769B0">
      <w:pPr>
        <w:jc w:val="both"/>
        <w:rPr>
          <w:rFonts w:ascii="Times New Roman" w:hAnsi="Times New Roman" w:cs="Times New Roman"/>
          <w:lang w:val="sq-AL"/>
        </w:rPr>
      </w:pPr>
    </w:p>
    <w:p w14:paraId="21EE27A9" w14:textId="77777777" w:rsidR="001769B0" w:rsidRPr="001769B0" w:rsidRDefault="001769B0" w:rsidP="001769B0">
      <w:pPr>
        <w:jc w:val="center"/>
        <w:rPr>
          <w:rFonts w:ascii="Times New Roman" w:hAnsi="Times New Roman" w:cs="Times New Roman"/>
          <w:b/>
          <w:lang w:val="sq-AL"/>
        </w:rPr>
      </w:pPr>
    </w:p>
    <w:p w14:paraId="48744F04" w14:textId="77777777" w:rsidR="001769B0" w:rsidRPr="001769B0" w:rsidRDefault="001769B0" w:rsidP="001769B0">
      <w:pPr>
        <w:jc w:val="center"/>
        <w:rPr>
          <w:rFonts w:ascii="Times New Roman" w:hAnsi="Times New Roman" w:cs="Times New Roman"/>
          <w:b/>
        </w:rPr>
      </w:pPr>
      <w:r w:rsidRPr="001769B0">
        <w:rPr>
          <w:rFonts w:ascii="Times New Roman" w:hAnsi="Times New Roman" w:cs="Times New Roman"/>
          <w:b/>
        </w:rPr>
        <w:t>Next Steps</w:t>
      </w:r>
    </w:p>
    <w:p w14:paraId="31083761" w14:textId="77777777" w:rsidR="001769B0" w:rsidRPr="001769B0" w:rsidRDefault="001769B0" w:rsidP="001769B0">
      <w:pPr>
        <w:jc w:val="both"/>
        <w:rPr>
          <w:rFonts w:ascii="Times New Roman" w:hAnsi="Times New Roman" w:cs="Times New Roman"/>
          <w:lang w:val="sq-AL"/>
        </w:rPr>
      </w:pPr>
    </w:p>
    <w:p w14:paraId="23413F6F" w14:textId="77777777" w:rsidR="001769B0" w:rsidRPr="001769B0" w:rsidRDefault="001769B0" w:rsidP="001769B0">
      <w:pPr>
        <w:jc w:val="both"/>
        <w:rPr>
          <w:rFonts w:ascii="Times New Roman" w:hAnsi="Times New Roman" w:cs="Times New Roman"/>
        </w:rPr>
      </w:pPr>
      <w:r w:rsidRPr="001769B0">
        <w:rPr>
          <w:rFonts w:ascii="Times New Roman" w:hAnsi="Times New Roman" w:cs="Times New Roman"/>
        </w:rPr>
        <w:t>The Draft Administrative Instruction for Municipal Energy Offices is now been finalized.</w:t>
      </w:r>
    </w:p>
    <w:p w14:paraId="192B4BD6" w14:textId="7A9FDF0F" w:rsidR="001769B0" w:rsidRPr="001769B0" w:rsidRDefault="001769B0" w:rsidP="001769B0">
      <w:pPr>
        <w:jc w:val="both"/>
        <w:rPr>
          <w:rFonts w:ascii="Times New Roman" w:hAnsi="Times New Roman" w:cs="Times New Roman"/>
        </w:rPr>
      </w:pPr>
      <w:r w:rsidRPr="001769B0">
        <w:rPr>
          <w:rFonts w:ascii="Times New Roman" w:hAnsi="Times New Roman" w:cs="Times New Roman"/>
        </w:rPr>
        <w:t xml:space="preserve">This </w:t>
      </w:r>
      <w:r w:rsidR="00D357F3">
        <w:rPr>
          <w:rFonts w:ascii="Times New Roman" w:hAnsi="Times New Roman" w:cs="Times New Roman"/>
        </w:rPr>
        <w:t xml:space="preserve">Draft </w:t>
      </w:r>
      <w:r w:rsidRPr="001769B0">
        <w:rPr>
          <w:rFonts w:ascii="Times New Roman" w:hAnsi="Times New Roman" w:cs="Times New Roman"/>
        </w:rPr>
        <w:t>Administrative Instruction in the coming days will be submitted to the Government for consideration and approval, by the Prime Minister of the Republic of Kosovo.</w:t>
      </w:r>
    </w:p>
    <w:p w14:paraId="2D09014C" w14:textId="77777777" w:rsidR="001769B0" w:rsidRPr="001769B0" w:rsidRDefault="001769B0" w:rsidP="001769B0">
      <w:pPr>
        <w:rPr>
          <w:rFonts w:ascii="Times New Roman" w:hAnsi="Times New Roman" w:cs="Times New Roman"/>
        </w:rPr>
      </w:pPr>
    </w:p>
    <w:p w14:paraId="4D838F0F" w14:textId="77777777" w:rsidR="001769B0" w:rsidRPr="001769B0" w:rsidRDefault="001769B0" w:rsidP="001769B0">
      <w:pPr>
        <w:rPr>
          <w:rFonts w:ascii="Times New Roman" w:hAnsi="Times New Roman" w:cs="Times New Roman"/>
          <w:lang w:val="sq-AL"/>
        </w:rPr>
      </w:pPr>
    </w:p>
    <w:p w14:paraId="4B14131B" w14:textId="77777777" w:rsidR="001769B0" w:rsidRPr="001769B0" w:rsidRDefault="001769B0" w:rsidP="001769B0">
      <w:pPr>
        <w:rPr>
          <w:rFonts w:ascii="Times New Roman" w:hAnsi="Times New Roman" w:cs="Times New Roman"/>
          <w:lang w:val="sq-AL"/>
        </w:rPr>
      </w:pPr>
    </w:p>
    <w:p w14:paraId="5C2DD8C9" w14:textId="77777777" w:rsidR="001769B0" w:rsidRPr="001769B0" w:rsidRDefault="001769B0" w:rsidP="001769B0">
      <w:pPr>
        <w:rPr>
          <w:rFonts w:ascii="Times New Roman" w:hAnsi="Times New Roman" w:cs="Times New Roman"/>
          <w:lang w:val="sq-AL"/>
        </w:rPr>
      </w:pPr>
    </w:p>
    <w:p w14:paraId="65E27906" w14:textId="77777777" w:rsidR="001769B0" w:rsidRPr="001769B0" w:rsidRDefault="001769B0" w:rsidP="001769B0">
      <w:pPr>
        <w:rPr>
          <w:rFonts w:ascii="Times New Roman" w:hAnsi="Times New Roman" w:cs="Times New Roman"/>
          <w:lang w:val="sq-AL"/>
        </w:rPr>
      </w:pPr>
    </w:p>
    <w:p w14:paraId="3C49CB7F" w14:textId="77777777" w:rsidR="001769B0" w:rsidRPr="001769B0" w:rsidRDefault="001769B0" w:rsidP="001769B0">
      <w:pPr>
        <w:rPr>
          <w:rFonts w:ascii="Times New Roman" w:hAnsi="Times New Roman" w:cs="Times New Roman"/>
          <w:lang w:val="sq-AL"/>
        </w:rPr>
      </w:pPr>
    </w:p>
    <w:p w14:paraId="7610ABB0" w14:textId="77777777" w:rsidR="001769B0" w:rsidRPr="001769B0" w:rsidRDefault="001769B0" w:rsidP="001769B0">
      <w:pPr>
        <w:rPr>
          <w:rFonts w:ascii="Times New Roman" w:hAnsi="Times New Roman" w:cs="Times New Roman"/>
          <w:lang w:val="sq-AL"/>
        </w:rPr>
      </w:pPr>
    </w:p>
    <w:p w14:paraId="789775FF" w14:textId="77777777" w:rsidR="001769B0" w:rsidRPr="001769B0" w:rsidRDefault="001769B0" w:rsidP="001769B0">
      <w:pPr>
        <w:rPr>
          <w:rFonts w:ascii="Times New Roman" w:hAnsi="Times New Roman" w:cs="Times New Roman"/>
          <w:lang w:val="sq-AL"/>
        </w:rPr>
      </w:pPr>
    </w:p>
    <w:p w14:paraId="6596A99A" w14:textId="77777777" w:rsidR="001769B0" w:rsidRPr="001769B0" w:rsidRDefault="001769B0" w:rsidP="001769B0">
      <w:pPr>
        <w:rPr>
          <w:rFonts w:ascii="Times New Roman" w:hAnsi="Times New Roman" w:cs="Times New Roman"/>
          <w:lang w:val="sq-AL"/>
        </w:rPr>
      </w:pPr>
    </w:p>
    <w:p w14:paraId="5FF55D6C" w14:textId="77777777" w:rsidR="001769B0" w:rsidRPr="001769B0" w:rsidRDefault="001769B0" w:rsidP="001769B0">
      <w:pPr>
        <w:rPr>
          <w:rFonts w:ascii="Times New Roman" w:hAnsi="Times New Roman" w:cs="Times New Roman"/>
          <w:lang w:val="sq-AL"/>
        </w:rPr>
      </w:pPr>
    </w:p>
    <w:p w14:paraId="630DE853" w14:textId="77777777" w:rsidR="001769B0" w:rsidRPr="001769B0" w:rsidRDefault="001769B0" w:rsidP="001769B0">
      <w:pPr>
        <w:rPr>
          <w:rFonts w:ascii="Times New Roman" w:hAnsi="Times New Roman" w:cs="Times New Roman"/>
          <w:lang w:val="sq-AL"/>
        </w:rPr>
      </w:pPr>
    </w:p>
    <w:p w14:paraId="2796AE2B" w14:textId="77777777" w:rsidR="001769B0" w:rsidRPr="001769B0" w:rsidRDefault="001769B0" w:rsidP="001769B0">
      <w:pPr>
        <w:rPr>
          <w:rFonts w:ascii="Times New Roman" w:hAnsi="Times New Roman" w:cs="Times New Roman"/>
          <w:lang w:val="sq-AL"/>
        </w:rPr>
      </w:pPr>
    </w:p>
    <w:p w14:paraId="5AA45E51" w14:textId="77777777" w:rsidR="001769B0" w:rsidRPr="001769B0" w:rsidRDefault="001769B0" w:rsidP="001769B0">
      <w:pPr>
        <w:rPr>
          <w:rFonts w:ascii="Times New Roman" w:hAnsi="Times New Roman" w:cs="Times New Roman"/>
          <w:lang w:val="sq-AL"/>
        </w:rPr>
      </w:pPr>
    </w:p>
    <w:p w14:paraId="6EC33A31" w14:textId="77777777" w:rsidR="001769B0" w:rsidRPr="001769B0" w:rsidRDefault="001769B0" w:rsidP="001769B0">
      <w:pPr>
        <w:rPr>
          <w:rFonts w:ascii="Times New Roman" w:hAnsi="Times New Roman" w:cs="Times New Roman"/>
          <w:lang w:val="sq-AL"/>
        </w:rPr>
      </w:pPr>
    </w:p>
    <w:p w14:paraId="529C51CD" w14:textId="77777777" w:rsidR="001769B0" w:rsidRPr="001769B0" w:rsidRDefault="001769B0" w:rsidP="001769B0">
      <w:pPr>
        <w:rPr>
          <w:rFonts w:ascii="Times New Roman" w:hAnsi="Times New Roman" w:cs="Times New Roman"/>
          <w:lang w:val="sq-AL"/>
        </w:rPr>
      </w:pPr>
    </w:p>
    <w:p w14:paraId="51FB03CE" w14:textId="77777777" w:rsidR="001769B0" w:rsidRDefault="001769B0" w:rsidP="001769B0">
      <w:pPr>
        <w:rPr>
          <w:rFonts w:ascii="Times New Roman" w:hAnsi="Times New Roman" w:cs="Times New Roman"/>
          <w:lang w:val="sq-AL"/>
        </w:rPr>
      </w:pPr>
    </w:p>
    <w:p w14:paraId="6E071994" w14:textId="77777777" w:rsidR="001769B0" w:rsidRDefault="001769B0" w:rsidP="001769B0">
      <w:pPr>
        <w:rPr>
          <w:rFonts w:ascii="Times New Roman" w:hAnsi="Times New Roman" w:cs="Times New Roman"/>
          <w:lang w:val="sq-AL"/>
        </w:rPr>
      </w:pPr>
    </w:p>
    <w:p w14:paraId="216D3449" w14:textId="77777777" w:rsidR="001769B0" w:rsidRDefault="001769B0" w:rsidP="001769B0">
      <w:pPr>
        <w:rPr>
          <w:rFonts w:ascii="Times New Roman" w:hAnsi="Times New Roman" w:cs="Times New Roman"/>
          <w:lang w:val="sq-AL"/>
        </w:rPr>
      </w:pPr>
    </w:p>
    <w:p w14:paraId="757B8F2F" w14:textId="77777777" w:rsidR="001769B0" w:rsidRDefault="001769B0" w:rsidP="001769B0">
      <w:pPr>
        <w:rPr>
          <w:rFonts w:ascii="Times New Roman" w:hAnsi="Times New Roman" w:cs="Times New Roman"/>
          <w:lang w:val="sq-AL"/>
        </w:rPr>
      </w:pPr>
    </w:p>
    <w:p w14:paraId="203106E5" w14:textId="77777777" w:rsidR="001769B0" w:rsidRDefault="001769B0" w:rsidP="001769B0">
      <w:pPr>
        <w:rPr>
          <w:rFonts w:ascii="Times New Roman" w:hAnsi="Times New Roman" w:cs="Times New Roman"/>
          <w:lang w:val="sq-AL"/>
        </w:rPr>
      </w:pPr>
    </w:p>
    <w:p w14:paraId="748492AC" w14:textId="77777777" w:rsidR="001769B0" w:rsidRPr="001769B0" w:rsidRDefault="001769B0" w:rsidP="001769B0">
      <w:pPr>
        <w:rPr>
          <w:rFonts w:ascii="Times New Roman" w:hAnsi="Times New Roman" w:cs="Times New Roman"/>
          <w:lang w:val="sq-AL"/>
        </w:rPr>
      </w:pPr>
    </w:p>
    <w:p w14:paraId="25CDE9FA" w14:textId="77777777" w:rsidR="001769B0" w:rsidRPr="001769B0" w:rsidRDefault="001769B0" w:rsidP="001769B0">
      <w:pPr>
        <w:rPr>
          <w:rFonts w:ascii="Times New Roman" w:hAnsi="Times New Roman" w:cs="Times New Roman"/>
          <w:lang w:val="sq-AL"/>
        </w:rPr>
      </w:pPr>
    </w:p>
    <w:p w14:paraId="6795E420" w14:textId="77777777" w:rsidR="001769B0" w:rsidRPr="001769B0" w:rsidRDefault="001769B0" w:rsidP="001769B0">
      <w:pPr>
        <w:jc w:val="both"/>
        <w:rPr>
          <w:rFonts w:ascii="Times New Roman" w:hAnsi="Times New Roman" w:cs="Times New Roman"/>
        </w:rPr>
      </w:pPr>
      <w:r w:rsidRPr="001769B0">
        <w:rPr>
          <w:rFonts w:ascii="Times New Roman" w:hAnsi="Times New Roman" w:cs="Times New Roman"/>
        </w:rPr>
        <w:t xml:space="preserve">Annex - detailed table with information for contributors, justifications for accepted and rejected responses.  </w:t>
      </w:r>
    </w:p>
    <w:p w14:paraId="7C5D8453" w14:textId="77777777" w:rsidR="001769B0" w:rsidRPr="001769B0" w:rsidRDefault="001769B0" w:rsidP="001769B0">
      <w:pPr>
        <w:rPr>
          <w:rFonts w:ascii="Times New Roman" w:hAnsi="Times New Roman" w:cs="Times New Roman"/>
          <w:lang w:val="sq-AL"/>
        </w:rPr>
      </w:pPr>
    </w:p>
    <w:tbl>
      <w:tblPr>
        <w:tblStyle w:val="GridTable1Light-Accent51"/>
        <w:tblW w:w="9648" w:type="dxa"/>
        <w:tblLook w:val="0420" w:firstRow="1" w:lastRow="0" w:firstColumn="0" w:lastColumn="0" w:noHBand="0" w:noVBand="1"/>
      </w:tblPr>
      <w:tblGrid>
        <w:gridCol w:w="2693"/>
        <w:gridCol w:w="2417"/>
        <w:gridCol w:w="1789"/>
        <w:gridCol w:w="2749"/>
      </w:tblGrid>
      <w:tr w:rsidR="001769B0" w:rsidRPr="001769B0" w14:paraId="4116137A" w14:textId="77777777" w:rsidTr="008B04A2">
        <w:trPr>
          <w:cnfStyle w:val="100000000000" w:firstRow="1" w:lastRow="0" w:firstColumn="0" w:lastColumn="0" w:oddVBand="0" w:evenVBand="0" w:oddHBand="0" w:evenHBand="0" w:firstRowFirstColumn="0" w:firstRowLastColumn="0" w:lastRowFirstColumn="0" w:lastRowLastColumn="0"/>
          <w:trHeight w:val="1582"/>
        </w:trPr>
        <w:tc>
          <w:tcPr>
            <w:tcW w:w="2697" w:type="dxa"/>
            <w:shd w:val="clear" w:color="auto" w:fill="FBE4D5" w:themeFill="accent2" w:themeFillTint="33"/>
            <w:hideMark/>
          </w:tcPr>
          <w:p w14:paraId="2AAA6927"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Name of organization/individual</w:t>
            </w:r>
          </w:p>
        </w:tc>
        <w:tc>
          <w:tcPr>
            <w:tcW w:w="2393" w:type="dxa"/>
            <w:shd w:val="clear" w:color="auto" w:fill="FBE4D5" w:themeFill="accent2" w:themeFillTint="33"/>
            <w:hideMark/>
          </w:tcPr>
          <w:p w14:paraId="6690C087"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Comments of organization/individual</w:t>
            </w:r>
          </w:p>
        </w:tc>
        <w:tc>
          <w:tcPr>
            <w:tcW w:w="1801" w:type="dxa"/>
            <w:shd w:val="clear" w:color="auto" w:fill="FBE4D5" w:themeFill="accent2" w:themeFillTint="33"/>
            <w:hideMark/>
          </w:tcPr>
          <w:p w14:paraId="5A36E032"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 xml:space="preserve">Reply of the Ministry </w:t>
            </w:r>
          </w:p>
          <w:p w14:paraId="0643C040"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 xml:space="preserve">Fully accepted </w:t>
            </w:r>
          </w:p>
          <w:p w14:paraId="703301CF"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Partially accepted</w:t>
            </w:r>
          </w:p>
          <w:p w14:paraId="6FD942A1"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 xml:space="preserve">Rejected </w:t>
            </w:r>
          </w:p>
        </w:tc>
        <w:tc>
          <w:tcPr>
            <w:tcW w:w="2757" w:type="dxa"/>
            <w:shd w:val="clear" w:color="auto" w:fill="FBE4D5" w:themeFill="accent2" w:themeFillTint="33"/>
            <w:hideMark/>
          </w:tcPr>
          <w:p w14:paraId="7CDE11FF"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bCs w:val="0"/>
                <w:sz w:val="22"/>
                <w:szCs w:val="22"/>
              </w:rPr>
              <w:t>Clarification of the Ministry</w:t>
            </w:r>
          </w:p>
          <w:p w14:paraId="6E65590C" w14:textId="77777777" w:rsidR="001769B0" w:rsidRPr="001769B0" w:rsidRDefault="001769B0" w:rsidP="008B04A2">
            <w:pPr>
              <w:tabs>
                <w:tab w:val="left" w:pos="2556"/>
              </w:tabs>
              <w:ind w:right="541"/>
              <w:rPr>
                <w:rFonts w:ascii="Times New Roman" w:hAnsi="Times New Roman" w:cs="Times New Roman"/>
                <w:sz w:val="22"/>
                <w:szCs w:val="22"/>
              </w:rPr>
            </w:pPr>
            <w:r w:rsidRPr="001769B0">
              <w:rPr>
                <w:rFonts w:ascii="Times New Roman" w:hAnsi="Times New Roman" w:cs="Times New Roman"/>
                <w:bCs w:val="0"/>
                <w:sz w:val="22"/>
                <w:szCs w:val="22"/>
              </w:rPr>
              <w:t>(In particular, the reasons to reject the comment)</w:t>
            </w:r>
          </w:p>
        </w:tc>
      </w:tr>
      <w:tr w:rsidR="001769B0" w:rsidRPr="001769B0" w14:paraId="1AE67C47" w14:textId="77777777" w:rsidTr="008B04A2">
        <w:trPr>
          <w:trHeight w:val="954"/>
        </w:trPr>
        <w:tc>
          <w:tcPr>
            <w:tcW w:w="2697" w:type="dxa"/>
            <w:hideMark/>
          </w:tcPr>
          <w:p w14:paraId="06F5FB60"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color w:val="000000"/>
                <w:sz w:val="22"/>
                <w:szCs w:val="22"/>
              </w:rPr>
              <w:t>Elvira Vala</w:t>
            </w:r>
            <w:r w:rsidRPr="001769B0">
              <w:rPr>
                <w:rFonts w:ascii="Times New Roman" w:hAnsi="Times New Roman" w:cs="Times New Roman"/>
                <w:color w:val="000000"/>
                <w:sz w:val="22"/>
                <w:szCs w:val="22"/>
              </w:rPr>
              <w:br/>
              <w:t xml:space="preserve">Professor/Consultant </w:t>
            </w:r>
          </w:p>
        </w:tc>
        <w:tc>
          <w:tcPr>
            <w:tcW w:w="2393" w:type="dxa"/>
            <w:hideMark/>
          </w:tcPr>
          <w:p w14:paraId="25B9535D" w14:textId="77777777" w:rsidR="001769B0" w:rsidRPr="001769B0" w:rsidRDefault="001769B0" w:rsidP="008B04A2">
            <w:pPr>
              <w:tabs>
                <w:tab w:val="left" w:pos="180"/>
              </w:tabs>
              <w:rPr>
                <w:rFonts w:ascii="Times New Roman" w:hAnsi="Times New Roman" w:cs="Times New Roman"/>
                <w:sz w:val="22"/>
                <w:szCs w:val="22"/>
              </w:rPr>
            </w:pPr>
            <w:r w:rsidRPr="001769B0">
              <w:rPr>
                <w:rFonts w:ascii="Times New Roman" w:hAnsi="Times New Roman" w:cs="Times New Roman"/>
                <w:color w:val="000000"/>
                <w:sz w:val="22"/>
                <w:szCs w:val="22"/>
              </w:rPr>
              <w:t>Qualification of municipal officials assigned in MEOs should be from the filed of Engineering - Energy - majored in Energy Management or Energy Engineering, Electro-technical - major in Energy Systems or Industrial Energy Machinery - major in Thermal Energy or Generation</w:t>
            </w:r>
          </w:p>
        </w:tc>
        <w:tc>
          <w:tcPr>
            <w:tcW w:w="1801" w:type="dxa"/>
            <w:hideMark/>
          </w:tcPr>
          <w:p w14:paraId="51BFE72F"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t>Partially accepted</w:t>
            </w:r>
          </w:p>
        </w:tc>
        <w:tc>
          <w:tcPr>
            <w:tcW w:w="2757" w:type="dxa"/>
          </w:tcPr>
          <w:p w14:paraId="4A14CC17" w14:textId="77777777" w:rsidR="001769B0" w:rsidRPr="001769B0" w:rsidRDefault="001769B0" w:rsidP="008B04A2">
            <w:pPr>
              <w:tabs>
                <w:tab w:val="left" w:pos="180"/>
              </w:tabs>
              <w:rPr>
                <w:rFonts w:ascii="Times New Roman" w:eastAsia="Book Antiqua" w:hAnsi="Times New Roman" w:cs="Times New Roman"/>
                <w:sz w:val="22"/>
                <w:szCs w:val="22"/>
              </w:rPr>
            </w:pPr>
            <w:r w:rsidRPr="001769B0">
              <w:rPr>
                <w:rFonts w:ascii="Times New Roman" w:hAnsi="Times New Roman" w:cs="Times New Roman"/>
                <w:sz w:val="22"/>
                <w:szCs w:val="22"/>
              </w:rPr>
              <w:t>As this Administrative Instruction defines the duties and responsibilities of the Municipal Energy Offices and that these offices will operate within municipal organizational structures, it is up to the municipal authorities to decide on the qualification of municipal officials. This Administrative Instruction recommends that their qualification is from engineering.</w:t>
            </w:r>
          </w:p>
        </w:tc>
      </w:tr>
      <w:tr w:rsidR="001769B0" w:rsidRPr="001769B0" w14:paraId="097F0DB1" w14:textId="77777777" w:rsidTr="008B04A2">
        <w:trPr>
          <w:trHeight w:val="954"/>
        </w:trPr>
        <w:tc>
          <w:tcPr>
            <w:tcW w:w="2697" w:type="dxa"/>
          </w:tcPr>
          <w:p w14:paraId="173A752E"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t>Ministry of Local Government Administration</w:t>
            </w:r>
          </w:p>
        </w:tc>
        <w:tc>
          <w:tcPr>
            <w:tcW w:w="2393" w:type="dxa"/>
          </w:tcPr>
          <w:p w14:paraId="38AE20D5" w14:textId="77777777" w:rsidR="001769B0" w:rsidRPr="001769B0" w:rsidRDefault="001769B0" w:rsidP="008B04A2">
            <w:pPr>
              <w:contextualSpacing/>
              <w:rPr>
                <w:rFonts w:ascii="Times New Roman" w:hAnsi="Times New Roman" w:cs="Times New Roman"/>
                <w:sz w:val="22"/>
                <w:szCs w:val="22"/>
              </w:rPr>
            </w:pPr>
            <w:r w:rsidRPr="001769B0">
              <w:rPr>
                <w:rFonts w:ascii="Times New Roman" w:hAnsi="Times New Roman" w:cs="Times New Roman"/>
                <w:sz w:val="22"/>
                <w:szCs w:val="22"/>
              </w:rPr>
              <w:t>Regarding the issue of internal organization of municipalities, this draft Administrative Instruction should be discussed with municipalities because according to Article 66 of the Law on Local Self-Government and the European Charter for Local Self-Government, Article 3 paragraph I and Article 4, the Government has no right to interfere with the internal organization of municipalities. Municipalities are independent in the internal organization.</w:t>
            </w:r>
          </w:p>
        </w:tc>
        <w:tc>
          <w:tcPr>
            <w:tcW w:w="1801" w:type="dxa"/>
          </w:tcPr>
          <w:p w14:paraId="0B2E4AEC"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t>Fully accepted</w:t>
            </w:r>
          </w:p>
        </w:tc>
        <w:tc>
          <w:tcPr>
            <w:tcW w:w="2757" w:type="dxa"/>
          </w:tcPr>
          <w:p w14:paraId="09FCF46A" w14:textId="39D3B8E0" w:rsidR="001769B0" w:rsidRPr="001769B0" w:rsidRDefault="001769B0" w:rsidP="008B04A2">
            <w:pPr>
              <w:ind w:right="667"/>
              <w:rPr>
                <w:rFonts w:ascii="Times New Roman" w:hAnsi="Times New Roman" w:cs="Times New Roman"/>
                <w:sz w:val="22"/>
                <w:szCs w:val="22"/>
              </w:rPr>
            </w:pPr>
            <w:r w:rsidRPr="001769B0">
              <w:rPr>
                <w:rFonts w:ascii="Times New Roman" w:hAnsi="Times New Roman" w:cs="Times New Roman"/>
                <w:sz w:val="22"/>
                <w:szCs w:val="22"/>
              </w:rPr>
              <w:t>The drafting of this sub-legal act derives from the Law on Energy No. 05/L-081, Article 7, Paragraph 4, which provides:  “For the implementation of duties related to the Strategy, the Go</w:t>
            </w:r>
            <w:r>
              <w:rPr>
                <w:rFonts w:ascii="Times New Roman" w:hAnsi="Times New Roman" w:cs="Times New Roman"/>
                <w:sz w:val="22"/>
                <w:szCs w:val="22"/>
              </w:rPr>
              <w:t xml:space="preserve">vernment shall issue sub-legal </w:t>
            </w:r>
            <w:r w:rsidRPr="001769B0">
              <w:rPr>
                <w:rFonts w:ascii="Times New Roman" w:hAnsi="Times New Roman" w:cs="Times New Roman"/>
                <w:sz w:val="22"/>
                <w:szCs w:val="22"/>
              </w:rPr>
              <w:t>acts on establishment, funding and operation of municipal energ</w:t>
            </w:r>
            <w:r>
              <w:rPr>
                <w:rFonts w:ascii="Times New Roman" w:hAnsi="Times New Roman" w:cs="Times New Roman"/>
                <w:sz w:val="22"/>
                <w:szCs w:val="22"/>
              </w:rPr>
              <w:t xml:space="preserve">y offices, which shall address </w:t>
            </w:r>
            <w:r w:rsidRPr="001769B0">
              <w:rPr>
                <w:rFonts w:ascii="Times New Roman" w:hAnsi="Times New Roman" w:cs="Times New Roman"/>
                <w:sz w:val="22"/>
                <w:szCs w:val="22"/>
              </w:rPr>
              <w:t>issues related to implementation and monitoring at the local level.</w:t>
            </w:r>
          </w:p>
          <w:p w14:paraId="48392E38" w14:textId="77777777" w:rsidR="001769B0" w:rsidRPr="001769B0" w:rsidRDefault="001769B0" w:rsidP="008B04A2">
            <w:pPr>
              <w:ind w:right="667"/>
              <w:rPr>
                <w:rFonts w:ascii="Times New Roman" w:hAnsi="Times New Roman" w:cs="Times New Roman"/>
                <w:sz w:val="22"/>
                <w:szCs w:val="22"/>
              </w:rPr>
            </w:pPr>
            <w:r w:rsidRPr="001769B0">
              <w:rPr>
                <w:rFonts w:ascii="Times New Roman" w:hAnsi="Times New Roman" w:cs="Times New Roman"/>
                <w:sz w:val="22"/>
                <w:szCs w:val="22"/>
              </w:rPr>
              <w:t xml:space="preserve">A Working Group was established during the drafting </w:t>
            </w:r>
            <w:r w:rsidRPr="001769B0">
              <w:rPr>
                <w:rFonts w:ascii="Times New Roman" w:hAnsi="Times New Roman" w:cs="Times New Roman"/>
                <w:sz w:val="22"/>
                <w:szCs w:val="22"/>
              </w:rPr>
              <w:lastRenderedPageBreak/>
              <w:t xml:space="preserve">process of the Draft Administrative Instruction, attended by the representative of municipalities, the Association of Municipalities and the Ministry of Local Government Administration. The entire process was developed in accordance with all members of the working group. </w:t>
            </w:r>
          </w:p>
          <w:p w14:paraId="58672EE6" w14:textId="0A683E6C" w:rsidR="001769B0" w:rsidRPr="001769B0" w:rsidRDefault="001769B0" w:rsidP="008B04A2">
            <w:pPr>
              <w:ind w:right="667"/>
              <w:rPr>
                <w:rFonts w:ascii="Times New Roman" w:hAnsi="Times New Roman" w:cs="Times New Roman"/>
                <w:sz w:val="22"/>
                <w:szCs w:val="22"/>
              </w:rPr>
            </w:pPr>
            <w:r w:rsidRPr="001769B0">
              <w:rPr>
                <w:rFonts w:ascii="Times New Roman" w:hAnsi="Times New Roman" w:cs="Times New Roman"/>
                <w:sz w:val="22"/>
                <w:szCs w:val="22"/>
              </w:rPr>
              <w:t>The manner of organizing and functioning of these offices remains under the authority of the municipalities.</w:t>
            </w:r>
          </w:p>
        </w:tc>
      </w:tr>
      <w:tr w:rsidR="001769B0" w:rsidRPr="001769B0" w14:paraId="5548B13B" w14:textId="77777777" w:rsidTr="008B04A2">
        <w:trPr>
          <w:trHeight w:val="954"/>
        </w:trPr>
        <w:tc>
          <w:tcPr>
            <w:tcW w:w="2697" w:type="dxa"/>
          </w:tcPr>
          <w:p w14:paraId="6A3CF47F"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lastRenderedPageBreak/>
              <w:t>Ministry of Local Government Administration</w:t>
            </w:r>
          </w:p>
        </w:tc>
        <w:tc>
          <w:tcPr>
            <w:tcW w:w="2393" w:type="dxa"/>
          </w:tcPr>
          <w:p w14:paraId="3F7CAAFE"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t>Regarding the issue of funding, this instruction creates financial obligations for municipalities, i.e to add staff in municipalities and to functionalize offices, which is difficult to implement for municipalities, as municipalities cannot increase the number of current staff, as the number of employees in municipalities is determined by the annual budget law.</w:t>
            </w:r>
          </w:p>
        </w:tc>
        <w:tc>
          <w:tcPr>
            <w:tcW w:w="1801" w:type="dxa"/>
          </w:tcPr>
          <w:p w14:paraId="2CB8999B" w14:textId="77777777" w:rsidR="001769B0" w:rsidRPr="001769B0" w:rsidRDefault="001769B0" w:rsidP="008B04A2">
            <w:pPr>
              <w:rPr>
                <w:rFonts w:ascii="Times New Roman" w:hAnsi="Times New Roman" w:cs="Times New Roman"/>
                <w:sz w:val="22"/>
                <w:szCs w:val="22"/>
              </w:rPr>
            </w:pPr>
            <w:r w:rsidRPr="001769B0">
              <w:rPr>
                <w:rFonts w:ascii="Times New Roman" w:hAnsi="Times New Roman" w:cs="Times New Roman"/>
                <w:sz w:val="22"/>
                <w:szCs w:val="22"/>
              </w:rPr>
              <w:t>Fully accepted</w:t>
            </w:r>
          </w:p>
        </w:tc>
        <w:tc>
          <w:tcPr>
            <w:tcW w:w="2757" w:type="dxa"/>
          </w:tcPr>
          <w:p w14:paraId="0584DE16" w14:textId="5C2F6EEE" w:rsidR="001769B0" w:rsidRPr="001769B0" w:rsidRDefault="001769B0" w:rsidP="008B04A2">
            <w:pPr>
              <w:tabs>
                <w:tab w:val="left" w:pos="180"/>
              </w:tabs>
              <w:rPr>
                <w:rFonts w:ascii="Times New Roman" w:hAnsi="Times New Roman" w:cs="Times New Roman"/>
                <w:sz w:val="22"/>
                <w:szCs w:val="22"/>
              </w:rPr>
            </w:pPr>
            <w:r w:rsidRPr="001769B0">
              <w:rPr>
                <w:rFonts w:ascii="Times New Roman" w:hAnsi="Times New Roman" w:cs="Times New Roman"/>
                <w:sz w:val="22"/>
                <w:szCs w:val="22"/>
              </w:rPr>
              <w:t>This Administrative Instruction defines the duties and responsibilities of Municipal Energy Offices to address issues in planning, implementation and monitoring of energy policies at the local level. This Administrative Instruction will not create financial obligations for municipalities because the Municipal Energy Offices will operate under the municipal organizational structures and shall be charged by the respective municipal authority with duties and responsibilities as set out in this Administrative Instruction. The manner of their organization is under the competency of the municipal authorities.</w:t>
            </w:r>
          </w:p>
        </w:tc>
      </w:tr>
    </w:tbl>
    <w:p w14:paraId="6B85A439" w14:textId="77777777" w:rsidR="001769B0" w:rsidRPr="001769B0" w:rsidRDefault="001769B0" w:rsidP="00412B69">
      <w:pPr>
        <w:jc w:val="center"/>
        <w:rPr>
          <w:rFonts w:ascii="Times New Roman" w:eastAsia="MS Mincho" w:hAnsi="Times New Roman" w:cs="Times New Roman"/>
          <w:b/>
          <w:noProof/>
          <w:sz w:val="22"/>
          <w:szCs w:val="22"/>
          <w:lang w:val="sr-Latn-CS"/>
        </w:rPr>
      </w:pPr>
    </w:p>
    <w:p w14:paraId="5C090EA7" w14:textId="77777777" w:rsidR="001769B0" w:rsidRPr="001769B0" w:rsidRDefault="001769B0" w:rsidP="00412B69">
      <w:pPr>
        <w:jc w:val="center"/>
        <w:rPr>
          <w:rFonts w:ascii="Times New Roman" w:eastAsia="MS Mincho" w:hAnsi="Times New Roman" w:cs="Times New Roman"/>
          <w:b/>
          <w:noProof/>
          <w:sz w:val="22"/>
          <w:szCs w:val="22"/>
          <w:lang w:val="en-US"/>
        </w:rPr>
      </w:pPr>
    </w:p>
    <w:p w14:paraId="62840305" w14:textId="77777777" w:rsidR="001769B0" w:rsidRPr="001769B0" w:rsidRDefault="001769B0" w:rsidP="00412B69">
      <w:pPr>
        <w:jc w:val="center"/>
        <w:rPr>
          <w:rFonts w:ascii="Times New Roman" w:eastAsia="MS Mincho" w:hAnsi="Times New Roman" w:cs="Times New Roman"/>
          <w:b/>
          <w:noProof/>
          <w:sz w:val="22"/>
          <w:szCs w:val="22"/>
          <w:lang w:val="en-US"/>
        </w:rPr>
      </w:pPr>
    </w:p>
    <w:p w14:paraId="7D74B54C" w14:textId="77777777" w:rsidR="001769B0" w:rsidRPr="001769B0" w:rsidRDefault="001769B0" w:rsidP="00412B69">
      <w:pPr>
        <w:jc w:val="center"/>
        <w:rPr>
          <w:rFonts w:ascii="Times New Roman" w:eastAsia="MS Mincho" w:hAnsi="Times New Roman" w:cs="Times New Roman"/>
          <w:b/>
          <w:noProof/>
          <w:sz w:val="22"/>
          <w:szCs w:val="22"/>
          <w:lang w:val="en-US"/>
        </w:rPr>
      </w:pPr>
    </w:p>
    <w:p w14:paraId="015C26B0" w14:textId="77777777" w:rsidR="001769B0" w:rsidRPr="001769B0" w:rsidRDefault="001769B0" w:rsidP="00412B69">
      <w:pPr>
        <w:jc w:val="center"/>
        <w:rPr>
          <w:rFonts w:ascii="Times New Roman" w:eastAsia="MS Mincho" w:hAnsi="Times New Roman" w:cs="Times New Roman"/>
          <w:b/>
          <w:noProof/>
          <w:sz w:val="22"/>
          <w:szCs w:val="22"/>
          <w:lang w:val="en-US"/>
        </w:rPr>
      </w:pPr>
    </w:p>
    <w:p w14:paraId="096E5372" w14:textId="77777777" w:rsidR="001769B0" w:rsidRPr="001769B0" w:rsidRDefault="001769B0" w:rsidP="001769B0">
      <w:pPr>
        <w:rPr>
          <w:rFonts w:ascii="Times New Roman" w:eastAsia="MS Mincho" w:hAnsi="Times New Roman" w:cs="Times New Roman"/>
          <w:b/>
          <w:noProof/>
          <w:sz w:val="22"/>
          <w:szCs w:val="22"/>
          <w:lang w:val="en-US"/>
        </w:rPr>
      </w:pPr>
    </w:p>
    <w:p w14:paraId="321E4A2B" w14:textId="729CBCA5" w:rsidR="005447FE" w:rsidRDefault="005447FE" w:rsidP="005447FE">
      <w:pPr>
        <w:tabs>
          <w:tab w:val="left" w:pos="180"/>
          <w:tab w:val="left" w:pos="630"/>
          <w:tab w:val="center" w:pos="4680"/>
        </w:tabs>
        <w:rPr>
          <w:rFonts w:ascii="Times New Roman" w:hAnsi="Times New Roman" w:cs="Times New Roman"/>
          <w:b/>
          <w:bCs/>
        </w:rPr>
      </w:pPr>
      <w:r w:rsidRPr="001769B0">
        <w:rPr>
          <w:rFonts w:ascii="Times New Roman" w:eastAsia="MS Mincho" w:hAnsi="Times New Roman" w:cs="Times New Roman"/>
          <w:noProof/>
          <w:sz w:val="22"/>
          <w:szCs w:val="22"/>
          <w:lang w:val="en-US"/>
        </w:rPr>
        <w:drawing>
          <wp:anchor distT="0" distB="0" distL="114300" distR="114300" simplePos="0" relativeHeight="251663360" behindDoc="1" locked="0" layoutInCell="1" allowOverlap="1" wp14:anchorId="10A0A17A" wp14:editId="6E2224E1">
            <wp:simplePos x="0" y="0"/>
            <wp:positionH relativeFrom="margin">
              <wp:align>center</wp:align>
            </wp:positionH>
            <wp:positionV relativeFrom="paragraph">
              <wp:posOffset>-333375</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 xml:space="preserve">                                                          </w:t>
      </w:r>
    </w:p>
    <w:p w14:paraId="53AF9003" w14:textId="77777777" w:rsidR="005447FE" w:rsidRDefault="005447FE" w:rsidP="005447FE">
      <w:pPr>
        <w:tabs>
          <w:tab w:val="left" w:pos="180"/>
          <w:tab w:val="left" w:pos="630"/>
          <w:tab w:val="center" w:pos="4680"/>
        </w:tabs>
        <w:rPr>
          <w:rFonts w:ascii="Times New Roman" w:hAnsi="Times New Roman" w:cs="Times New Roman"/>
          <w:b/>
          <w:bCs/>
        </w:rPr>
      </w:pPr>
      <w:r>
        <w:rPr>
          <w:rFonts w:ascii="Times New Roman" w:hAnsi="Times New Roman" w:cs="Times New Roman"/>
          <w:b/>
          <w:bCs/>
        </w:rPr>
        <w:t xml:space="preserve">                                                        </w:t>
      </w:r>
    </w:p>
    <w:p w14:paraId="2BB159E9" w14:textId="77777777" w:rsidR="005447FE" w:rsidRDefault="005447FE" w:rsidP="005447FE">
      <w:pPr>
        <w:tabs>
          <w:tab w:val="left" w:pos="180"/>
          <w:tab w:val="left" w:pos="630"/>
          <w:tab w:val="center" w:pos="4680"/>
        </w:tabs>
        <w:rPr>
          <w:rFonts w:ascii="Times New Roman" w:hAnsi="Times New Roman" w:cs="Times New Roman"/>
          <w:b/>
          <w:bCs/>
        </w:rPr>
      </w:pPr>
    </w:p>
    <w:p w14:paraId="4DD2F9B7" w14:textId="77777777" w:rsidR="005447FE" w:rsidRDefault="005447FE" w:rsidP="005447FE">
      <w:pPr>
        <w:tabs>
          <w:tab w:val="left" w:pos="180"/>
          <w:tab w:val="left" w:pos="630"/>
          <w:tab w:val="center" w:pos="4680"/>
        </w:tabs>
        <w:rPr>
          <w:rFonts w:ascii="Times New Roman" w:hAnsi="Times New Roman" w:cs="Times New Roman"/>
          <w:b/>
          <w:bCs/>
        </w:rPr>
      </w:pPr>
    </w:p>
    <w:p w14:paraId="6291C23A" w14:textId="2EEDC25A" w:rsidR="005447FE" w:rsidRPr="001769B0" w:rsidRDefault="005447FE" w:rsidP="005447FE">
      <w:pPr>
        <w:tabs>
          <w:tab w:val="left" w:pos="180"/>
          <w:tab w:val="left" w:pos="630"/>
          <w:tab w:val="center" w:pos="4680"/>
        </w:tabs>
        <w:rPr>
          <w:rFonts w:ascii="Times New Roman" w:eastAsia="Batang" w:hAnsi="Times New Roman" w:cs="Times New Roman"/>
          <w:b/>
          <w:bCs/>
        </w:rPr>
      </w:pPr>
      <w:r>
        <w:rPr>
          <w:rFonts w:ascii="Times New Roman" w:hAnsi="Times New Roman" w:cs="Times New Roman"/>
          <w:b/>
          <w:bCs/>
        </w:rPr>
        <w:t xml:space="preserve">                                                            </w:t>
      </w:r>
      <w:r w:rsidRPr="005447FE">
        <w:rPr>
          <w:rFonts w:ascii="Times New Roman" w:hAnsi="Times New Roman" w:cs="Times New Roman"/>
          <w:b/>
          <w:bCs/>
          <w:sz w:val="20"/>
        </w:rPr>
        <w:t>Republika e Kosovës</w:t>
      </w:r>
    </w:p>
    <w:p w14:paraId="0CD523C9" w14:textId="77777777" w:rsidR="005447FE" w:rsidRPr="001769B0" w:rsidRDefault="005447FE" w:rsidP="005447FE">
      <w:pPr>
        <w:tabs>
          <w:tab w:val="left" w:pos="180"/>
        </w:tabs>
        <w:jc w:val="center"/>
        <w:rPr>
          <w:rFonts w:ascii="Times New Roman" w:eastAsia="MS Mincho" w:hAnsi="Times New Roman" w:cs="Times New Roman"/>
          <w:b/>
          <w:bCs/>
          <w:sz w:val="20"/>
          <w:szCs w:val="20"/>
        </w:rPr>
      </w:pPr>
      <w:r w:rsidRPr="001769B0">
        <w:rPr>
          <w:rFonts w:ascii="Times New Roman" w:eastAsia="Batang" w:hAnsi="Times New Roman" w:cs="Times New Roman"/>
          <w:b/>
          <w:bCs/>
          <w:sz w:val="20"/>
          <w:szCs w:val="20"/>
        </w:rPr>
        <w:t>Republika Kosova-</w:t>
      </w:r>
      <w:r w:rsidRPr="001769B0">
        <w:rPr>
          <w:rFonts w:ascii="Times New Roman" w:hAnsi="Times New Roman" w:cs="Times New Roman"/>
          <w:b/>
          <w:bCs/>
          <w:sz w:val="20"/>
          <w:szCs w:val="20"/>
        </w:rPr>
        <w:t>Republic of Kosovo</w:t>
      </w:r>
    </w:p>
    <w:p w14:paraId="67CA7B08" w14:textId="77777777" w:rsidR="005447FE" w:rsidRPr="001769B0" w:rsidRDefault="005447FE" w:rsidP="005447FE">
      <w:pPr>
        <w:tabs>
          <w:tab w:val="left" w:pos="180"/>
        </w:tabs>
        <w:jc w:val="center"/>
        <w:rPr>
          <w:rFonts w:ascii="Times New Roman" w:hAnsi="Times New Roman" w:cs="Times New Roman"/>
          <w:b/>
          <w:bCs/>
          <w:i/>
          <w:iCs/>
        </w:rPr>
      </w:pPr>
      <w:r w:rsidRPr="005447FE">
        <w:rPr>
          <w:rFonts w:ascii="Times New Roman" w:hAnsi="Times New Roman" w:cs="Times New Roman"/>
          <w:b/>
          <w:bCs/>
          <w:i/>
          <w:iCs/>
          <w:sz w:val="20"/>
        </w:rPr>
        <w:t>Qeveria</w:t>
      </w:r>
      <w:r w:rsidRPr="001769B0">
        <w:rPr>
          <w:rFonts w:ascii="Times New Roman" w:hAnsi="Times New Roman" w:cs="Times New Roman"/>
          <w:b/>
          <w:bCs/>
          <w:i/>
          <w:iCs/>
          <w:sz w:val="20"/>
          <w:szCs w:val="20"/>
        </w:rPr>
        <w:t>–Vlada-Government</w:t>
      </w:r>
    </w:p>
    <w:p w14:paraId="5DDED7C4" w14:textId="77777777" w:rsidR="005447FE" w:rsidRPr="001769B0" w:rsidRDefault="005447FE" w:rsidP="005447FE">
      <w:pPr>
        <w:tabs>
          <w:tab w:val="left" w:pos="180"/>
        </w:tabs>
        <w:jc w:val="center"/>
        <w:rPr>
          <w:rFonts w:ascii="Times New Roman" w:hAnsi="Times New Roman" w:cs="Times New Roman"/>
          <w:b/>
          <w:bCs/>
          <w:i/>
          <w:iCs/>
          <w:sz w:val="20"/>
          <w:szCs w:val="20"/>
        </w:rPr>
      </w:pPr>
      <w:r w:rsidRPr="005447FE">
        <w:rPr>
          <w:rFonts w:ascii="Times New Roman" w:hAnsi="Times New Roman" w:cs="Times New Roman"/>
          <w:b/>
          <w:bCs/>
          <w:i/>
          <w:iCs/>
          <w:sz w:val="20"/>
        </w:rPr>
        <w:t xml:space="preserve">Ministria e Zhvillimit Ekonomik </w:t>
      </w:r>
      <w:r w:rsidRPr="001769B0">
        <w:rPr>
          <w:rFonts w:ascii="Times New Roman" w:hAnsi="Times New Roman" w:cs="Times New Roman"/>
          <w:b/>
          <w:bCs/>
          <w:i/>
          <w:iCs/>
        </w:rPr>
        <w:t xml:space="preserve">- </w:t>
      </w:r>
      <w:r w:rsidRPr="001769B0">
        <w:rPr>
          <w:rFonts w:ascii="Times New Roman" w:hAnsi="Times New Roman" w:cs="Times New Roman"/>
          <w:b/>
          <w:bCs/>
          <w:i/>
          <w:iCs/>
          <w:sz w:val="20"/>
          <w:szCs w:val="20"/>
        </w:rPr>
        <w:t>Ministarstvo Ekonomskog Razvoja</w:t>
      </w:r>
    </w:p>
    <w:p w14:paraId="49086FB1" w14:textId="7245BED9" w:rsidR="005447FE" w:rsidRPr="001769B0" w:rsidRDefault="005447FE" w:rsidP="005447FE">
      <w:pPr>
        <w:tabs>
          <w:tab w:val="left" w:pos="180"/>
        </w:tabs>
        <w:jc w:val="center"/>
        <w:rPr>
          <w:rFonts w:ascii="Times New Roman" w:hAnsi="Times New Roman" w:cs="Times New Roman"/>
          <w:b/>
          <w:bCs/>
          <w:i/>
          <w:iCs/>
          <w:sz w:val="20"/>
          <w:szCs w:val="20"/>
        </w:rPr>
      </w:pPr>
      <w:r>
        <w:rPr>
          <w:rFonts w:ascii="Times New Roman" w:hAnsi="Times New Roman" w:cs="Times New Roman"/>
          <w:b/>
          <w:bCs/>
          <w:i/>
          <w:iCs/>
          <w:sz w:val="20"/>
          <w:szCs w:val="20"/>
        </w:rPr>
        <w:t>-</w:t>
      </w:r>
      <w:r w:rsidRPr="001769B0">
        <w:rPr>
          <w:rFonts w:ascii="Times New Roman" w:hAnsi="Times New Roman" w:cs="Times New Roman"/>
          <w:b/>
          <w:bCs/>
          <w:i/>
          <w:iCs/>
          <w:sz w:val="20"/>
          <w:szCs w:val="20"/>
        </w:rPr>
        <w:t xml:space="preserve"> Ministry of Economic Development</w:t>
      </w:r>
    </w:p>
    <w:p w14:paraId="6883FD00" w14:textId="77777777" w:rsidR="001769B0" w:rsidRPr="001769B0" w:rsidRDefault="001769B0" w:rsidP="00412B69">
      <w:pPr>
        <w:jc w:val="center"/>
        <w:rPr>
          <w:rFonts w:ascii="Times New Roman" w:eastAsia="MS Mincho" w:hAnsi="Times New Roman" w:cs="Times New Roman"/>
          <w:b/>
          <w:noProof/>
          <w:sz w:val="22"/>
          <w:szCs w:val="22"/>
          <w:lang w:val="en-US"/>
        </w:rPr>
      </w:pPr>
    </w:p>
    <w:p w14:paraId="2A8DD8DF" w14:textId="77777777" w:rsidR="001769B0" w:rsidRPr="001769B0" w:rsidRDefault="001769B0" w:rsidP="00412B69">
      <w:pPr>
        <w:jc w:val="center"/>
        <w:rPr>
          <w:rFonts w:ascii="Times New Roman" w:eastAsia="MS Mincho" w:hAnsi="Times New Roman" w:cs="Times New Roman"/>
          <w:b/>
          <w:noProof/>
          <w:sz w:val="22"/>
          <w:szCs w:val="22"/>
          <w:lang w:val="en-US"/>
        </w:rPr>
      </w:pPr>
    </w:p>
    <w:p w14:paraId="1CBC0EE4" w14:textId="4092D52E" w:rsidR="00412B69" w:rsidRPr="001769B0" w:rsidRDefault="00412B69" w:rsidP="00412B69">
      <w:pPr>
        <w:jc w:val="center"/>
        <w:rPr>
          <w:rFonts w:ascii="Times New Roman" w:eastAsia="MS Mincho" w:hAnsi="Times New Roman" w:cs="Times New Roman"/>
          <w:b/>
          <w:noProof/>
          <w:sz w:val="22"/>
          <w:szCs w:val="22"/>
          <w:lang w:val="sr-Latn-CS"/>
        </w:rPr>
      </w:pPr>
      <w:r w:rsidRPr="001769B0">
        <w:rPr>
          <w:rFonts w:ascii="Times New Roman" w:eastAsia="MS Mincho" w:hAnsi="Times New Roman" w:cs="Times New Roman"/>
          <w:b/>
          <w:noProof/>
          <w:sz w:val="22"/>
          <w:szCs w:val="22"/>
          <w:lang w:val="sr-Latn-CS"/>
        </w:rPr>
        <w:t xml:space="preserve">IZVEŠTAJ SA PROCESA JAVNIH KONSULTACIJA SA JAVNOŠĆU O </w:t>
      </w:r>
    </w:p>
    <w:p w14:paraId="7593F054" w14:textId="77777777" w:rsidR="00412B69" w:rsidRPr="001769B0" w:rsidRDefault="00412B69" w:rsidP="00412B69">
      <w:pPr>
        <w:jc w:val="center"/>
        <w:rPr>
          <w:rFonts w:ascii="Times New Roman" w:eastAsia="Times New Roman" w:hAnsi="Times New Roman" w:cs="Times New Roman"/>
          <w:b/>
          <w:bCs/>
          <w:lang w:val="sr-Latn-CS"/>
        </w:rPr>
      </w:pPr>
      <w:r w:rsidRPr="001769B0">
        <w:rPr>
          <w:rFonts w:ascii="Times New Roman" w:eastAsia="Times New Roman" w:hAnsi="Times New Roman" w:cs="Times New Roman"/>
          <w:b/>
          <w:bCs/>
          <w:sz w:val="22"/>
          <w:szCs w:val="22"/>
          <w:lang w:val="sq-AL"/>
        </w:rPr>
        <w:t>NACRTU ADMINISTRATIVNOG UPUTSTVA (VRK) – BR. XX/2017 O OPŠTINSKIM KANCELARIJAMA ZA ENERGETIKU</w:t>
      </w:r>
      <w:r w:rsidRPr="001769B0">
        <w:rPr>
          <w:rFonts w:ascii="Times New Roman" w:eastAsia="Times New Roman" w:hAnsi="Times New Roman" w:cs="Times New Roman"/>
          <w:b/>
          <w:bCs/>
          <w:lang w:val="sq-AL"/>
        </w:rPr>
        <w:t xml:space="preserve"> </w:t>
      </w:r>
    </w:p>
    <w:p w14:paraId="4777CCDD" w14:textId="77777777" w:rsidR="00412B69" w:rsidRPr="001769B0" w:rsidRDefault="00412B69" w:rsidP="00412B69">
      <w:pPr>
        <w:widowControl w:val="0"/>
        <w:autoSpaceDE w:val="0"/>
        <w:autoSpaceDN w:val="0"/>
        <w:adjustRightInd w:val="0"/>
        <w:spacing w:line="276" w:lineRule="auto"/>
        <w:ind w:right="175"/>
        <w:jc w:val="center"/>
        <w:rPr>
          <w:rFonts w:ascii="Times New Roman" w:eastAsia="MS Mincho" w:hAnsi="Times New Roman" w:cs="Times New Roman"/>
          <w:noProof/>
          <w:sz w:val="22"/>
          <w:szCs w:val="22"/>
          <w:lang w:val="sr-Latn-CS"/>
        </w:rPr>
      </w:pPr>
    </w:p>
    <w:p w14:paraId="59FB07FC" w14:textId="77777777" w:rsidR="00412B69" w:rsidRPr="001769B0" w:rsidRDefault="00412B69" w:rsidP="00412B69">
      <w:pPr>
        <w:widowControl w:val="0"/>
        <w:autoSpaceDE w:val="0"/>
        <w:autoSpaceDN w:val="0"/>
        <w:adjustRightInd w:val="0"/>
        <w:spacing w:line="276" w:lineRule="auto"/>
        <w:ind w:right="175"/>
        <w:jc w:val="center"/>
        <w:rPr>
          <w:rFonts w:ascii="Times New Roman" w:hAnsi="Times New Roman" w:cs="Times New Roman"/>
          <w:b/>
          <w:lang w:val="sr-Latn-CS"/>
        </w:rPr>
      </w:pPr>
    </w:p>
    <w:p w14:paraId="0E6E3640" w14:textId="77777777" w:rsidR="00412B69" w:rsidRPr="001769B0" w:rsidRDefault="00412B69" w:rsidP="00412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sr-Latn-CS"/>
        </w:rPr>
      </w:pPr>
    </w:p>
    <w:p w14:paraId="3523F7B6" w14:textId="77777777" w:rsidR="00412B69" w:rsidRPr="001769B0" w:rsidRDefault="00412B69" w:rsidP="00412B69">
      <w:pPr>
        <w:jc w:val="center"/>
        <w:rPr>
          <w:rFonts w:ascii="Times New Roman" w:hAnsi="Times New Roman" w:cs="Times New Roman"/>
          <w:b/>
          <w:lang w:val="sr-Latn-CS"/>
        </w:rPr>
      </w:pPr>
      <w:r w:rsidRPr="001769B0">
        <w:rPr>
          <w:rFonts w:ascii="Times New Roman" w:hAnsi="Times New Roman" w:cs="Times New Roman"/>
          <w:b/>
          <w:lang w:val="sr-Latn-CS"/>
        </w:rPr>
        <w:t xml:space="preserve">Uvod/sfond </w:t>
      </w:r>
    </w:p>
    <w:p w14:paraId="3FE2DF61" w14:textId="77777777" w:rsidR="00412B69" w:rsidRPr="001769B0" w:rsidRDefault="00412B69" w:rsidP="00412B69">
      <w:pPr>
        <w:jc w:val="center"/>
        <w:rPr>
          <w:rFonts w:ascii="Times New Roman" w:hAnsi="Times New Roman" w:cs="Times New Roman"/>
          <w:b/>
          <w:lang w:val="sr-Latn-CS"/>
        </w:rPr>
      </w:pPr>
    </w:p>
    <w:p w14:paraId="7DA0530B" w14:textId="77777777" w:rsidR="00412B69" w:rsidRPr="001769B0" w:rsidRDefault="00412B69" w:rsidP="00412B69">
      <w:pPr>
        <w:pStyle w:val="BodyText2"/>
        <w:spacing w:line="240" w:lineRule="auto"/>
        <w:jc w:val="both"/>
        <w:rPr>
          <w:rFonts w:ascii="Times New Roman" w:hAnsi="Times New Roman"/>
          <w:lang w:val="sr-Latn-CS"/>
        </w:rPr>
      </w:pPr>
      <w:r w:rsidRPr="001769B0">
        <w:rPr>
          <w:rFonts w:ascii="Times New Roman" w:hAnsi="Times New Roman"/>
          <w:lang w:val="sr-Latn-CS" w:eastAsia="ja-JP"/>
        </w:rPr>
        <w:t xml:space="preserve">Ovaj nacrt Administrativnog uputstva ima za cilj organizovanje i utvrđivanje dužnosti i odgovornosti opštinskih kancelarija za energetiku u opštinama Republike Kosovo za rešavanje pitanja u planiranju, sprovođenju i praćenju energetskih politika na lokalnom nivou. </w:t>
      </w:r>
    </w:p>
    <w:p w14:paraId="0A9EBFCA" w14:textId="77777777" w:rsidR="00412B69" w:rsidRPr="001769B0" w:rsidRDefault="00412B69" w:rsidP="00412B69">
      <w:pPr>
        <w:pStyle w:val="ListParagraph"/>
        <w:tabs>
          <w:tab w:val="left" w:pos="180"/>
        </w:tabs>
        <w:spacing w:before="240"/>
        <w:ind w:left="0"/>
        <w:jc w:val="both"/>
        <w:rPr>
          <w:rFonts w:ascii="Times New Roman" w:hAnsi="Times New Roman"/>
          <w:sz w:val="24"/>
          <w:lang w:val="sr-Latn-CS"/>
        </w:rPr>
      </w:pPr>
      <w:r w:rsidRPr="001769B0">
        <w:rPr>
          <w:rFonts w:ascii="Times New Roman" w:hAnsi="Times New Roman"/>
          <w:sz w:val="24"/>
          <w:lang w:val="sr-Latn-CS"/>
        </w:rPr>
        <w:t xml:space="preserve">Izrada projekta Administrativnog uputstva je urađena od strane radne grupe na čelu sa odeljenjem za energetiku odnosno divizije za energetske politike MER-a gde su učestvovali i predstavnici pravnog odeljenja, predstavnici odeljenja za obnovljive izvore energije, efikasnosti i kogeneraciju, predstavnici finansijskog odeljenja i opštih poslova, predstavnici Kosovske agencije za energetsku efikasnost, predstavnici Zajednice opština, predstavnici Ministarstva finansija, predstavnici Ministarstva za lokalnu samoupravu. </w:t>
      </w:r>
    </w:p>
    <w:p w14:paraId="0730665A" w14:textId="77777777" w:rsidR="00412B69" w:rsidRPr="001769B0" w:rsidRDefault="00412B69" w:rsidP="00412B69">
      <w:pPr>
        <w:pStyle w:val="ListParagraph"/>
        <w:tabs>
          <w:tab w:val="left" w:pos="180"/>
        </w:tabs>
        <w:spacing w:before="240"/>
        <w:ind w:left="0"/>
        <w:jc w:val="both"/>
        <w:rPr>
          <w:rFonts w:ascii="Times New Roman" w:hAnsi="Times New Roman"/>
          <w:sz w:val="24"/>
          <w:lang w:val="sr-Latn-CS"/>
        </w:rPr>
      </w:pPr>
      <w:r w:rsidRPr="001769B0">
        <w:rPr>
          <w:rFonts w:ascii="Times New Roman" w:hAnsi="Times New Roman"/>
          <w:sz w:val="24"/>
          <w:lang w:val="sr-Latn-CS"/>
        </w:rPr>
        <w:t xml:space="preserve">Nakon izrade projekta Administrativnog uputstva, nacrt je upućen na komentarisanje, primedbe ili sugestije svim relevantnim institucijama i agencijama Republike Kosovo. Nacrt Administrativnog uputstva je upućen na javnu konsultaciju i svim drugim identifikovanim zainteresovanim stranama u saradnji sa Pravnim odeljenjem. Konsultacije o Nacrtu Administrativnog </w:t>
      </w:r>
      <w:r w:rsidRPr="001769B0">
        <w:rPr>
          <w:rFonts w:ascii="Times New Roman" w:hAnsi="Times New Roman"/>
          <w:sz w:val="24"/>
          <w:lang w:val="sr-Latn-CS"/>
        </w:rPr>
        <w:lastRenderedPageBreak/>
        <w:t xml:space="preserve">uputstva su obavljene u skladu sa Pravilnikom br.05/2016 o minimalnim standardima za proces javnih konsultacija. </w:t>
      </w:r>
    </w:p>
    <w:p w14:paraId="66D3467C" w14:textId="77777777" w:rsidR="00412B69" w:rsidRPr="001769B0" w:rsidRDefault="00412B69" w:rsidP="00412B69">
      <w:pPr>
        <w:pStyle w:val="ListParagraph"/>
        <w:tabs>
          <w:tab w:val="left" w:pos="180"/>
        </w:tabs>
        <w:spacing w:before="240"/>
        <w:ind w:left="0"/>
        <w:jc w:val="both"/>
        <w:rPr>
          <w:rFonts w:ascii="Times New Roman" w:hAnsi="Times New Roman"/>
          <w:sz w:val="24"/>
          <w:lang w:val="sr-Latn-CS"/>
        </w:rPr>
      </w:pPr>
    </w:p>
    <w:p w14:paraId="5244014D" w14:textId="77777777" w:rsidR="00412B69" w:rsidRPr="001769B0" w:rsidRDefault="00412B69" w:rsidP="00412B69">
      <w:pPr>
        <w:jc w:val="center"/>
        <w:rPr>
          <w:rFonts w:ascii="Times New Roman" w:hAnsi="Times New Roman" w:cs="Times New Roman"/>
          <w:b/>
          <w:lang w:val="sr-Latn-CS"/>
        </w:rPr>
      </w:pPr>
      <w:r w:rsidRPr="001769B0">
        <w:rPr>
          <w:rFonts w:ascii="Times New Roman" w:hAnsi="Times New Roman" w:cs="Times New Roman"/>
          <w:b/>
          <w:lang w:val="sr-Latn-CS"/>
        </w:rPr>
        <w:t>Tok procesa konsultacija</w:t>
      </w:r>
    </w:p>
    <w:p w14:paraId="15F2C34A" w14:textId="77777777" w:rsidR="00412B69" w:rsidRPr="001769B0" w:rsidRDefault="00412B69" w:rsidP="00412B69">
      <w:pPr>
        <w:pStyle w:val="ListParagraph"/>
        <w:tabs>
          <w:tab w:val="left" w:pos="180"/>
        </w:tabs>
        <w:spacing w:before="240"/>
        <w:ind w:left="0"/>
        <w:jc w:val="both"/>
        <w:rPr>
          <w:rFonts w:ascii="Times New Roman" w:hAnsi="Times New Roman"/>
          <w:sz w:val="24"/>
          <w:lang w:val="sr-Latn-CS"/>
        </w:rPr>
      </w:pPr>
      <w:r w:rsidRPr="001769B0">
        <w:rPr>
          <w:rFonts w:ascii="Times New Roman" w:hAnsi="Times New Roman"/>
          <w:sz w:val="24"/>
          <w:lang w:val="sr-Latn-CS" w:eastAsia="ja-JP"/>
        </w:rPr>
        <w:t>Nacrt Administrativnog uputstva o opštinskim kancelarijama za energetiku je stavljen na javnu konsultaciju na elektronskoj platformi dana</w:t>
      </w:r>
      <w:r w:rsidRPr="001769B0">
        <w:rPr>
          <w:rFonts w:ascii="Times New Roman" w:hAnsi="Times New Roman"/>
          <w:sz w:val="24"/>
          <w:lang w:val="sr-Latn-CS"/>
        </w:rPr>
        <w:t xml:space="preserve"> 19. aprila 2017. godine i bio je otvoren za komentare sve do 11. maja 2017. godine. Projekat Administrativnog uputstva je e-mail-om upućen i identifikovanim zainteresovanim stranama za preliminarnu konsultaciju. </w:t>
      </w:r>
    </w:p>
    <w:p w14:paraId="1D3A98F8" w14:textId="77777777" w:rsidR="00412B69" w:rsidRPr="001769B0" w:rsidRDefault="00412B69" w:rsidP="00412B69">
      <w:pPr>
        <w:pStyle w:val="ListParagraph"/>
        <w:tabs>
          <w:tab w:val="left" w:pos="180"/>
        </w:tabs>
        <w:spacing w:before="240"/>
        <w:ind w:left="0"/>
        <w:jc w:val="both"/>
        <w:rPr>
          <w:rFonts w:ascii="Times New Roman" w:hAnsi="Times New Roman"/>
          <w:sz w:val="24"/>
          <w:lang w:val="sr-Latn-CS"/>
        </w:rPr>
      </w:pPr>
      <w:r w:rsidRPr="001769B0">
        <w:rPr>
          <w:rFonts w:ascii="Times New Roman" w:hAnsi="Times New Roman"/>
          <w:sz w:val="24"/>
          <w:lang w:val="sr-Latn-CS"/>
        </w:rPr>
        <w:t xml:space="preserve">Zainteresovane strane su u saradnji sa pravnim odeljenjem i koristeći tradiciju saradnje koja je uspostavljena tokom sličnih procesa u prošlosti, koje je MER imao.  </w:t>
      </w:r>
    </w:p>
    <w:p w14:paraId="6C0B2693" w14:textId="77777777" w:rsidR="00412B69" w:rsidRPr="001769B0" w:rsidRDefault="00412B69" w:rsidP="00412B69">
      <w:pPr>
        <w:jc w:val="both"/>
        <w:rPr>
          <w:rFonts w:ascii="Times New Roman" w:hAnsi="Times New Roman" w:cs="Times New Roman"/>
          <w:i/>
          <w:lang w:val="sr-Latn-CS"/>
        </w:rPr>
      </w:pPr>
    </w:p>
    <w:p w14:paraId="02D3D65C" w14:textId="77777777" w:rsidR="00412B69" w:rsidRPr="001769B0" w:rsidRDefault="00412B69" w:rsidP="00412B69">
      <w:pPr>
        <w:jc w:val="both"/>
        <w:rPr>
          <w:rFonts w:ascii="Times New Roman" w:hAnsi="Times New Roman" w:cs="Times New Roman"/>
          <w:i/>
          <w:lang w:val="sr-Latn-CS"/>
        </w:rPr>
      </w:pPr>
    </w:p>
    <w:tbl>
      <w:tblPr>
        <w:tblStyle w:val="GridTable1Light-Accent51"/>
        <w:tblW w:w="0" w:type="auto"/>
        <w:tblLook w:val="04A0" w:firstRow="1" w:lastRow="0" w:firstColumn="1" w:lastColumn="0" w:noHBand="0" w:noVBand="1"/>
      </w:tblPr>
      <w:tblGrid>
        <w:gridCol w:w="3823"/>
        <w:gridCol w:w="2483"/>
        <w:gridCol w:w="3044"/>
      </w:tblGrid>
      <w:tr w:rsidR="00412B69" w:rsidRPr="001769B0" w14:paraId="7C1E416D" w14:textId="77777777" w:rsidTr="00FA0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13D32BC4" w14:textId="77777777" w:rsidR="00412B69" w:rsidRPr="001769B0" w:rsidRDefault="00412B69" w:rsidP="00FA0D8C">
            <w:pPr>
              <w:pStyle w:val="Default"/>
              <w:rPr>
                <w:color w:val="auto"/>
                <w:sz w:val="20"/>
                <w:lang w:val="sr-Latn-CS"/>
              </w:rPr>
            </w:pPr>
            <w:r w:rsidRPr="001769B0">
              <w:rPr>
                <w:color w:val="auto"/>
                <w:sz w:val="20"/>
                <w:lang w:val="sr-Latn-CS"/>
              </w:rPr>
              <w:t xml:space="preserve">Metode za konsultacije </w:t>
            </w:r>
          </w:p>
        </w:tc>
        <w:tc>
          <w:tcPr>
            <w:tcW w:w="2483" w:type="dxa"/>
            <w:shd w:val="clear" w:color="auto" w:fill="FBE4D5" w:themeFill="accent2" w:themeFillTint="33"/>
          </w:tcPr>
          <w:p w14:paraId="2742B55B" w14:textId="77777777" w:rsidR="00412B69" w:rsidRPr="001769B0" w:rsidRDefault="00412B69" w:rsidP="00FA0D8C">
            <w:pPr>
              <w:pStyle w:val="Default"/>
              <w:cnfStyle w:val="100000000000" w:firstRow="1" w:lastRow="0" w:firstColumn="0" w:lastColumn="0" w:oddVBand="0" w:evenVBand="0" w:oddHBand="0" w:evenHBand="0" w:firstRowFirstColumn="0" w:firstRowLastColumn="0" w:lastRowFirstColumn="0" w:lastRowLastColumn="0"/>
              <w:rPr>
                <w:color w:val="auto"/>
                <w:sz w:val="20"/>
                <w:lang w:val="sr-Latn-CS"/>
              </w:rPr>
            </w:pPr>
            <w:r w:rsidRPr="001769B0">
              <w:rPr>
                <w:color w:val="auto"/>
                <w:sz w:val="20"/>
                <w:lang w:val="sr-Latn-CS"/>
              </w:rPr>
              <w:t>Datumi/trajanje</w:t>
            </w:r>
          </w:p>
        </w:tc>
        <w:tc>
          <w:tcPr>
            <w:tcW w:w="3044" w:type="dxa"/>
            <w:shd w:val="clear" w:color="auto" w:fill="FBE4D5" w:themeFill="accent2" w:themeFillTint="33"/>
          </w:tcPr>
          <w:p w14:paraId="4534228C" w14:textId="77777777" w:rsidR="00412B69" w:rsidRPr="001769B0" w:rsidRDefault="00412B69" w:rsidP="00FA0D8C">
            <w:pPr>
              <w:pStyle w:val="Default"/>
              <w:cnfStyle w:val="100000000000" w:firstRow="1" w:lastRow="0" w:firstColumn="0" w:lastColumn="0" w:oddVBand="0" w:evenVBand="0" w:oddHBand="0" w:evenHBand="0" w:firstRowFirstColumn="0" w:firstRowLastColumn="0" w:lastRowFirstColumn="0" w:lastRowLastColumn="0"/>
              <w:rPr>
                <w:color w:val="auto"/>
                <w:sz w:val="20"/>
                <w:lang w:val="sr-Latn-CS"/>
              </w:rPr>
            </w:pPr>
            <w:r w:rsidRPr="001769B0">
              <w:rPr>
                <w:color w:val="auto"/>
                <w:sz w:val="20"/>
                <w:lang w:val="sr-Latn-CS"/>
              </w:rPr>
              <w:t>Broj učesnika/doprinosioca</w:t>
            </w:r>
          </w:p>
        </w:tc>
      </w:tr>
      <w:tr w:rsidR="00412B69" w:rsidRPr="001769B0" w14:paraId="0AB4C616" w14:textId="77777777" w:rsidTr="00FA0D8C">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2FC0FA5E" w14:textId="77777777" w:rsidR="00412B69" w:rsidRPr="001769B0" w:rsidRDefault="00412B69" w:rsidP="00412B69">
            <w:pPr>
              <w:pStyle w:val="Default"/>
              <w:numPr>
                <w:ilvl w:val="0"/>
                <w:numId w:val="13"/>
              </w:numPr>
              <w:rPr>
                <w:b w:val="0"/>
                <w:sz w:val="21"/>
                <w:szCs w:val="23"/>
                <w:lang w:val="sr-Latn-CS"/>
              </w:rPr>
            </w:pPr>
            <w:r w:rsidRPr="001769B0">
              <w:rPr>
                <w:b w:val="0"/>
                <w:sz w:val="21"/>
                <w:szCs w:val="23"/>
                <w:lang w:val="sr-Latn-CS"/>
              </w:rPr>
              <w:t>Pismene konsultacije/elektronskim putem</w:t>
            </w:r>
          </w:p>
        </w:tc>
        <w:tc>
          <w:tcPr>
            <w:tcW w:w="2483" w:type="dxa"/>
          </w:tcPr>
          <w:p w14:paraId="1951C716"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15 radnih dana</w:t>
            </w:r>
          </w:p>
        </w:tc>
        <w:tc>
          <w:tcPr>
            <w:tcW w:w="3044" w:type="dxa"/>
          </w:tcPr>
          <w:p w14:paraId="714F4FC9"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22</w:t>
            </w:r>
          </w:p>
        </w:tc>
      </w:tr>
      <w:tr w:rsidR="00412B69" w:rsidRPr="001769B0" w14:paraId="2BACE4A9" w14:textId="77777777" w:rsidTr="00FA0D8C">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41FFB67" w14:textId="77777777" w:rsidR="00412B69" w:rsidRPr="001769B0" w:rsidRDefault="00412B69" w:rsidP="00412B69">
            <w:pPr>
              <w:pStyle w:val="Default"/>
              <w:numPr>
                <w:ilvl w:val="0"/>
                <w:numId w:val="13"/>
              </w:numPr>
              <w:ind w:left="454"/>
              <w:rPr>
                <w:b w:val="0"/>
                <w:color w:val="auto"/>
                <w:sz w:val="21"/>
                <w:lang w:val="sr-Latn-CS"/>
              </w:rPr>
            </w:pPr>
            <w:r w:rsidRPr="001769B0">
              <w:rPr>
                <w:b w:val="0"/>
                <w:sz w:val="21"/>
                <w:szCs w:val="23"/>
                <w:lang w:val="sr-Latn-CS"/>
              </w:rPr>
              <w:t>Publikacije na veb stranici/elektronska platforma</w:t>
            </w:r>
          </w:p>
        </w:tc>
        <w:tc>
          <w:tcPr>
            <w:tcW w:w="2483" w:type="dxa"/>
          </w:tcPr>
          <w:p w14:paraId="69FC8E35"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15 radnih dana</w:t>
            </w:r>
          </w:p>
        </w:tc>
        <w:tc>
          <w:tcPr>
            <w:tcW w:w="3044" w:type="dxa"/>
          </w:tcPr>
          <w:p w14:paraId="18E887C2"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0</w:t>
            </w:r>
          </w:p>
        </w:tc>
      </w:tr>
      <w:tr w:rsidR="00412B69" w:rsidRPr="001769B0" w14:paraId="183A53F3" w14:textId="77777777" w:rsidTr="00FA0D8C">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22CCF04D" w14:textId="77777777" w:rsidR="00412B69" w:rsidRPr="001769B0" w:rsidRDefault="00412B69" w:rsidP="00412B69">
            <w:pPr>
              <w:pStyle w:val="Default"/>
              <w:numPr>
                <w:ilvl w:val="0"/>
                <w:numId w:val="13"/>
              </w:numPr>
              <w:ind w:left="454"/>
              <w:rPr>
                <w:b w:val="0"/>
                <w:color w:val="auto"/>
                <w:sz w:val="21"/>
                <w:lang w:val="sr-Latn-CS"/>
              </w:rPr>
            </w:pPr>
            <w:r w:rsidRPr="001769B0">
              <w:rPr>
                <w:b w:val="0"/>
                <w:sz w:val="21"/>
                <w:szCs w:val="23"/>
                <w:lang w:val="sr-Latn-CS"/>
              </w:rPr>
              <w:t>Sastanci sa zainteresovanim stranama</w:t>
            </w:r>
          </w:p>
        </w:tc>
        <w:tc>
          <w:tcPr>
            <w:tcW w:w="2483" w:type="dxa"/>
          </w:tcPr>
          <w:p w14:paraId="2B2B89B3"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0</w:t>
            </w:r>
          </w:p>
        </w:tc>
        <w:tc>
          <w:tcPr>
            <w:tcW w:w="3044" w:type="dxa"/>
          </w:tcPr>
          <w:p w14:paraId="404E55B2" w14:textId="77777777" w:rsidR="00412B69" w:rsidRPr="001769B0" w:rsidRDefault="00412B69" w:rsidP="00FA0D8C">
            <w:pPr>
              <w:pStyle w:val="Default"/>
              <w:cnfStyle w:val="000000000000" w:firstRow="0" w:lastRow="0" w:firstColumn="0" w:lastColumn="0" w:oddVBand="0" w:evenVBand="0" w:oddHBand="0" w:evenHBand="0" w:firstRowFirstColumn="0" w:firstRowLastColumn="0" w:lastRowFirstColumn="0" w:lastRowLastColumn="0"/>
              <w:rPr>
                <w:color w:val="auto"/>
                <w:sz w:val="21"/>
                <w:lang w:val="sr-Latn-CS"/>
              </w:rPr>
            </w:pPr>
            <w:r w:rsidRPr="001769B0">
              <w:rPr>
                <w:color w:val="auto"/>
                <w:sz w:val="21"/>
                <w:lang w:val="sr-Latn-CS"/>
              </w:rPr>
              <w:t>0</w:t>
            </w:r>
          </w:p>
        </w:tc>
      </w:tr>
    </w:tbl>
    <w:p w14:paraId="10B3534B" w14:textId="77777777" w:rsidR="00412B69" w:rsidRPr="001769B0" w:rsidRDefault="00412B69" w:rsidP="00412B69">
      <w:pPr>
        <w:jc w:val="both"/>
        <w:rPr>
          <w:rFonts w:ascii="Times New Roman" w:hAnsi="Times New Roman" w:cs="Times New Roman"/>
          <w:lang w:val="sr-Latn-CS"/>
        </w:rPr>
      </w:pPr>
    </w:p>
    <w:p w14:paraId="4A8F18B2" w14:textId="77777777" w:rsidR="00412B69" w:rsidRPr="001769B0" w:rsidRDefault="00412B69" w:rsidP="00412B69">
      <w:pPr>
        <w:jc w:val="both"/>
        <w:rPr>
          <w:rFonts w:ascii="Times New Roman" w:hAnsi="Times New Roman" w:cs="Times New Roman"/>
          <w:lang w:val="sr-Latn-CS"/>
        </w:rPr>
      </w:pPr>
    </w:p>
    <w:p w14:paraId="6EB34432" w14:textId="77777777" w:rsidR="00412B69" w:rsidRPr="001769B0" w:rsidRDefault="00412B69" w:rsidP="00412B69">
      <w:pPr>
        <w:jc w:val="both"/>
        <w:rPr>
          <w:rFonts w:ascii="Times New Roman" w:hAnsi="Times New Roman" w:cs="Times New Roman"/>
          <w:lang w:val="sr-Latn-CS"/>
        </w:rPr>
      </w:pPr>
    </w:p>
    <w:p w14:paraId="6E4C22B4" w14:textId="77777777" w:rsidR="00412B69" w:rsidRPr="001769B0" w:rsidRDefault="00412B69" w:rsidP="00412B69">
      <w:pPr>
        <w:jc w:val="center"/>
        <w:rPr>
          <w:rFonts w:ascii="Times New Roman" w:hAnsi="Times New Roman" w:cs="Times New Roman"/>
          <w:b/>
          <w:lang w:val="sr-Latn-CS"/>
        </w:rPr>
      </w:pPr>
      <w:r w:rsidRPr="001769B0">
        <w:rPr>
          <w:rFonts w:ascii="Times New Roman" w:hAnsi="Times New Roman" w:cs="Times New Roman"/>
          <w:b/>
          <w:lang w:val="sr-Latn-CS"/>
        </w:rPr>
        <w:t>Rezime dobijenih doprinosa tokom procesa konsultacija</w:t>
      </w:r>
    </w:p>
    <w:p w14:paraId="79DC4CFF" w14:textId="77777777" w:rsidR="00412B69" w:rsidRPr="001769B0" w:rsidRDefault="00412B69" w:rsidP="00412B69">
      <w:pPr>
        <w:jc w:val="center"/>
        <w:rPr>
          <w:rFonts w:ascii="Times New Roman" w:hAnsi="Times New Roman" w:cs="Times New Roman"/>
          <w:b/>
          <w:lang w:val="sr-Latn-CS"/>
        </w:rPr>
      </w:pPr>
    </w:p>
    <w:p w14:paraId="1382CB59" w14:textId="77777777" w:rsidR="00412B69" w:rsidRPr="001769B0" w:rsidRDefault="00412B69" w:rsidP="00412B69">
      <w:pPr>
        <w:jc w:val="both"/>
        <w:rPr>
          <w:rFonts w:ascii="Times New Roman" w:hAnsi="Times New Roman" w:cs="Times New Roman"/>
          <w:lang w:val="sr-Latn-CS"/>
        </w:rPr>
      </w:pPr>
      <w:r w:rsidRPr="001769B0">
        <w:rPr>
          <w:rFonts w:ascii="Times New Roman" w:hAnsi="Times New Roman" w:cs="Times New Roman"/>
          <w:lang w:val="sr-Latn-CS"/>
        </w:rPr>
        <w:t xml:space="preserve">Tokom procesa prethodnih konsultacija i onih sa javnošću smo dobili komentare, primedbe i sugestije od strane zainteresovanih strana. Svi dobijeni komentari od strane različitih institucija su predstavljeni u Dodatku sa detaljnom tabelom i sa informacijama o doprinosiocima. a takođe su data i obrazloženja o primljenim i odbačenim odgovorima. </w:t>
      </w:r>
    </w:p>
    <w:p w14:paraId="1BBFE0CA" w14:textId="77777777" w:rsidR="00412B69" w:rsidRPr="001769B0" w:rsidRDefault="00412B69" w:rsidP="00412B69">
      <w:pPr>
        <w:rPr>
          <w:rFonts w:ascii="Times New Roman" w:hAnsi="Times New Roman" w:cs="Times New Roman"/>
          <w:lang w:val="sr-Latn-CS"/>
        </w:rPr>
      </w:pPr>
    </w:p>
    <w:p w14:paraId="2B1F557D" w14:textId="77777777" w:rsidR="00412B69" w:rsidRPr="001769B0" w:rsidRDefault="00412B69" w:rsidP="00412B69">
      <w:pPr>
        <w:jc w:val="both"/>
        <w:rPr>
          <w:rFonts w:ascii="Times New Roman" w:hAnsi="Times New Roman" w:cs="Times New Roman"/>
          <w:lang w:val="sr-Latn-CS"/>
        </w:rPr>
      </w:pPr>
    </w:p>
    <w:p w14:paraId="6C1F6769" w14:textId="77777777" w:rsidR="00412B69" w:rsidRPr="001769B0" w:rsidRDefault="00412B69" w:rsidP="00412B69">
      <w:pPr>
        <w:jc w:val="center"/>
        <w:rPr>
          <w:rFonts w:ascii="Times New Roman" w:hAnsi="Times New Roman" w:cs="Times New Roman"/>
          <w:b/>
          <w:lang w:val="sr-Latn-CS"/>
        </w:rPr>
      </w:pPr>
    </w:p>
    <w:p w14:paraId="0BCF2088" w14:textId="77777777" w:rsidR="00412B69" w:rsidRPr="001769B0" w:rsidRDefault="00412B69" w:rsidP="00412B69">
      <w:pPr>
        <w:jc w:val="center"/>
        <w:rPr>
          <w:rFonts w:ascii="Times New Roman" w:hAnsi="Times New Roman" w:cs="Times New Roman"/>
          <w:b/>
          <w:lang w:val="sr-Latn-CS"/>
        </w:rPr>
      </w:pPr>
      <w:r w:rsidRPr="001769B0">
        <w:rPr>
          <w:rFonts w:ascii="Times New Roman" w:hAnsi="Times New Roman" w:cs="Times New Roman"/>
          <w:b/>
          <w:lang w:val="sr-Latn-CS"/>
        </w:rPr>
        <w:t>Naredni koraci</w:t>
      </w:r>
    </w:p>
    <w:p w14:paraId="241FBEC6" w14:textId="77777777" w:rsidR="00412B69" w:rsidRPr="001769B0" w:rsidRDefault="00412B69" w:rsidP="00412B69">
      <w:pPr>
        <w:jc w:val="both"/>
        <w:rPr>
          <w:rFonts w:ascii="Times New Roman" w:hAnsi="Times New Roman" w:cs="Times New Roman"/>
          <w:lang w:val="sr-Latn-CS"/>
        </w:rPr>
      </w:pPr>
    </w:p>
    <w:p w14:paraId="70E682B3" w14:textId="77777777" w:rsidR="00412B69" w:rsidRPr="001769B0" w:rsidRDefault="00412B69" w:rsidP="00412B69">
      <w:pPr>
        <w:jc w:val="both"/>
        <w:rPr>
          <w:rFonts w:ascii="Times New Roman" w:hAnsi="Times New Roman" w:cs="Times New Roman"/>
          <w:lang w:val="sr-Latn-CS" w:eastAsia="ja-JP"/>
        </w:rPr>
      </w:pPr>
      <w:r w:rsidRPr="001769B0">
        <w:rPr>
          <w:rFonts w:ascii="Times New Roman" w:hAnsi="Times New Roman" w:cs="Times New Roman"/>
          <w:lang w:val="sr-Latn-CS" w:eastAsia="ja-JP"/>
        </w:rPr>
        <w:lastRenderedPageBreak/>
        <w:t xml:space="preserve">Projekat Administrativnog uputstva o Opštinskim kancelarijama za energetiku je završen. </w:t>
      </w:r>
    </w:p>
    <w:p w14:paraId="563105E3" w14:textId="77777777" w:rsidR="00412B69" w:rsidRPr="001769B0" w:rsidRDefault="00412B69" w:rsidP="00412B69">
      <w:pPr>
        <w:jc w:val="both"/>
        <w:rPr>
          <w:rFonts w:ascii="Times New Roman" w:hAnsi="Times New Roman" w:cs="Times New Roman"/>
          <w:lang w:val="sr-Latn-CS" w:eastAsia="ja-JP"/>
        </w:rPr>
      </w:pPr>
    </w:p>
    <w:p w14:paraId="31BBAEDB" w14:textId="77777777" w:rsidR="00412B69" w:rsidRPr="001769B0" w:rsidRDefault="00412B69" w:rsidP="00412B69">
      <w:pPr>
        <w:jc w:val="both"/>
        <w:rPr>
          <w:rFonts w:ascii="Times New Roman" w:hAnsi="Times New Roman" w:cs="Times New Roman"/>
          <w:lang w:val="sr-Latn-CS"/>
        </w:rPr>
      </w:pPr>
      <w:r w:rsidRPr="001769B0">
        <w:rPr>
          <w:rFonts w:ascii="Times New Roman" w:hAnsi="Times New Roman" w:cs="Times New Roman"/>
          <w:lang w:val="sr-Latn-CS" w:eastAsia="ja-JP"/>
        </w:rPr>
        <w:t xml:space="preserve">Ovo Administrativno uputstvu će u narednim danima biti prosleđeno Vladi na razmatranje i usvajanje a odobrava ga predsednik Vlade Republike Kosova. </w:t>
      </w:r>
    </w:p>
    <w:p w14:paraId="082FD5CA" w14:textId="77777777" w:rsidR="00412B69" w:rsidRPr="001769B0" w:rsidRDefault="00412B69" w:rsidP="00412B69">
      <w:pPr>
        <w:rPr>
          <w:rFonts w:ascii="Times New Roman" w:hAnsi="Times New Roman" w:cs="Times New Roman"/>
          <w:lang w:val="sr-Latn-CS"/>
        </w:rPr>
      </w:pPr>
    </w:p>
    <w:p w14:paraId="2E294BC6" w14:textId="77777777" w:rsidR="00412B69" w:rsidRPr="001769B0" w:rsidRDefault="00412B69" w:rsidP="00412B69">
      <w:pPr>
        <w:rPr>
          <w:rFonts w:ascii="Times New Roman" w:hAnsi="Times New Roman" w:cs="Times New Roman"/>
          <w:lang w:val="sr-Latn-CS"/>
        </w:rPr>
      </w:pPr>
    </w:p>
    <w:p w14:paraId="3BAF78EB" w14:textId="77777777" w:rsidR="00412B69" w:rsidRPr="001769B0" w:rsidRDefault="00412B69" w:rsidP="00412B69">
      <w:pPr>
        <w:rPr>
          <w:rFonts w:ascii="Times New Roman" w:hAnsi="Times New Roman" w:cs="Times New Roman"/>
          <w:lang w:val="sr-Latn-CS"/>
        </w:rPr>
      </w:pPr>
    </w:p>
    <w:p w14:paraId="430A316F" w14:textId="77777777" w:rsidR="00412B69" w:rsidRPr="001769B0" w:rsidRDefault="00412B69" w:rsidP="00412B69">
      <w:pPr>
        <w:rPr>
          <w:rFonts w:ascii="Times New Roman" w:hAnsi="Times New Roman" w:cs="Times New Roman"/>
          <w:lang w:val="sr-Latn-CS"/>
        </w:rPr>
      </w:pPr>
    </w:p>
    <w:p w14:paraId="79174A0F" w14:textId="77777777" w:rsidR="00412B69" w:rsidRPr="001769B0" w:rsidRDefault="00412B69" w:rsidP="00412B69">
      <w:pPr>
        <w:rPr>
          <w:rFonts w:ascii="Times New Roman" w:hAnsi="Times New Roman" w:cs="Times New Roman"/>
          <w:lang w:val="sr-Latn-CS"/>
        </w:rPr>
      </w:pPr>
    </w:p>
    <w:p w14:paraId="0D812062" w14:textId="77777777" w:rsidR="00412B69" w:rsidRPr="001769B0" w:rsidRDefault="00412B69" w:rsidP="00412B69">
      <w:pPr>
        <w:rPr>
          <w:rFonts w:ascii="Times New Roman" w:hAnsi="Times New Roman" w:cs="Times New Roman"/>
          <w:lang w:val="sr-Latn-CS"/>
        </w:rPr>
      </w:pPr>
    </w:p>
    <w:p w14:paraId="2DC3F7B1" w14:textId="77777777" w:rsidR="00412B69" w:rsidRPr="001769B0" w:rsidRDefault="00412B69" w:rsidP="00412B69">
      <w:pPr>
        <w:rPr>
          <w:rFonts w:ascii="Times New Roman" w:hAnsi="Times New Roman" w:cs="Times New Roman"/>
          <w:lang w:val="sr-Latn-CS"/>
        </w:rPr>
      </w:pPr>
    </w:p>
    <w:p w14:paraId="5201FB98" w14:textId="77777777" w:rsidR="00412B69" w:rsidRPr="001769B0" w:rsidRDefault="00412B69" w:rsidP="00412B69">
      <w:pPr>
        <w:rPr>
          <w:rFonts w:ascii="Times New Roman" w:hAnsi="Times New Roman" w:cs="Times New Roman"/>
          <w:lang w:val="sr-Latn-CS"/>
        </w:rPr>
      </w:pPr>
    </w:p>
    <w:p w14:paraId="311DDC33" w14:textId="77777777" w:rsidR="00412B69" w:rsidRPr="001769B0" w:rsidRDefault="00412B69" w:rsidP="00412B69">
      <w:pPr>
        <w:rPr>
          <w:rFonts w:ascii="Times New Roman" w:hAnsi="Times New Roman" w:cs="Times New Roman"/>
          <w:lang w:val="sr-Latn-CS"/>
        </w:rPr>
      </w:pPr>
    </w:p>
    <w:p w14:paraId="61954C2B" w14:textId="77777777" w:rsidR="00412B69" w:rsidRPr="001769B0" w:rsidRDefault="00412B69" w:rsidP="00412B69">
      <w:pPr>
        <w:rPr>
          <w:rFonts w:ascii="Times New Roman" w:hAnsi="Times New Roman" w:cs="Times New Roman"/>
          <w:lang w:val="sr-Latn-CS"/>
        </w:rPr>
      </w:pPr>
    </w:p>
    <w:p w14:paraId="3797FDF0" w14:textId="77777777" w:rsidR="00412B69" w:rsidRPr="001769B0" w:rsidRDefault="00412B69" w:rsidP="00412B69">
      <w:pPr>
        <w:rPr>
          <w:rFonts w:ascii="Times New Roman" w:hAnsi="Times New Roman" w:cs="Times New Roman"/>
          <w:lang w:val="sr-Latn-CS"/>
        </w:rPr>
      </w:pPr>
    </w:p>
    <w:p w14:paraId="5CF5C4BD" w14:textId="77777777" w:rsidR="00412B69" w:rsidRPr="001769B0" w:rsidRDefault="00412B69" w:rsidP="00412B69">
      <w:pPr>
        <w:rPr>
          <w:rFonts w:ascii="Times New Roman" w:hAnsi="Times New Roman" w:cs="Times New Roman"/>
          <w:lang w:val="sr-Latn-CS"/>
        </w:rPr>
      </w:pPr>
    </w:p>
    <w:p w14:paraId="5B897DB8" w14:textId="77777777" w:rsidR="00412B69" w:rsidRPr="001769B0" w:rsidRDefault="00412B69" w:rsidP="00412B69">
      <w:pPr>
        <w:rPr>
          <w:rFonts w:ascii="Times New Roman" w:hAnsi="Times New Roman" w:cs="Times New Roman"/>
          <w:lang w:val="sr-Latn-CS"/>
        </w:rPr>
      </w:pPr>
    </w:p>
    <w:p w14:paraId="44A8EDBC" w14:textId="77777777" w:rsidR="00412B69" w:rsidRPr="001769B0" w:rsidRDefault="00412B69" w:rsidP="00412B69">
      <w:pPr>
        <w:rPr>
          <w:rFonts w:ascii="Times New Roman" w:hAnsi="Times New Roman" w:cs="Times New Roman"/>
          <w:lang w:val="sr-Latn-CS"/>
        </w:rPr>
      </w:pPr>
    </w:p>
    <w:p w14:paraId="1FB522BC" w14:textId="77777777" w:rsidR="00412B69" w:rsidRPr="001769B0" w:rsidRDefault="00412B69" w:rsidP="00412B69">
      <w:pPr>
        <w:rPr>
          <w:rFonts w:ascii="Times New Roman" w:hAnsi="Times New Roman" w:cs="Times New Roman"/>
          <w:lang w:val="sr-Latn-CS"/>
        </w:rPr>
      </w:pPr>
    </w:p>
    <w:p w14:paraId="03024D2F" w14:textId="77777777" w:rsidR="00412B69" w:rsidRPr="001769B0" w:rsidRDefault="00412B69" w:rsidP="00412B69">
      <w:pPr>
        <w:rPr>
          <w:rFonts w:ascii="Times New Roman" w:hAnsi="Times New Roman" w:cs="Times New Roman"/>
          <w:lang w:val="sr-Latn-CS"/>
        </w:rPr>
      </w:pPr>
    </w:p>
    <w:p w14:paraId="0A57B11C" w14:textId="77777777" w:rsidR="00412B69" w:rsidRPr="001769B0" w:rsidRDefault="00412B69" w:rsidP="00412B69">
      <w:pPr>
        <w:rPr>
          <w:rFonts w:ascii="Times New Roman" w:hAnsi="Times New Roman" w:cs="Times New Roman"/>
          <w:lang w:val="sr-Latn-CS"/>
        </w:rPr>
      </w:pPr>
    </w:p>
    <w:p w14:paraId="61323904" w14:textId="77777777" w:rsidR="00412B69" w:rsidRPr="001769B0" w:rsidRDefault="00412B69" w:rsidP="00412B69">
      <w:pPr>
        <w:rPr>
          <w:rFonts w:ascii="Times New Roman" w:hAnsi="Times New Roman" w:cs="Times New Roman"/>
          <w:lang w:val="sr-Latn-CS"/>
        </w:rPr>
      </w:pPr>
    </w:p>
    <w:p w14:paraId="5EC247FA" w14:textId="77777777" w:rsidR="00412B69" w:rsidRPr="001769B0" w:rsidRDefault="00412B69" w:rsidP="00412B69">
      <w:pPr>
        <w:rPr>
          <w:rFonts w:ascii="Times New Roman" w:hAnsi="Times New Roman" w:cs="Times New Roman"/>
          <w:lang w:val="sr-Latn-CS"/>
        </w:rPr>
      </w:pPr>
    </w:p>
    <w:p w14:paraId="5E502433" w14:textId="77777777" w:rsidR="00412B69" w:rsidRPr="001769B0" w:rsidRDefault="00412B69" w:rsidP="00412B69">
      <w:pPr>
        <w:rPr>
          <w:rFonts w:ascii="Times New Roman" w:hAnsi="Times New Roman" w:cs="Times New Roman"/>
          <w:lang w:val="sr-Latn-CS"/>
        </w:rPr>
      </w:pPr>
    </w:p>
    <w:p w14:paraId="4389A553" w14:textId="77777777" w:rsidR="00412B69" w:rsidRPr="001769B0" w:rsidRDefault="00412B69" w:rsidP="00412B69">
      <w:pPr>
        <w:rPr>
          <w:rFonts w:ascii="Times New Roman" w:hAnsi="Times New Roman" w:cs="Times New Roman"/>
          <w:lang w:val="sr-Latn-CS"/>
        </w:rPr>
      </w:pPr>
    </w:p>
    <w:p w14:paraId="1298311B" w14:textId="77777777" w:rsidR="00412B69" w:rsidRPr="001769B0" w:rsidRDefault="00412B69" w:rsidP="00412B69">
      <w:pPr>
        <w:rPr>
          <w:rFonts w:ascii="Times New Roman" w:hAnsi="Times New Roman" w:cs="Times New Roman"/>
          <w:lang w:val="sr-Latn-CS"/>
        </w:rPr>
      </w:pPr>
    </w:p>
    <w:p w14:paraId="73A08503" w14:textId="77777777" w:rsidR="00412B69" w:rsidRPr="001769B0" w:rsidRDefault="00412B69" w:rsidP="00412B69">
      <w:pPr>
        <w:rPr>
          <w:rFonts w:ascii="Times New Roman" w:hAnsi="Times New Roman" w:cs="Times New Roman"/>
          <w:lang w:val="sr-Latn-CS"/>
        </w:rPr>
      </w:pPr>
    </w:p>
    <w:p w14:paraId="55BEA3AA" w14:textId="77777777" w:rsidR="00412B69" w:rsidRPr="001769B0" w:rsidRDefault="00412B69" w:rsidP="00412B69">
      <w:pPr>
        <w:rPr>
          <w:rFonts w:ascii="Times New Roman" w:hAnsi="Times New Roman" w:cs="Times New Roman"/>
          <w:lang w:val="sr-Latn-CS"/>
        </w:rPr>
      </w:pPr>
    </w:p>
    <w:p w14:paraId="0D9997DD" w14:textId="77777777" w:rsidR="00412B69" w:rsidRPr="001769B0" w:rsidRDefault="00412B69" w:rsidP="00412B69">
      <w:pPr>
        <w:rPr>
          <w:rFonts w:ascii="Times New Roman" w:hAnsi="Times New Roman" w:cs="Times New Roman"/>
          <w:lang w:val="sr-Latn-CS"/>
        </w:rPr>
      </w:pPr>
    </w:p>
    <w:p w14:paraId="5863AA5D" w14:textId="77777777" w:rsidR="00412B69" w:rsidRPr="001769B0" w:rsidRDefault="00412B69" w:rsidP="00412B69">
      <w:pPr>
        <w:rPr>
          <w:rFonts w:ascii="Times New Roman" w:hAnsi="Times New Roman" w:cs="Times New Roman"/>
          <w:lang w:val="sr-Latn-CS"/>
        </w:rPr>
      </w:pPr>
    </w:p>
    <w:p w14:paraId="22BF750F" w14:textId="77777777" w:rsidR="001769B0" w:rsidRDefault="001769B0" w:rsidP="00412B69">
      <w:pPr>
        <w:jc w:val="both"/>
        <w:rPr>
          <w:rFonts w:ascii="Times New Roman" w:hAnsi="Times New Roman" w:cs="Times New Roman"/>
          <w:lang w:val="sr-Latn-CS"/>
        </w:rPr>
      </w:pPr>
    </w:p>
    <w:p w14:paraId="25FA76B3" w14:textId="77777777" w:rsidR="001769B0" w:rsidRDefault="001769B0" w:rsidP="00412B69">
      <w:pPr>
        <w:jc w:val="both"/>
        <w:rPr>
          <w:rFonts w:ascii="Times New Roman" w:hAnsi="Times New Roman" w:cs="Times New Roman"/>
          <w:lang w:val="sr-Latn-CS"/>
        </w:rPr>
      </w:pPr>
    </w:p>
    <w:p w14:paraId="14A877FD" w14:textId="77777777" w:rsidR="001769B0" w:rsidRDefault="001769B0" w:rsidP="00412B69">
      <w:pPr>
        <w:jc w:val="both"/>
        <w:rPr>
          <w:rFonts w:ascii="Times New Roman" w:hAnsi="Times New Roman" w:cs="Times New Roman"/>
          <w:lang w:val="sr-Latn-CS"/>
        </w:rPr>
      </w:pPr>
    </w:p>
    <w:p w14:paraId="028B8AA7" w14:textId="77777777" w:rsidR="00412B69" w:rsidRPr="001769B0" w:rsidRDefault="00412B69" w:rsidP="00412B69">
      <w:pPr>
        <w:jc w:val="both"/>
        <w:rPr>
          <w:rFonts w:ascii="Times New Roman" w:hAnsi="Times New Roman" w:cs="Times New Roman"/>
          <w:lang w:val="sr-Latn-CS"/>
        </w:rPr>
      </w:pPr>
      <w:r w:rsidRPr="001769B0">
        <w:rPr>
          <w:rFonts w:ascii="Times New Roman" w:hAnsi="Times New Roman" w:cs="Times New Roman"/>
          <w:lang w:val="sr-Latn-CS"/>
        </w:rPr>
        <w:t xml:space="preserve">Dodatak – detaljna tabela sa informacijama o doprinosiocima, obrazloženja na primljene i odbačene odgovore.   </w:t>
      </w:r>
    </w:p>
    <w:p w14:paraId="3E52EC7A" w14:textId="77777777" w:rsidR="00412B69" w:rsidRPr="001769B0" w:rsidRDefault="00412B69" w:rsidP="00412B69">
      <w:pPr>
        <w:rPr>
          <w:rFonts w:ascii="Times New Roman" w:hAnsi="Times New Roman" w:cs="Times New Roman"/>
          <w:lang w:val="sr-Latn-CS"/>
        </w:rPr>
      </w:pPr>
    </w:p>
    <w:tbl>
      <w:tblPr>
        <w:tblStyle w:val="GridTable1Light-Accent51"/>
        <w:tblW w:w="9648" w:type="dxa"/>
        <w:tblLook w:val="0420" w:firstRow="1" w:lastRow="0" w:firstColumn="0" w:lastColumn="0" w:noHBand="0" w:noVBand="1"/>
      </w:tblPr>
      <w:tblGrid>
        <w:gridCol w:w="2697"/>
        <w:gridCol w:w="2393"/>
        <w:gridCol w:w="1801"/>
        <w:gridCol w:w="2757"/>
      </w:tblGrid>
      <w:tr w:rsidR="00412B69" w:rsidRPr="001769B0" w14:paraId="66C18F09" w14:textId="77777777" w:rsidTr="00FA0D8C">
        <w:trPr>
          <w:cnfStyle w:val="100000000000" w:firstRow="1" w:lastRow="0" w:firstColumn="0" w:lastColumn="0" w:oddVBand="0" w:evenVBand="0" w:oddHBand="0" w:evenHBand="0" w:firstRowFirstColumn="0" w:firstRowLastColumn="0" w:lastRowFirstColumn="0" w:lastRowLastColumn="0"/>
          <w:trHeight w:val="1582"/>
        </w:trPr>
        <w:tc>
          <w:tcPr>
            <w:tcW w:w="2697" w:type="dxa"/>
            <w:shd w:val="clear" w:color="auto" w:fill="FBE4D5" w:themeFill="accent2" w:themeFillTint="33"/>
            <w:hideMark/>
          </w:tcPr>
          <w:p w14:paraId="0E46ECED"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bCs w:val="0"/>
                <w:sz w:val="22"/>
                <w:szCs w:val="22"/>
                <w:lang w:val="sr-Latn-CS"/>
              </w:rPr>
              <w:lastRenderedPageBreak/>
              <w:t>Naziv organizacije /pojedinca</w:t>
            </w:r>
          </w:p>
        </w:tc>
        <w:tc>
          <w:tcPr>
            <w:tcW w:w="2393" w:type="dxa"/>
            <w:shd w:val="clear" w:color="auto" w:fill="FBE4D5" w:themeFill="accent2" w:themeFillTint="33"/>
            <w:hideMark/>
          </w:tcPr>
          <w:p w14:paraId="51FBFA17"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bCs w:val="0"/>
                <w:sz w:val="22"/>
                <w:szCs w:val="22"/>
                <w:lang w:val="sr-Latn-CS"/>
              </w:rPr>
              <w:t>Komentari organizacije /pojedinca</w:t>
            </w:r>
          </w:p>
        </w:tc>
        <w:tc>
          <w:tcPr>
            <w:tcW w:w="1801" w:type="dxa"/>
            <w:shd w:val="clear" w:color="auto" w:fill="FBE4D5" w:themeFill="accent2" w:themeFillTint="33"/>
            <w:hideMark/>
          </w:tcPr>
          <w:p w14:paraId="4AB634D3" w14:textId="77777777" w:rsidR="00412B69" w:rsidRPr="001769B0" w:rsidRDefault="00412B69" w:rsidP="00FA0D8C">
            <w:pPr>
              <w:rPr>
                <w:rFonts w:ascii="Times New Roman" w:hAnsi="Times New Roman" w:cs="Times New Roman"/>
                <w:bCs w:val="0"/>
                <w:sz w:val="22"/>
                <w:szCs w:val="22"/>
              </w:rPr>
            </w:pPr>
            <w:r w:rsidRPr="001769B0">
              <w:rPr>
                <w:rFonts w:ascii="Times New Roman" w:hAnsi="Times New Roman" w:cs="Times New Roman"/>
                <w:bCs w:val="0"/>
                <w:sz w:val="22"/>
                <w:szCs w:val="22"/>
                <w:lang w:val="sr-Latn-CS"/>
              </w:rPr>
              <w:t>Odgovor Ministarstva Prihvaćen u</w:t>
            </w:r>
            <w:r w:rsidRPr="001769B0">
              <w:rPr>
                <w:rFonts w:ascii="Times New Roman" w:hAnsi="Times New Roman" w:cs="Times New Roman"/>
                <w:bCs w:val="0"/>
                <w:sz w:val="22"/>
                <w:szCs w:val="22"/>
              </w:rPr>
              <w:t xml:space="preserve"> pot.</w:t>
            </w:r>
          </w:p>
          <w:p w14:paraId="4B154EC7" w14:textId="77777777" w:rsidR="00412B69" w:rsidRPr="001769B0" w:rsidRDefault="00412B69" w:rsidP="00FA0D8C">
            <w:pPr>
              <w:rPr>
                <w:rFonts w:ascii="Times New Roman" w:hAnsi="Times New Roman" w:cs="Times New Roman"/>
                <w:bCs w:val="0"/>
                <w:sz w:val="22"/>
                <w:szCs w:val="22"/>
              </w:rPr>
            </w:pPr>
            <w:r w:rsidRPr="001769B0">
              <w:rPr>
                <w:rFonts w:ascii="Times New Roman" w:hAnsi="Times New Roman" w:cs="Times New Roman"/>
                <w:bCs w:val="0"/>
                <w:sz w:val="22"/>
                <w:szCs w:val="22"/>
              </w:rPr>
              <w:t>Delimično prihv.</w:t>
            </w:r>
          </w:p>
          <w:p w14:paraId="0B7C171E" w14:textId="77777777" w:rsidR="00412B69" w:rsidRPr="001769B0" w:rsidRDefault="00412B69" w:rsidP="00FA0D8C">
            <w:pPr>
              <w:rPr>
                <w:rFonts w:ascii="Times New Roman" w:hAnsi="Times New Roman" w:cs="Times New Roman"/>
                <w:sz w:val="22"/>
                <w:szCs w:val="22"/>
              </w:rPr>
            </w:pPr>
            <w:r w:rsidRPr="001769B0">
              <w:rPr>
                <w:rFonts w:ascii="Times New Roman" w:hAnsi="Times New Roman" w:cs="Times New Roman"/>
                <w:bCs w:val="0"/>
                <w:sz w:val="22"/>
                <w:szCs w:val="22"/>
              </w:rPr>
              <w:t>Odbijen</w:t>
            </w:r>
          </w:p>
        </w:tc>
        <w:tc>
          <w:tcPr>
            <w:tcW w:w="2757" w:type="dxa"/>
            <w:shd w:val="clear" w:color="auto" w:fill="FBE4D5" w:themeFill="accent2" w:themeFillTint="33"/>
            <w:hideMark/>
          </w:tcPr>
          <w:p w14:paraId="328F7FD0" w14:textId="77777777" w:rsidR="00412B69" w:rsidRPr="001769B0" w:rsidRDefault="00412B69" w:rsidP="00FA0D8C">
            <w:pPr>
              <w:tabs>
                <w:tab w:val="left" w:pos="2556"/>
              </w:tabs>
              <w:ind w:right="541"/>
              <w:rPr>
                <w:rFonts w:ascii="Times New Roman" w:hAnsi="Times New Roman" w:cs="Times New Roman"/>
                <w:bCs w:val="0"/>
                <w:sz w:val="22"/>
                <w:szCs w:val="22"/>
                <w:lang w:val="sr-Latn-CS"/>
              </w:rPr>
            </w:pPr>
            <w:r w:rsidRPr="001769B0">
              <w:rPr>
                <w:rFonts w:ascii="Times New Roman" w:hAnsi="Times New Roman" w:cs="Times New Roman"/>
                <w:bCs w:val="0"/>
                <w:sz w:val="22"/>
                <w:szCs w:val="22"/>
                <w:lang w:val="sr-Latn-CS"/>
              </w:rPr>
              <w:t xml:space="preserve">Objašnjenje od strane Ministarstva  </w:t>
            </w:r>
          </w:p>
          <w:p w14:paraId="462724F4" w14:textId="77777777" w:rsidR="00412B69" w:rsidRPr="001769B0" w:rsidRDefault="00412B69" w:rsidP="00FA0D8C">
            <w:pPr>
              <w:tabs>
                <w:tab w:val="left" w:pos="2556"/>
              </w:tabs>
              <w:ind w:right="541"/>
              <w:rPr>
                <w:rFonts w:ascii="Times New Roman" w:hAnsi="Times New Roman" w:cs="Times New Roman"/>
                <w:sz w:val="22"/>
                <w:szCs w:val="22"/>
                <w:lang w:val="sr-Latn-CS"/>
              </w:rPr>
            </w:pPr>
            <w:r w:rsidRPr="001769B0">
              <w:rPr>
                <w:rFonts w:ascii="Times New Roman" w:hAnsi="Times New Roman" w:cs="Times New Roman"/>
                <w:bCs w:val="0"/>
                <w:sz w:val="22"/>
                <w:szCs w:val="22"/>
                <w:lang w:val="sr-Latn-CS"/>
              </w:rPr>
              <w:t xml:space="preserve">(posebno razlozi za ne prihvatanje određenih komentara)             </w:t>
            </w:r>
          </w:p>
        </w:tc>
      </w:tr>
      <w:tr w:rsidR="00412B69" w:rsidRPr="001769B0" w14:paraId="4A422333" w14:textId="77777777" w:rsidTr="00FA0D8C">
        <w:trPr>
          <w:trHeight w:val="954"/>
        </w:trPr>
        <w:tc>
          <w:tcPr>
            <w:tcW w:w="2697" w:type="dxa"/>
            <w:hideMark/>
          </w:tcPr>
          <w:p w14:paraId="2A9949C7" w14:textId="77777777" w:rsidR="00412B69" w:rsidRPr="001769B0" w:rsidRDefault="00412B69" w:rsidP="00FA0D8C">
            <w:pPr>
              <w:rPr>
                <w:rFonts w:ascii="Times New Roman" w:hAnsi="Times New Roman" w:cs="Times New Roman"/>
                <w:sz w:val="22"/>
                <w:szCs w:val="22"/>
                <w:lang w:val="sr-Latn-CS"/>
              </w:rPr>
            </w:pPr>
            <w:r w:rsidRPr="001769B0">
              <w:rPr>
                <w:rFonts w:ascii="Times New Roman" w:eastAsia="Times New Roman" w:hAnsi="Times New Roman" w:cs="Times New Roman"/>
                <w:color w:val="000000"/>
                <w:sz w:val="22"/>
                <w:szCs w:val="22"/>
                <w:lang w:val="sr-Latn-CS"/>
              </w:rPr>
              <w:t>Elvira Vala</w:t>
            </w:r>
            <w:r w:rsidRPr="001769B0">
              <w:rPr>
                <w:rFonts w:ascii="Times New Roman" w:eastAsia="Times New Roman" w:hAnsi="Times New Roman" w:cs="Times New Roman"/>
                <w:color w:val="000000"/>
                <w:sz w:val="22"/>
                <w:szCs w:val="22"/>
                <w:lang w:val="sr-Latn-CS"/>
              </w:rPr>
              <w:br/>
              <w:t>Profesorka/Konsultant</w:t>
            </w:r>
          </w:p>
        </w:tc>
        <w:tc>
          <w:tcPr>
            <w:tcW w:w="2393" w:type="dxa"/>
            <w:hideMark/>
          </w:tcPr>
          <w:p w14:paraId="55B01449" w14:textId="77777777" w:rsidR="00412B69" w:rsidRPr="001769B0" w:rsidRDefault="00412B69" w:rsidP="00FA0D8C">
            <w:pPr>
              <w:tabs>
                <w:tab w:val="left" w:pos="180"/>
              </w:tabs>
              <w:rPr>
                <w:rFonts w:ascii="Times New Roman" w:hAnsi="Times New Roman" w:cs="Times New Roman"/>
                <w:sz w:val="22"/>
                <w:szCs w:val="22"/>
                <w:lang w:val="sr-Latn-CS"/>
              </w:rPr>
            </w:pPr>
            <w:r w:rsidRPr="001769B0">
              <w:rPr>
                <w:rFonts w:ascii="Times New Roman" w:eastAsia="Times New Roman" w:hAnsi="Times New Roman" w:cs="Times New Roman"/>
                <w:color w:val="000000"/>
                <w:sz w:val="22"/>
                <w:szCs w:val="22"/>
                <w:lang w:val="sr-Latn-CS"/>
              </w:rPr>
              <w:t>Kvalifikacija opštinskih zvaničnika koji rade u OKE mora da bude iz oblasti inženjerije</w:t>
            </w:r>
            <w:r w:rsidRPr="001769B0">
              <w:rPr>
                <w:rFonts w:ascii="Times New Roman" w:eastAsia="Times New Roman" w:hAnsi="Times New Roman" w:cs="Times New Roman"/>
                <w:color w:val="000000"/>
                <w:sz w:val="22"/>
                <w:szCs w:val="22"/>
                <w:lang w:val="sr-Latn-CS"/>
              </w:rPr>
              <w:br/>
              <w:t xml:space="preserve">1. Energetike – smer Menadžer energetike ili Inženjere energetike, </w:t>
            </w:r>
            <w:r w:rsidRPr="001769B0">
              <w:rPr>
                <w:rFonts w:ascii="Times New Roman" w:eastAsia="Times New Roman" w:hAnsi="Times New Roman" w:cs="Times New Roman"/>
                <w:color w:val="000000"/>
                <w:sz w:val="22"/>
                <w:szCs w:val="22"/>
                <w:lang w:val="sr-Latn-CS"/>
              </w:rPr>
              <w:br/>
              <w:t xml:space="preserve">2. Elektrotehnike – smer Energetski sistemi ili Industrijska energija,  </w:t>
            </w:r>
            <w:r w:rsidRPr="001769B0">
              <w:rPr>
                <w:rFonts w:ascii="Times New Roman" w:eastAsia="Times New Roman" w:hAnsi="Times New Roman" w:cs="Times New Roman"/>
                <w:color w:val="000000"/>
                <w:sz w:val="22"/>
                <w:szCs w:val="22"/>
                <w:lang w:val="sr-Latn-CS"/>
              </w:rPr>
              <w:br/>
              <w:t xml:space="preserve">3. Mašinstvo -  smer Termoenergetski ili proizvodnja. </w:t>
            </w:r>
          </w:p>
        </w:tc>
        <w:tc>
          <w:tcPr>
            <w:tcW w:w="1801" w:type="dxa"/>
            <w:hideMark/>
          </w:tcPr>
          <w:p w14:paraId="5F0708D0"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Delimično prihvaćen </w:t>
            </w:r>
          </w:p>
        </w:tc>
        <w:tc>
          <w:tcPr>
            <w:tcW w:w="2757" w:type="dxa"/>
          </w:tcPr>
          <w:p w14:paraId="2BE9FAAA" w14:textId="77777777" w:rsidR="00412B69" w:rsidRPr="001769B0" w:rsidRDefault="00412B69" w:rsidP="00FA0D8C">
            <w:pPr>
              <w:tabs>
                <w:tab w:val="left" w:pos="180"/>
              </w:tabs>
              <w:rPr>
                <w:rFonts w:ascii="Times New Roman" w:eastAsia="Book Antiqua" w:hAnsi="Times New Roman" w:cs="Times New Roman"/>
                <w:sz w:val="22"/>
                <w:szCs w:val="22"/>
                <w:lang w:val="sr-Latn-CS"/>
              </w:rPr>
            </w:pPr>
            <w:r w:rsidRPr="001769B0">
              <w:rPr>
                <w:rFonts w:ascii="Times New Roman" w:hAnsi="Times New Roman" w:cs="Times New Roman"/>
                <w:sz w:val="22"/>
                <w:szCs w:val="22"/>
                <w:lang w:val="sr-Latn-CS"/>
              </w:rPr>
              <w:t xml:space="preserve">S obzirom da ovo Administrativno uputstvo utvrđuje obaveze i odgovornosti Opštinskih kancelarija za energetiku i ove kancelarije će poslovati u okviru organizacionih opštinskih struktura, u nadležnosti opština je da odlučuju o kvalifikacijama opštinskih zvaničnika. Ovo Administrativno uputstvo preporučuje da njihova kvalifikacija bude jedna od inženjerskih oblasti. </w:t>
            </w:r>
          </w:p>
        </w:tc>
      </w:tr>
      <w:tr w:rsidR="00412B69" w:rsidRPr="001769B0" w14:paraId="7EF1C81D" w14:textId="77777777" w:rsidTr="00FA0D8C">
        <w:trPr>
          <w:trHeight w:val="954"/>
        </w:trPr>
        <w:tc>
          <w:tcPr>
            <w:tcW w:w="2697" w:type="dxa"/>
          </w:tcPr>
          <w:p w14:paraId="664D3464"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t>Ministarstvo za lokalnu samoupravu</w:t>
            </w:r>
          </w:p>
        </w:tc>
        <w:tc>
          <w:tcPr>
            <w:tcW w:w="2393" w:type="dxa"/>
          </w:tcPr>
          <w:p w14:paraId="3ADFCA81" w14:textId="77777777" w:rsidR="00412B69" w:rsidRPr="001769B0" w:rsidRDefault="00412B69" w:rsidP="00FA0D8C">
            <w:pPr>
              <w:contextualSpacing/>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Što se tiče pitanja unutrašnje organizacije opština, ovaj projekat Administrativnog uputstva se mora prodiskutovati sa opštinama shodno članu 66. Zakona o lokalnoj samoupravi i Evropske povelje za lokanu samoupravu, član 3. stav 1 i 4. Vlada nema pravo da se meša u unutrašnju organizaciju opština. Opštine su nezavisne u unutrašnjoj organizaciji. </w:t>
            </w:r>
          </w:p>
        </w:tc>
        <w:tc>
          <w:tcPr>
            <w:tcW w:w="1801" w:type="dxa"/>
          </w:tcPr>
          <w:p w14:paraId="3668791A"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t>Prihvaćen u potpunosti</w:t>
            </w:r>
          </w:p>
        </w:tc>
        <w:tc>
          <w:tcPr>
            <w:tcW w:w="2757" w:type="dxa"/>
          </w:tcPr>
          <w:p w14:paraId="60FAA3CC" w14:textId="77777777" w:rsidR="00412B69" w:rsidRPr="001769B0" w:rsidRDefault="00412B69" w:rsidP="00FA0D8C">
            <w:pPr>
              <w:ind w:right="667"/>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Izrada ovog podzakonskog akta proističe iz Zakona o energetici br. 05/L-081, član 7. stav 4 gde se navodi „Za sprovođenje zadataka koji se odnose na strategiju, Vlada usvaja podzakonski akt o osnivanju, finansiranu i radu opštinskih kancelarija za energetiku, kako bi se rešavala pitanja u vezi primene i praćenja na lokalnom nivou. </w:t>
            </w:r>
          </w:p>
          <w:p w14:paraId="0A6AC2A6" w14:textId="77777777" w:rsidR="00412B69" w:rsidRPr="001769B0" w:rsidRDefault="00412B69" w:rsidP="00FA0D8C">
            <w:pPr>
              <w:tabs>
                <w:tab w:val="left" w:pos="2649"/>
              </w:tabs>
              <w:ind w:right="72"/>
              <w:rPr>
                <w:rFonts w:ascii="Times New Roman" w:hAnsi="Times New Roman" w:cs="Times New Roman"/>
                <w:sz w:val="22"/>
                <w:szCs w:val="22"/>
                <w:lang w:val="sr-Latn-CS"/>
              </w:rPr>
            </w:pPr>
            <w:r w:rsidRPr="001769B0">
              <w:rPr>
                <w:rFonts w:ascii="Times New Roman" w:hAnsi="Times New Roman" w:cs="Times New Roman"/>
                <w:sz w:val="22"/>
                <w:szCs w:val="22"/>
                <w:lang w:val="sr-Latn-CS"/>
              </w:rPr>
              <w:t>Tokom procesa izrade Projekta Administrativnog uputstva, on je izrađen od strane radne grupe u koju su učestvovali predstavnici opština iz Zajednice opština kao i predstavnici iz Ministarstva za lokalnu samoupravu. Čitav proces je odvijen uz saglasnost sa svim članovima i radnim grupama.</w:t>
            </w:r>
          </w:p>
          <w:p w14:paraId="3CB9FF3F" w14:textId="77777777" w:rsidR="00412B69" w:rsidRPr="001769B0" w:rsidRDefault="00412B69" w:rsidP="00FA0D8C">
            <w:pPr>
              <w:tabs>
                <w:tab w:val="left" w:pos="2649"/>
              </w:tabs>
              <w:ind w:right="72"/>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Način organizacije i funkcionisanja ovih kancelarija ostaje u nadležnosti opština. </w:t>
            </w:r>
          </w:p>
          <w:p w14:paraId="4681DC6B" w14:textId="77777777" w:rsidR="00412B69" w:rsidRPr="001769B0" w:rsidRDefault="00412B69" w:rsidP="00FA0D8C">
            <w:pPr>
              <w:ind w:right="667"/>
              <w:rPr>
                <w:rFonts w:ascii="Times New Roman" w:hAnsi="Times New Roman" w:cs="Times New Roman"/>
                <w:sz w:val="22"/>
                <w:szCs w:val="22"/>
                <w:lang w:val="sr-Latn-CS"/>
              </w:rPr>
            </w:pPr>
          </w:p>
        </w:tc>
      </w:tr>
      <w:tr w:rsidR="00412B69" w:rsidRPr="001769B0" w14:paraId="3411C78D" w14:textId="77777777" w:rsidTr="00FA0D8C">
        <w:trPr>
          <w:trHeight w:val="954"/>
        </w:trPr>
        <w:tc>
          <w:tcPr>
            <w:tcW w:w="2697" w:type="dxa"/>
          </w:tcPr>
          <w:p w14:paraId="1C96F92C"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lastRenderedPageBreak/>
              <w:t xml:space="preserve">Ministarstvo za lokalnu samoupravu </w:t>
            </w:r>
          </w:p>
        </w:tc>
        <w:tc>
          <w:tcPr>
            <w:tcW w:w="2393" w:type="dxa"/>
          </w:tcPr>
          <w:p w14:paraId="66E1D18B"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Što se tiče pitanja finansiranja, ovo uputstvo stvara finansijske obaveze za opštine, dakle za mrežu osoblja u opštinama i za funkcionalizaciju ovih kancelarija, što je teško izvodljivo za opštine imajući u vidu da opštine ne mogu da povećaju broj trenutnog osoblja pošto je broj zaposlenih u opštinama utvrđen godišnjim zakonom o budžetu. </w:t>
            </w:r>
          </w:p>
        </w:tc>
        <w:tc>
          <w:tcPr>
            <w:tcW w:w="1801" w:type="dxa"/>
          </w:tcPr>
          <w:p w14:paraId="0030A30F" w14:textId="77777777" w:rsidR="00412B69" w:rsidRPr="001769B0" w:rsidRDefault="00412B69" w:rsidP="00FA0D8C">
            <w:pPr>
              <w:rPr>
                <w:rFonts w:ascii="Times New Roman" w:hAnsi="Times New Roman" w:cs="Times New Roman"/>
                <w:sz w:val="22"/>
                <w:szCs w:val="22"/>
                <w:lang w:val="sr-Latn-CS"/>
              </w:rPr>
            </w:pPr>
            <w:r w:rsidRPr="001769B0">
              <w:rPr>
                <w:rFonts w:ascii="Times New Roman" w:hAnsi="Times New Roman" w:cs="Times New Roman"/>
                <w:sz w:val="22"/>
                <w:szCs w:val="22"/>
                <w:lang w:val="sr-Latn-CS"/>
              </w:rPr>
              <w:t>Prihvaćen u potpunosti</w:t>
            </w:r>
          </w:p>
        </w:tc>
        <w:tc>
          <w:tcPr>
            <w:tcW w:w="2757" w:type="dxa"/>
          </w:tcPr>
          <w:p w14:paraId="64EC1697" w14:textId="77777777" w:rsidR="00412B69" w:rsidRPr="001769B0" w:rsidRDefault="00412B69" w:rsidP="00FA0D8C">
            <w:pPr>
              <w:tabs>
                <w:tab w:val="left" w:pos="180"/>
              </w:tabs>
              <w:rPr>
                <w:rFonts w:ascii="Times New Roman" w:hAnsi="Times New Roman" w:cs="Times New Roman"/>
                <w:sz w:val="22"/>
                <w:szCs w:val="22"/>
                <w:lang w:val="sr-Latn-CS"/>
              </w:rPr>
            </w:pPr>
            <w:r w:rsidRPr="001769B0">
              <w:rPr>
                <w:rFonts w:ascii="Times New Roman" w:hAnsi="Times New Roman" w:cs="Times New Roman"/>
                <w:sz w:val="22"/>
                <w:szCs w:val="22"/>
                <w:lang w:val="sr-Latn-CS"/>
              </w:rPr>
              <w:t xml:space="preserve">Ovo administrativno uputstvo definiše obaveze i odgovornosti Opštinskih kancelarija za energetiku za rešavanje pitanja u planiranju, sprovođenju i praćenju energetskih politika na lokalnom nivou. Ovo Administrativno uputstvo neće stvoriti finansijske obaveze za opštine pošto će Opštinske kancelarije za energetiku postupati u okviru opštinskih organizacionih struktura i biće zadužene od strane odgovarajući opštinskih organa sa dužnostima i odgovornostima utvrđenim u ovom Administrativnom uputstvu. Način njihove organizacije je u nadležnosti opštinskih organa. </w:t>
            </w:r>
          </w:p>
          <w:p w14:paraId="502B9C23" w14:textId="77777777" w:rsidR="00412B69" w:rsidRPr="001769B0" w:rsidRDefault="00412B69" w:rsidP="00FA0D8C">
            <w:pPr>
              <w:tabs>
                <w:tab w:val="left" w:pos="180"/>
              </w:tabs>
              <w:rPr>
                <w:rFonts w:ascii="Times New Roman" w:hAnsi="Times New Roman" w:cs="Times New Roman"/>
                <w:sz w:val="22"/>
                <w:szCs w:val="22"/>
                <w:lang w:val="sr-Latn-CS"/>
              </w:rPr>
            </w:pPr>
          </w:p>
        </w:tc>
      </w:tr>
    </w:tbl>
    <w:p w14:paraId="29214816" w14:textId="77777777" w:rsidR="00412B69" w:rsidRPr="001769B0" w:rsidRDefault="00412B69" w:rsidP="00412B69">
      <w:pPr>
        <w:tabs>
          <w:tab w:val="center" w:pos="6480"/>
        </w:tabs>
        <w:rPr>
          <w:rFonts w:ascii="Times New Roman" w:hAnsi="Times New Roman" w:cs="Times New Roman"/>
          <w:b/>
          <w:lang w:val="sr-Latn-CS"/>
        </w:rPr>
      </w:pPr>
    </w:p>
    <w:p w14:paraId="7CD741FD" w14:textId="77777777" w:rsidR="00412B69" w:rsidRPr="001769B0" w:rsidRDefault="00412B69" w:rsidP="00412B69">
      <w:pPr>
        <w:tabs>
          <w:tab w:val="center" w:pos="6480"/>
        </w:tabs>
        <w:rPr>
          <w:rFonts w:ascii="Times New Roman" w:hAnsi="Times New Roman" w:cs="Times New Roman"/>
          <w:b/>
          <w:lang w:val="sr-Latn-CS"/>
        </w:rPr>
      </w:pPr>
    </w:p>
    <w:p w14:paraId="684E7CDA" w14:textId="77777777" w:rsidR="00412B69" w:rsidRPr="001769B0" w:rsidRDefault="00412B69" w:rsidP="00F64F4D">
      <w:pPr>
        <w:tabs>
          <w:tab w:val="center" w:pos="6480"/>
        </w:tabs>
        <w:rPr>
          <w:rFonts w:ascii="Times New Roman" w:hAnsi="Times New Roman" w:cs="Times New Roman"/>
          <w:b/>
          <w:lang w:val="sq-AL"/>
        </w:rPr>
      </w:pPr>
    </w:p>
    <w:sectPr w:rsidR="00412B69" w:rsidRPr="001769B0" w:rsidSect="000239F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BF0F" w14:textId="77777777" w:rsidR="009B43A5" w:rsidRDefault="009B43A5" w:rsidP="00A27CAA">
      <w:r>
        <w:separator/>
      </w:r>
    </w:p>
  </w:endnote>
  <w:endnote w:type="continuationSeparator" w:id="0">
    <w:p w14:paraId="2139D170" w14:textId="77777777" w:rsidR="009B43A5" w:rsidRDefault="009B43A5" w:rsidP="00A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AD1A" w14:textId="77777777" w:rsidR="004D6F0D" w:rsidRDefault="004D6F0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99A0D" w14:textId="77777777" w:rsidR="004D6F0D" w:rsidRDefault="004D6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5509" w14:textId="77777777" w:rsidR="004D6F0D" w:rsidRDefault="004D6F0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CA8">
      <w:rPr>
        <w:rStyle w:val="PageNumber"/>
        <w:noProof/>
      </w:rPr>
      <w:t>1</w:t>
    </w:r>
    <w:r>
      <w:rPr>
        <w:rStyle w:val="PageNumber"/>
      </w:rPr>
      <w:fldChar w:fldCharType="end"/>
    </w:r>
  </w:p>
  <w:p w14:paraId="37131B7D" w14:textId="77777777" w:rsidR="004D6F0D" w:rsidRDefault="004D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2D3F" w14:textId="77777777" w:rsidR="009B43A5" w:rsidRDefault="009B43A5" w:rsidP="00A27CAA">
      <w:r>
        <w:separator/>
      </w:r>
    </w:p>
  </w:footnote>
  <w:footnote w:type="continuationSeparator" w:id="0">
    <w:p w14:paraId="401A7D82" w14:textId="77777777" w:rsidR="009B43A5" w:rsidRDefault="009B43A5" w:rsidP="00A2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96E"/>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B0A"/>
    <w:multiLevelType w:val="hybridMultilevel"/>
    <w:tmpl w:val="AD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A9F"/>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 w15:restartNumberingAfterBreak="0">
    <w:nsid w:val="25887FE7"/>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4"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E2267"/>
    <w:multiLevelType w:val="hybridMultilevel"/>
    <w:tmpl w:val="8BDCE360"/>
    <w:lvl w:ilvl="0" w:tplc="BAAA9C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3780"/>
    <w:multiLevelType w:val="hybridMultilevel"/>
    <w:tmpl w:val="F5C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55D7D"/>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E3E7D"/>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2" w15:restartNumberingAfterBreak="0">
    <w:nsid w:val="764A3752"/>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B1BD3"/>
    <w:multiLevelType w:val="hybridMultilevel"/>
    <w:tmpl w:val="2E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3"/>
  </w:num>
  <w:num w:numId="5">
    <w:abstractNumId w:val="11"/>
  </w:num>
  <w:num w:numId="6">
    <w:abstractNumId w:val="12"/>
  </w:num>
  <w:num w:numId="7">
    <w:abstractNumId w:val="7"/>
  </w:num>
  <w:num w:numId="8">
    <w:abstractNumId w:val="5"/>
  </w:num>
  <w:num w:numId="9">
    <w:abstractNumId w:val="10"/>
  </w:num>
  <w:num w:numId="10">
    <w:abstractNumId w:val="1"/>
  </w:num>
  <w:num w:numId="11">
    <w:abstractNumId w:val="4"/>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6B"/>
    <w:rsid w:val="0000046B"/>
    <w:rsid w:val="0000098D"/>
    <w:rsid w:val="000033D2"/>
    <w:rsid w:val="00004A9F"/>
    <w:rsid w:val="00007897"/>
    <w:rsid w:val="00007E90"/>
    <w:rsid w:val="00012325"/>
    <w:rsid w:val="00013A38"/>
    <w:rsid w:val="0002257D"/>
    <w:rsid w:val="000239F7"/>
    <w:rsid w:val="00027886"/>
    <w:rsid w:val="00036D3E"/>
    <w:rsid w:val="00037591"/>
    <w:rsid w:val="00046846"/>
    <w:rsid w:val="000501BD"/>
    <w:rsid w:val="0005042F"/>
    <w:rsid w:val="00052CB3"/>
    <w:rsid w:val="00053904"/>
    <w:rsid w:val="00055458"/>
    <w:rsid w:val="00056449"/>
    <w:rsid w:val="000634CE"/>
    <w:rsid w:val="00065B30"/>
    <w:rsid w:val="0009660D"/>
    <w:rsid w:val="000B0C03"/>
    <w:rsid w:val="000B2585"/>
    <w:rsid w:val="000B3393"/>
    <w:rsid w:val="000B3640"/>
    <w:rsid w:val="000B71D1"/>
    <w:rsid w:val="000B7EFE"/>
    <w:rsid w:val="000C55C3"/>
    <w:rsid w:val="000C6977"/>
    <w:rsid w:val="000D402C"/>
    <w:rsid w:val="000D725C"/>
    <w:rsid w:val="00100877"/>
    <w:rsid w:val="001020BF"/>
    <w:rsid w:val="00103F10"/>
    <w:rsid w:val="00105914"/>
    <w:rsid w:val="00111E3D"/>
    <w:rsid w:val="00116BC5"/>
    <w:rsid w:val="00117900"/>
    <w:rsid w:val="00120643"/>
    <w:rsid w:val="00121D54"/>
    <w:rsid w:val="00132857"/>
    <w:rsid w:val="001378A1"/>
    <w:rsid w:val="00137985"/>
    <w:rsid w:val="00141E41"/>
    <w:rsid w:val="00145175"/>
    <w:rsid w:val="00151E07"/>
    <w:rsid w:val="00160AFA"/>
    <w:rsid w:val="0016384A"/>
    <w:rsid w:val="00170384"/>
    <w:rsid w:val="001749E3"/>
    <w:rsid w:val="00174CEE"/>
    <w:rsid w:val="001769B0"/>
    <w:rsid w:val="00182855"/>
    <w:rsid w:val="00183DC1"/>
    <w:rsid w:val="00193E2E"/>
    <w:rsid w:val="001942E2"/>
    <w:rsid w:val="001971E1"/>
    <w:rsid w:val="001A247C"/>
    <w:rsid w:val="001A55B3"/>
    <w:rsid w:val="001A6FC2"/>
    <w:rsid w:val="001B10B9"/>
    <w:rsid w:val="001B4F46"/>
    <w:rsid w:val="001B55A2"/>
    <w:rsid w:val="001B5927"/>
    <w:rsid w:val="001C2C61"/>
    <w:rsid w:val="001C3ADE"/>
    <w:rsid w:val="001D117D"/>
    <w:rsid w:val="001D4BCF"/>
    <w:rsid w:val="001F2529"/>
    <w:rsid w:val="00202590"/>
    <w:rsid w:val="002038B9"/>
    <w:rsid w:val="002046BC"/>
    <w:rsid w:val="00206090"/>
    <w:rsid w:val="0021047D"/>
    <w:rsid w:val="002115C5"/>
    <w:rsid w:val="002135CF"/>
    <w:rsid w:val="00225968"/>
    <w:rsid w:val="00232861"/>
    <w:rsid w:val="00237E03"/>
    <w:rsid w:val="00242C90"/>
    <w:rsid w:val="002476F7"/>
    <w:rsid w:val="002519DF"/>
    <w:rsid w:val="002552D7"/>
    <w:rsid w:val="00262050"/>
    <w:rsid w:val="0026598D"/>
    <w:rsid w:val="00272908"/>
    <w:rsid w:val="00275268"/>
    <w:rsid w:val="00280E75"/>
    <w:rsid w:val="002814FA"/>
    <w:rsid w:val="00282057"/>
    <w:rsid w:val="00285018"/>
    <w:rsid w:val="002917E9"/>
    <w:rsid w:val="00294091"/>
    <w:rsid w:val="002A5DB8"/>
    <w:rsid w:val="002B12E0"/>
    <w:rsid w:val="002B2258"/>
    <w:rsid w:val="002C4553"/>
    <w:rsid w:val="002C6677"/>
    <w:rsid w:val="002D09B2"/>
    <w:rsid w:val="002D1B5B"/>
    <w:rsid w:val="002D5614"/>
    <w:rsid w:val="002D5DB2"/>
    <w:rsid w:val="002E20AA"/>
    <w:rsid w:val="002E50F7"/>
    <w:rsid w:val="002E52B1"/>
    <w:rsid w:val="002F1F9C"/>
    <w:rsid w:val="002F259C"/>
    <w:rsid w:val="002F2B7F"/>
    <w:rsid w:val="002F3BFF"/>
    <w:rsid w:val="00301A47"/>
    <w:rsid w:val="003076D0"/>
    <w:rsid w:val="003117C0"/>
    <w:rsid w:val="00312C20"/>
    <w:rsid w:val="00317A41"/>
    <w:rsid w:val="00352114"/>
    <w:rsid w:val="003629A1"/>
    <w:rsid w:val="00362CC6"/>
    <w:rsid w:val="003657A9"/>
    <w:rsid w:val="003817E8"/>
    <w:rsid w:val="003A34E7"/>
    <w:rsid w:val="003A5102"/>
    <w:rsid w:val="003A5182"/>
    <w:rsid w:val="003A51CB"/>
    <w:rsid w:val="003A55D2"/>
    <w:rsid w:val="003A726D"/>
    <w:rsid w:val="003B3AA8"/>
    <w:rsid w:val="003B5793"/>
    <w:rsid w:val="003B5F05"/>
    <w:rsid w:val="003C7F0D"/>
    <w:rsid w:val="003D4475"/>
    <w:rsid w:val="003D6BA8"/>
    <w:rsid w:val="003D72CE"/>
    <w:rsid w:val="003E1B52"/>
    <w:rsid w:val="003E2E06"/>
    <w:rsid w:val="003F10B4"/>
    <w:rsid w:val="003F7F98"/>
    <w:rsid w:val="0040055E"/>
    <w:rsid w:val="00403BFD"/>
    <w:rsid w:val="00404B79"/>
    <w:rsid w:val="00411D09"/>
    <w:rsid w:val="00412B69"/>
    <w:rsid w:val="00414134"/>
    <w:rsid w:val="00417069"/>
    <w:rsid w:val="0042139F"/>
    <w:rsid w:val="004229A4"/>
    <w:rsid w:val="00426FFB"/>
    <w:rsid w:val="00427CA8"/>
    <w:rsid w:val="00430B6B"/>
    <w:rsid w:val="00431FA4"/>
    <w:rsid w:val="00435469"/>
    <w:rsid w:val="00441270"/>
    <w:rsid w:val="004430E1"/>
    <w:rsid w:val="00452EDE"/>
    <w:rsid w:val="0045677C"/>
    <w:rsid w:val="00461472"/>
    <w:rsid w:val="00464D0F"/>
    <w:rsid w:val="00471989"/>
    <w:rsid w:val="00471B2E"/>
    <w:rsid w:val="00471CF1"/>
    <w:rsid w:val="00474533"/>
    <w:rsid w:val="00481B8F"/>
    <w:rsid w:val="004922BA"/>
    <w:rsid w:val="00492DD5"/>
    <w:rsid w:val="00495898"/>
    <w:rsid w:val="004A2CB1"/>
    <w:rsid w:val="004A6D40"/>
    <w:rsid w:val="004B06E9"/>
    <w:rsid w:val="004B269C"/>
    <w:rsid w:val="004B50A7"/>
    <w:rsid w:val="004B6C12"/>
    <w:rsid w:val="004C04DD"/>
    <w:rsid w:val="004D164F"/>
    <w:rsid w:val="004D1EE4"/>
    <w:rsid w:val="004D5B45"/>
    <w:rsid w:val="004D6F0D"/>
    <w:rsid w:val="004E0ACB"/>
    <w:rsid w:val="004E24C7"/>
    <w:rsid w:val="004E40CF"/>
    <w:rsid w:val="004E7D54"/>
    <w:rsid w:val="004F5BF0"/>
    <w:rsid w:val="00503DF3"/>
    <w:rsid w:val="00504776"/>
    <w:rsid w:val="00510F13"/>
    <w:rsid w:val="00513DA8"/>
    <w:rsid w:val="00517F70"/>
    <w:rsid w:val="00520937"/>
    <w:rsid w:val="00542C59"/>
    <w:rsid w:val="005447FE"/>
    <w:rsid w:val="00546730"/>
    <w:rsid w:val="00552942"/>
    <w:rsid w:val="00556158"/>
    <w:rsid w:val="005571A4"/>
    <w:rsid w:val="00565360"/>
    <w:rsid w:val="005667C6"/>
    <w:rsid w:val="00566AEC"/>
    <w:rsid w:val="0056795F"/>
    <w:rsid w:val="00575405"/>
    <w:rsid w:val="00587E3C"/>
    <w:rsid w:val="00592370"/>
    <w:rsid w:val="00593CA3"/>
    <w:rsid w:val="005B35B2"/>
    <w:rsid w:val="005B63FE"/>
    <w:rsid w:val="005C467E"/>
    <w:rsid w:val="005C4F38"/>
    <w:rsid w:val="005C78E5"/>
    <w:rsid w:val="005D5473"/>
    <w:rsid w:val="005E0F97"/>
    <w:rsid w:val="005E3FDB"/>
    <w:rsid w:val="005F2BAE"/>
    <w:rsid w:val="00600D78"/>
    <w:rsid w:val="00616DE4"/>
    <w:rsid w:val="00617130"/>
    <w:rsid w:val="00621B9F"/>
    <w:rsid w:val="00623551"/>
    <w:rsid w:val="006339B7"/>
    <w:rsid w:val="00633CB7"/>
    <w:rsid w:val="006362D9"/>
    <w:rsid w:val="0063630D"/>
    <w:rsid w:val="006408E2"/>
    <w:rsid w:val="00641BA9"/>
    <w:rsid w:val="0064310A"/>
    <w:rsid w:val="006475B6"/>
    <w:rsid w:val="00650406"/>
    <w:rsid w:val="00650745"/>
    <w:rsid w:val="006521A5"/>
    <w:rsid w:val="00656DD9"/>
    <w:rsid w:val="0066231A"/>
    <w:rsid w:val="00662B37"/>
    <w:rsid w:val="00664441"/>
    <w:rsid w:val="00670A36"/>
    <w:rsid w:val="006875D2"/>
    <w:rsid w:val="006911AC"/>
    <w:rsid w:val="00691248"/>
    <w:rsid w:val="006A0181"/>
    <w:rsid w:val="006A19DF"/>
    <w:rsid w:val="006A5435"/>
    <w:rsid w:val="006B3322"/>
    <w:rsid w:val="006B6760"/>
    <w:rsid w:val="006C2CE3"/>
    <w:rsid w:val="006C7507"/>
    <w:rsid w:val="006D05C9"/>
    <w:rsid w:val="006D7749"/>
    <w:rsid w:val="006E69D0"/>
    <w:rsid w:val="006E72A1"/>
    <w:rsid w:val="006E7640"/>
    <w:rsid w:val="006F0F94"/>
    <w:rsid w:val="00705A9E"/>
    <w:rsid w:val="007124E7"/>
    <w:rsid w:val="00712725"/>
    <w:rsid w:val="007129A8"/>
    <w:rsid w:val="0071375E"/>
    <w:rsid w:val="00720E6C"/>
    <w:rsid w:val="007222BF"/>
    <w:rsid w:val="0073305D"/>
    <w:rsid w:val="007424AE"/>
    <w:rsid w:val="00751825"/>
    <w:rsid w:val="00752171"/>
    <w:rsid w:val="00752E75"/>
    <w:rsid w:val="0075388B"/>
    <w:rsid w:val="00755DF9"/>
    <w:rsid w:val="00761C75"/>
    <w:rsid w:val="00771418"/>
    <w:rsid w:val="00774BBF"/>
    <w:rsid w:val="00780C2A"/>
    <w:rsid w:val="007817F3"/>
    <w:rsid w:val="00782D04"/>
    <w:rsid w:val="00782FDA"/>
    <w:rsid w:val="00783D0F"/>
    <w:rsid w:val="00785034"/>
    <w:rsid w:val="0078611B"/>
    <w:rsid w:val="0079553A"/>
    <w:rsid w:val="007A404E"/>
    <w:rsid w:val="007A4840"/>
    <w:rsid w:val="007A5348"/>
    <w:rsid w:val="007B75B8"/>
    <w:rsid w:val="007C32AA"/>
    <w:rsid w:val="007C6126"/>
    <w:rsid w:val="007C7FE4"/>
    <w:rsid w:val="007D3BE8"/>
    <w:rsid w:val="007D7804"/>
    <w:rsid w:val="007E3207"/>
    <w:rsid w:val="007E3365"/>
    <w:rsid w:val="007F76AC"/>
    <w:rsid w:val="008001B1"/>
    <w:rsid w:val="00800DB2"/>
    <w:rsid w:val="00804A61"/>
    <w:rsid w:val="00807F34"/>
    <w:rsid w:val="0081023E"/>
    <w:rsid w:val="0081065B"/>
    <w:rsid w:val="00812943"/>
    <w:rsid w:val="00812D61"/>
    <w:rsid w:val="008138F8"/>
    <w:rsid w:val="00814F16"/>
    <w:rsid w:val="008200FC"/>
    <w:rsid w:val="00821CD1"/>
    <w:rsid w:val="00824550"/>
    <w:rsid w:val="00825259"/>
    <w:rsid w:val="0082614F"/>
    <w:rsid w:val="0083623B"/>
    <w:rsid w:val="008440CB"/>
    <w:rsid w:val="008443A9"/>
    <w:rsid w:val="008457AE"/>
    <w:rsid w:val="00850BA3"/>
    <w:rsid w:val="00851822"/>
    <w:rsid w:val="008550E5"/>
    <w:rsid w:val="008611A9"/>
    <w:rsid w:val="00863860"/>
    <w:rsid w:val="00865D0C"/>
    <w:rsid w:val="00866141"/>
    <w:rsid w:val="00866C73"/>
    <w:rsid w:val="00874343"/>
    <w:rsid w:val="008800CB"/>
    <w:rsid w:val="008856C1"/>
    <w:rsid w:val="00894A40"/>
    <w:rsid w:val="008A5772"/>
    <w:rsid w:val="008B0378"/>
    <w:rsid w:val="008B441A"/>
    <w:rsid w:val="008B5BDD"/>
    <w:rsid w:val="008B7701"/>
    <w:rsid w:val="008C1DD2"/>
    <w:rsid w:val="008C56D2"/>
    <w:rsid w:val="008C5A03"/>
    <w:rsid w:val="008C73C0"/>
    <w:rsid w:val="008D1FAA"/>
    <w:rsid w:val="008E1EEB"/>
    <w:rsid w:val="008F4415"/>
    <w:rsid w:val="008F6236"/>
    <w:rsid w:val="009002BB"/>
    <w:rsid w:val="00903B69"/>
    <w:rsid w:val="00904778"/>
    <w:rsid w:val="00905638"/>
    <w:rsid w:val="00905A73"/>
    <w:rsid w:val="00907AA7"/>
    <w:rsid w:val="009116DB"/>
    <w:rsid w:val="00912058"/>
    <w:rsid w:val="00915EDF"/>
    <w:rsid w:val="009207BD"/>
    <w:rsid w:val="00920E1F"/>
    <w:rsid w:val="0092192F"/>
    <w:rsid w:val="00922D9B"/>
    <w:rsid w:val="00930C3C"/>
    <w:rsid w:val="00943EA1"/>
    <w:rsid w:val="0094535F"/>
    <w:rsid w:val="009464F1"/>
    <w:rsid w:val="00950F48"/>
    <w:rsid w:val="00951D64"/>
    <w:rsid w:val="0095456A"/>
    <w:rsid w:val="00975EDC"/>
    <w:rsid w:val="009760A6"/>
    <w:rsid w:val="0098225A"/>
    <w:rsid w:val="00985B4A"/>
    <w:rsid w:val="00990ED1"/>
    <w:rsid w:val="009924E6"/>
    <w:rsid w:val="009938B1"/>
    <w:rsid w:val="009A55EF"/>
    <w:rsid w:val="009B0F14"/>
    <w:rsid w:val="009B405F"/>
    <w:rsid w:val="009B43A5"/>
    <w:rsid w:val="009B5190"/>
    <w:rsid w:val="009C5C25"/>
    <w:rsid w:val="009D2AB3"/>
    <w:rsid w:val="009D3AC4"/>
    <w:rsid w:val="009D4FF3"/>
    <w:rsid w:val="009E0D52"/>
    <w:rsid w:val="009E47B5"/>
    <w:rsid w:val="009E6B51"/>
    <w:rsid w:val="009F5749"/>
    <w:rsid w:val="009F6E86"/>
    <w:rsid w:val="009F76C9"/>
    <w:rsid w:val="009F7C00"/>
    <w:rsid w:val="00A01367"/>
    <w:rsid w:val="00A17408"/>
    <w:rsid w:val="00A233C4"/>
    <w:rsid w:val="00A27CAA"/>
    <w:rsid w:val="00A3042F"/>
    <w:rsid w:val="00A31682"/>
    <w:rsid w:val="00A33FEF"/>
    <w:rsid w:val="00A355E7"/>
    <w:rsid w:val="00A367CA"/>
    <w:rsid w:val="00A37EE2"/>
    <w:rsid w:val="00A42432"/>
    <w:rsid w:val="00A42893"/>
    <w:rsid w:val="00A4555D"/>
    <w:rsid w:val="00A56142"/>
    <w:rsid w:val="00A64355"/>
    <w:rsid w:val="00A6595C"/>
    <w:rsid w:val="00A836B3"/>
    <w:rsid w:val="00A845AE"/>
    <w:rsid w:val="00A909F2"/>
    <w:rsid w:val="00AA0E12"/>
    <w:rsid w:val="00AA1864"/>
    <w:rsid w:val="00AB3FED"/>
    <w:rsid w:val="00AB4927"/>
    <w:rsid w:val="00AC4A8B"/>
    <w:rsid w:val="00AC5A22"/>
    <w:rsid w:val="00AD01AB"/>
    <w:rsid w:val="00AD2670"/>
    <w:rsid w:val="00AD27F9"/>
    <w:rsid w:val="00AD7EB5"/>
    <w:rsid w:val="00AE0E2E"/>
    <w:rsid w:val="00AE1C08"/>
    <w:rsid w:val="00AE4946"/>
    <w:rsid w:val="00AE570A"/>
    <w:rsid w:val="00AE7865"/>
    <w:rsid w:val="00B05E4D"/>
    <w:rsid w:val="00B067B9"/>
    <w:rsid w:val="00B1018F"/>
    <w:rsid w:val="00B1135D"/>
    <w:rsid w:val="00B11D29"/>
    <w:rsid w:val="00B13CC1"/>
    <w:rsid w:val="00B1735A"/>
    <w:rsid w:val="00B214FB"/>
    <w:rsid w:val="00B3047A"/>
    <w:rsid w:val="00B375F6"/>
    <w:rsid w:val="00B42FDC"/>
    <w:rsid w:val="00B4452E"/>
    <w:rsid w:val="00B47345"/>
    <w:rsid w:val="00B546C7"/>
    <w:rsid w:val="00B718C2"/>
    <w:rsid w:val="00B7741B"/>
    <w:rsid w:val="00B86DBA"/>
    <w:rsid w:val="00B87507"/>
    <w:rsid w:val="00BA741D"/>
    <w:rsid w:val="00BC6016"/>
    <w:rsid w:val="00BD0862"/>
    <w:rsid w:val="00BD2836"/>
    <w:rsid w:val="00BD4ACF"/>
    <w:rsid w:val="00BD757B"/>
    <w:rsid w:val="00BE1A28"/>
    <w:rsid w:val="00BE2407"/>
    <w:rsid w:val="00BF5EC2"/>
    <w:rsid w:val="00C0086C"/>
    <w:rsid w:val="00C01B7D"/>
    <w:rsid w:val="00C07116"/>
    <w:rsid w:val="00C11188"/>
    <w:rsid w:val="00C1146D"/>
    <w:rsid w:val="00C12968"/>
    <w:rsid w:val="00C137D9"/>
    <w:rsid w:val="00C23809"/>
    <w:rsid w:val="00C30FE7"/>
    <w:rsid w:val="00C379DA"/>
    <w:rsid w:val="00C43328"/>
    <w:rsid w:val="00C449DA"/>
    <w:rsid w:val="00C53440"/>
    <w:rsid w:val="00C70DA7"/>
    <w:rsid w:val="00C74C4B"/>
    <w:rsid w:val="00C83066"/>
    <w:rsid w:val="00C87CC8"/>
    <w:rsid w:val="00CA446A"/>
    <w:rsid w:val="00CA5619"/>
    <w:rsid w:val="00CA636D"/>
    <w:rsid w:val="00CA6F88"/>
    <w:rsid w:val="00CA7C9F"/>
    <w:rsid w:val="00CB28F4"/>
    <w:rsid w:val="00CB49EA"/>
    <w:rsid w:val="00CC2374"/>
    <w:rsid w:val="00CC4D69"/>
    <w:rsid w:val="00CC5595"/>
    <w:rsid w:val="00CD077E"/>
    <w:rsid w:val="00CD36C1"/>
    <w:rsid w:val="00CD7833"/>
    <w:rsid w:val="00CE5D4E"/>
    <w:rsid w:val="00CF4C35"/>
    <w:rsid w:val="00D023BE"/>
    <w:rsid w:val="00D070F0"/>
    <w:rsid w:val="00D12209"/>
    <w:rsid w:val="00D13E5E"/>
    <w:rsid w:val="00D14341"/>
    <w:rsid w:val="00D148A7"/>
    <w:rsid w:val="00D20183"/>
    <w:rsid w:val="00D20E59"/>
    <w:rsid w:val="00D24035"/>
    <w:rsid w:val="00D30AC4"/>
    <w:rsid w:val="00D31860"/>
    <w:rsid w:val="00D357F3"/>
    <w:rsid w:val="00D447D4"/>
    <w:rsid w:val="00D5026A"/>
    <w:rsid w:val="00D53DCB"/>
    <w:rsid w:val="00D54434"/>
    <w:rsid w:val="00D57790"/>
    <w:rsid w:val="00D630D6"/>
    <w:rsid w:val="00D64141"/>
    <w:rsid w:val="00D65CFC"/>
    <w:rsid w:val="00D824C9"/>
    <w:rsid w:val="00D923F4"/>
    <w:rsid w:val="00D93F77"/>
    <w:rsid w:val="00D963EC"/>
    <w:rsid w:val="00DA33BB"/>
    <w:rsid w:val="00DA4309"/>
    <w:rsid w:val="00DA5D18"/>
    <w:rsid w:val="00DA799C"/>
    <w:rsid w:val="00DB78AD"/>
    <w:rsid w:val="00DC1447"/>
    <w:rsid w:val="00DE2E70"/>
    <w:rsid w:val="00DE6713"/>
    <w:rsid w:val="00DE77AA"/>
    <w:rsid w:val="00DF00C4"/>
    <w:rsid w:val="00DF4227"/>
    <w:rsid w:val="00E01A01"/>
    <w:rsid w:val="00E030CE"/>
    <w:rsid w:val="00E038F6"/>
    <w:rsid w:val="00E04392"/>
    <w:rsid w:val="00E05260"/>
    <w:rsid w:val="00E11212"/>
    <w:rsid w:val="00E1164E"/>
    <w:rsid w:val="00E145A9"/>
    <w:rsid w:val="00E15783"/>
    <w:rsid w:val="00E16739"/>
    <w:rsid w:val="00E21AE4"/>
    <w:rsid w:val="00E22526"/>
    <w:rsid w:val="00E3082F"/>
    <w:rsid w:val="00E311CE"/>
    <w:rsid w:val="00E31854"/>
    <w:rsid w:val="00E4049C"/>
    <w:rsid w:val="00E55B30"/>
    <w:rsid w:val="00E574EB"/>
    <w:rsid w:val="00E62294"/>
    <w:rsid w:val="00E72111"/>
    <w:rsid w:val="00E7434B"/>
    <w:rsid w:val="00E75733"/>
    <w:rsid w:val="00E75CB1"/>
    <w:rsid w:val="00E81C7B"/>
    <w:rsid w:val="00EA7C56"/>
    <w:rsid w:val="00EC5CBB"/>
    <w:rsid w:val="00EC7B3B"/>
    <w:rsid w:val="00ED08D0"/>
    <w:rsid w:val="00ED5CA4"/>
    <w:rsid w:val="00EE28B4"/>
    <w:rsid w:val="00EE3656"/>
    <w:rsid w:val="00EE5B70"/>
    <w:rsid w:val="00EF5CBB"/>
    <w:rsid w:val="00F04379"/>
    <w:rsid w:val="00F0484E"/>
    <w:rsid w:val="00F05637"/>
    <w:rsid w:val="00F062D6"/>
    <w:rsid w:val="00F115AE"/>
    <w:rsid w:val="00F11B7E"/>
    <w:rsid w:val="00F12A86"/>
    <w:rsid w:val="00F14DBB"/>
    <w:rsid w:val="00F15BCE"/>
    <w:rsid w:val="00F225F7"/>
    <w:rsid w:val="00F250C0"/>
    <w:rsid w:val="00F42738"/>
    <w:rsid w:val="00F46D76"/>
    <w:rsid w:val="00F50105"/>
    <w:rsid w:val="00F50955"/>
    <w:rsid w:val="00F50A49"/>
    <w:rsid w:val="00F56B98"/>
    <w:rsid w:val="00F61259"/>
    <w:rsid w:val="00F64F4D"/>
    <w:rsid w:val="00F7651B"/>
    <w:rsid w:val="00F81ADF"/>
    <w:rsid w:val="00F927AA"/>
    <w:rsid w:val="00F939D8"/>
    <w:rsid w:val="00F979B9"/>
    <w:rsid w:val="00FA0FD6"/>
    <w:rsid w:val="00FA1077"/>
    <w:rsid w:val="00FA1258"/>
    <w:rsid w:val="00FA1311"/>
    <w:rsid w:val="00FA2212"/>
    <w:rsid w:val="00FA73DC"/>
    <w:rsid w:val="00FB03B4"/>
    <w:rsid w:val="00FB072A"/>
    <w:rsid w:val="00FB39CF"/>
    <w:rsid w:val="00FB57B0"/>
    <w:rsid w:val="00FC0507"/>
    <w:rsid w:val="00FD1910"/>
    <w:rsid w:val="00FD1D76"/>
    <w:rsid w:val="00FD5B12"/>
    <w:rsid w:val="00FE7640"/>
    <w:rsid w:val="00FF2703"/>
    <w:rsid w:val="00FF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3AD0"/>
  <w15:docId w15:val="{4FAD5860-AFDD-4080-BEE9-8779722C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C70DA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C70DA7"/>
    <w:rPr>
      <w:rFonts w:ascii="Arial" w:eastAsia="Times New Roman" w:hAnsi="Arial" w:cs="Times New Roman"/>
      <w:sz w:val="22"/>
      <w:lang w:val="en-GB" w:eastAsia="x-none"/>
    </w:rPr>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7CAA"/>
  </w:style>
  <w:style w:type="character" w:customStyle="1" w:styleId="FootnoteTextChar">
    <w:name w:val="Footnote Text Char"/>
    <w:basedOn w:val="DefaultParagraphFont"/>
    <w:link w:val="FootnoteText"/>
    <w:uiPriority w:val="99"/>
    <w:rsid w:val="00A27CAA"/>
    <w:rPr>
      <w:lang w:val="en-GB"/>
    </w:rPr>
  </w:style>
  <w:style w:type="character" w:styleId="FootnoteReference">
    <w:name w:val="footnote reference"/>
    <w:basedOn w:val="DefaultParagraphFont"/>
    <w:uiPriority w:val="99"/>
    <w:unhideWhenUsed/>
    <w:rsid w:val="00A27CAA"/>
    <w:rPr>
      <w:vertAlign w:val="superscript"/>
    </w:rPr>
  </w:style>
  <w:style w:type="paragraph" w:customStyle="1" w:styleId="Default">
    <w:name w:val="Default"/>
    <w:rsid w:val="00D12209"/>
    <w:pPr>
      <w:widowControl w:val="0"/>
      <w:autoSpaceDE w:val="0"/>
      <w:autoSpaceDN w:val="0"/>
      <w:adjustRightInd w:val="0"/>
    </w:pPr>
    <w:rPr>
      <w:rFonts w:ascii="Times New Roman" w:hAnsi="Times New Roman" w:cs="Times New Roman"/>
      <w:color w:val="000000"/>
    </w:rPr>
  </w:style>
  <w:style w:type="table" w:customStyle="1" w:styleId="GridTable1Light-Accent11">
    <w:name w:val="Grid Table 1 Light - Accent 11"/>
    <w:basedOn w:val="TableNormal"/>
    <w:uiPriority w:val="46"/>
    <w:rsid w:val="002F25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F25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193E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93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3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825259"/>
    <w:pPr>
      <w:tabs>
        <w:tab w:val="center" w:pos="4680"/>
        <w:tab w:val="right" w:pos="9360"/>
      </w:tabs>
    </w:pPr>
  </w:style>
  <w:style w:type="character" w:customStyle="1" w:styleId="FooterChar">
    <w:name w:val="Footer Char"/>
    <w:basedOn w:val="DefaultParagraphFont"/>
    <w:link w:val="Footer"/>
    <w:uiPriority w:val="99"/>
    <w:rsid w:val="00825259"/>
    <w:rPr>
      <w:lang w:val="en-GB"/>
    </w:rPr>
  </w:style>
  <w:style w:type="character" w:styleId="PageNumber">
    <w:name w:val="page number"/>
    <w:basedOn w:val="DefaultParagraphFont"/>
    <w:uiPriority w:val="99"/>
    <w:semiHidden/>
    <w:unhideWhenUsed/>
    <w:rsid w:val="00825259"/>
  </w:style>
  <w:style w:type="paragraph" w:styleId="Caption">
    <w:name w:val="caption"/>
    <w:basedOn w:val="Normal"/>
    <w:next w:val="Normal"/>
    <w:uiPriority w:val="35"/>
    <w:unhideWhenUsed/>
    <w:qFormat/>
    <w:rsid w:val="007E3365"/>
    <w:pPr>
      <w:spacing w:after="200"/>
    </w:pPr>
    <w:rPr>
      <w:i/>
      <w:iCs/>
      <w:color w:val="44546A" w:themeColor="text2"/>
      <w:sz w:val="18"/>
      <w:szCs w:val="18"/>
    </w:rPr>
  </w:style>
  <w:style w:type="paragraph" w:styleId="Header">
    <w:name w:val="header"/>
    <w:basedOn w:val="Normal"/>
    <w:link w:val="HeaderChar"/>
    <w:uiPriority w:val="99"/>
    <w:unhideWhenUsed/>
    <w:rsid w:val="0066231A"/>
    <w:pPr>
      <w:tabs>
        <w:tab w:val="center" w:pos="4680"/>
        <w:tab w:val="right" w:pos="9360"/>
      </w:tabs>
    </w:pPr>
  </w:style>
  <w:style w:type="character" w:customStyle="1" w:styleId="HeaderChar">
    <w:name w:val="Header Char"/>
    <w:basedOn w:val="DefaultParagraphFont"/>
    <w:link w:val="Header"/>
    <w:uiPriority w:val="99"/>
    <w:rsid w:val="0066231A"/>
    <w:rPr>
      <w:lang w:val="en-GB"/>
    </w:rPr>
  </w:style>
  <w:style w:type="paragraph" w:styleId="NormalWeb">
    <w:name w:val="Normal (Web)"/>
    <w:basedOn w:val="Normal"/>
    <w:uiPriority w:val="99"/>
    <w:semiHidden/>
    <w:unhideWhenUsed/>
    <w:rsid w:val="00720E6C"/>
    <w:pPr>
      <w:spacing w:before="100" w:beforeAutospacing="1" w:after="100" w:afterAutospacing="1"/>
    </w:pPr>
    <w:rPr>
      <w:rFonts w:ascii="Times New Roman" w:hAnsi="Times New Roman" w:cs="Times New Roman"/>
      <w:lang w:val="en-US"/>
    </w:rPr>
  </w:style>
  <w:style w:type="table" w:customStyle="1" w:styleId="PlainTable31">
    <w:name w:val="Plain Table 31"/>
    <w:basedOn w:val="TableNormal"/>
    <w:uiPriority w:val="43"/>
    <w:rsid w:val="00AA0E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FA0FD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87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07"/>
    <w:rPr>
      <w:rFonts w:ascii="Lucida Grande" w:hAnsi="Lucida Grande" w:cs="Lucida Grande"/>
      <w:sz w:val="18"/>
      <w:szCs w:val="18"/>
      <w:lang w:val="en-GB"/>
    </w:rPr>
  </w:style>
  <w:style w:type="character" w:styleId="Hyperlink">
    <w:name w:val="Hyperlink"/>
    <w:basedOn w:val="DefaultParagraphFont"/>
    <w:uiPriority w:val="99"/>
    <w:semiHidden/>
    <w:unhideWhenUsed/>
    <w:rsid w:val="008200FC"/>
    <w:rPr>
      <w:color w:val="0563C1"/>
      <w:u w:val="single"/>
    </w:rPr>
  </w:style>
  <w:style w:type="paragraph" w:customStyle="1" w:styleId="Hyperlink1">
    <w:name w:val="Hyperlink1"/>
    <w:rsid w:val="00FA2212"/>
    <w:pPr>
      <w:autoSpaceDE w:val="0"/>
      <w:autoSpaceDN w:val="0"/>
      <w:adjustRightInd w:val="0"/>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81023E"/>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81023E"/>
    <w:rPr>
      <w:rFonts w:ascii="TimesLT" w:eastAsia="Times New Roman" w:hAnsi="TimesLT"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B5F05"/>
    <w:rPr>
      <w:b/>
      <w:bCs/>
    </w:rPr>
  </w:style>
  <w:style w:type="character" w:customStyle="1" w:styleId="CommentSubjectChar">
    <w:name w:val="Comment Subject Char"/>
    <w:basedOn w:val="CommentTextChar"/>
    <w:link w:val="CommentSubject"/>
    <w:uiPriority w:val="99"/>
    <w:semiHidden/>
    <w:rsid w:val="003B5F05"/>
    <w:rPr>
      <w:rFonts w:ascii="TimesLT" w:eastAsia="Times New Roman" w:hAnsi="TimesLT" w:cs="Times New Roman"/>
      <w:b/>
      <w:bCs/>
      <w:sz w:val="20"/>
      <w:szCs w:val="20"/>
      <w:lang w:val="sq-AL"/>
    </w:rPr>
  </w:style>
  <w:style w:type="paragraph" w:customStyle="1" w:styleId="Normal1">
    <w:name w:val="Normal1"/>
    <w:rsid w:val="00262050"/>
    <w:rPr>
      <w:rFonts w:ascii="Calibri" w:eastAsia="Calibri" w:hAnsi="Calibri" w:cs="Calibri"/>
      <w:color w:val="000000"/>
      <w:sz w:val="20"/>
      <w:szCs w:val="20"/>
    </w:rPr>
  </w:style>
  <w:style w:type="paragraph" w:styleId="BodyText2">
    <w:name w:val="Body Text 2"/>
    <w:basedOn w:val="Normal"/>
    <w:link w:val="BodyText2Char"/>
    <w:rsid w:val="00B86DBA"/>
    <w:pPr>
      <w:widowControl w:val="0"/>
      <w:suppressAutoHyphens/>
      <w:spacing w:after="120" w:line="480" w:lineRule="auto"/>
    </w:pPr>
    <w:rPr>
      <w:rFonts w:ascii="Times" w:eastAsia="DejaVuSans" w:hAnsi="Times" w:cs="Times New Roman"/>
      <w:kern w:val="1"/>
      <w:lang w:val="sq-AL"/>
    </w:rPr>
  </w:style>
  <w:style w:type="character" w:customStyle="1" w:styleId="BodyText2Char">
    <w:name w:val="Body Text 2 Char"/>
    <w:basedOn w:val="DefaultParagraphFont"/>
    <w:link w:val="BodyText2"/>
    <w:rsid w:val="00B86DBA"/>
    <w:rPr>
      <w:rFonts w:ascii="Times" w:eastAsia="DejaVuSans" w:hAnsi="Times" w:cs="Times New Roman"/>
      <w:kern w:val="1"/>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214">
      <w:bodyDiv w:val="1"/>
      <w:marLeft w:val="0"/>
      <w:marRight w:val="0"/>
      <w:marTop w:val="0"/>
      <w:marBottom w:val="0"/>
      <w:divBdr>
        <w:top w:val="none" w:sz="0" w:space="0" w:color="auto"/>
        <w:left w:val="none" w:sz="0" w:space="0" w:color="auto"/>
        <w:bottom w:val="none" w:sz="0" w:space="0" w:color="auto"/>
        <w:right w:val="none" w:sz="0" w:space="0" w:color="auto"/>
      </w:divBdr>
    </w:div>
    <w:div w:id="269971681">
      <w:bodyDiv w:val="1"/>
      <w:marLeft w:val="0"/>
      <w:marRight w:val="0"/>
      <w:marTop w:val="0"/>
      <w:marBottom w:val="0"/>
      <w:divBdr>
        <w:top w:val="none" w:sz="0" w:space="0" w:color="auto"/>
        <w:left w:val="none" w:sz="0" w:space="0" w:color="auto"/>
        <w:bottom w:val="none" w:sz="0" w:space="0" w:color="auto"/>
        <w:right w:val="none" w:sz="0" w:space="0" w:color="auto"/>
      </w:divBdr>
    </w:div>
    <w:div w:id="555162887">
      <w:bodyDiv w:val="1"/>
      <w:marLeft w:val="0"/>
      <w:marRight w:val="0"/>
      <w:marTop w:val="0"/>
      <w:marBottom w:val="0"/>
      <w:divBdr>
        <w:top w:val="none" w:sz="0" w:space="0" w:color="auto"/>
        <w:left w:val="none" w:sz="0" w:space="0" w:color="auto"/>
        <w:bottom w:val="none" w:sz="0" w:space="0" w:color="auto"/>
        <w:right w:val="none" w:sz="0" w:space="0" w:color="auto"/>
      </w:divBdr>
    </w:div>
    <w:div w:id="776683856">
      <w:bodyDiv w:val="1"/>
      <w:marLeft w:val="0"/>
      <w:marRight w:val="0"/>
      <w:marTop w:val="0"/>
      <w:marBottom w:val="0"/>
      <w:divBdr>
        <w:top w:val="none" w:sz="0" w:space="0" w:color="auto"/>
        <w:left w:val="none" w:sz="0" w:space="0" w:color="auto"/>
        <w:bottom w:val="none" w:sz="0" w:space="0" w:color="auto"/>
        <w:right w:val="none" w:sz="0" w:space="0" w:color="auto"/>
      </w:divBdr>
    </w:div>
    <w:div w:id="966812733">
      <w:bodyDiv w:val="1"/>
      <w:marLeft w:val="0"/>
      <w:marRight w:val="0"/>
      <w:marTop w:val="0"/>
      <w:marBottom w:val="0"/>
      <w:divBdr>
        <w:top w:val="none" w:sz="0" w:space="0" w:color="auto"/>
        <w:left w:val="none" w:sz="0" w:space="0" w:color="auto"/>
        <w:bottom w:val="none" w:sz="0" w:space="0" w:color="auto"/>
        <w:right w:val="none" w:sz="0" w:space="0" w:color="auto"/>
      </w:divBdr>
    </w:div>
    <w:div w:id="1004746548">
      <w:bodyDiv w:val="1"/>
      <w:marLeft w:val="0"/>
      <w:marRight w:val="0"/>
      <w:marTop w:val="0"/>
      <w:marBottom w:val="0"/>
      <w:divBdr>
        <w:top w:val="none" w:sz="0" w:space="0" w:color="auto"/>
        <w:left w:val="none" w:sz="0" w:space="0" w:color="auto"/>
        <w:bottom w:val="none" w:sz="0" w:space="0" w:color="auto"/>
        <w:right w:val="none" w:sz="0" w:space="0" w:color="auto"/>
      </w:divBdr>
      <w:divsChild>
        <w:div w:id="1523394235">
          <w:marLeft w:val="0"/>
          <w:marRight w:val="0"/>
          <w:marTop w:val="0"/>
          <w:marBottom w:val="0"/>
          <w:divBdr>
            <w:top w:val="none" w:sz="0" w:space="0" w:color="auto"/>
            <w:left w:val="none" w:sz="0" w:space="0" w:color="auto"/>
            <w:bottom w:val="none" w:sz="0" w:space="0" w:color="auto"/>
            <w:right w:val="none" w:sz="0" w:space="0" w:color="auto"/>
          </w:divBdr>
        </w:div>
        <w:div w:id="2038848626">
          <w:marLeft w:val="0"/>
          <w:marRight w:val="0"/>
          <w:marTop w:val="0"/>
          <w:marBottom w:val="0"/>
          <w:divBdr>
            <w:top w:val="none" w:sz="0" w:space="0" w:color="auto"/>
            <w:left w:val="none" w:sz="0" w:space="0" w:color="auto"/>
            <w:bottom w:val="none" w:sz="0" w:space="0" w:color="auto"/>
            <w:right w:val="none" w:sz="0" w:space="0" w:color="auto"/>
          </w:divBdr>
        </w:div>
        <w:div w:id="474876553">
          <w:marLeft w:val="0"/>
          <w:marRight w:val="0"/>
          <w:marTop w:val="0"/>
          <w:marBottom w:val="0"/>
          <w:divBdr>
            <w:top w:val="none" w:sz="0" w:space="0" w:color="auto"/>
            <w:left w:val="none" w:sz="0" w:space="0" w:color="auto"/>
            <w:bottom w:val="none" w:sz="0" w:space="0" w:color="auto"/>
            <w:right w:val="none" w:sz="0" w:space="0" w:color="auto"/>
          </w:divBdr>
        </w:div>
      </w:divsChild>
    </w:div>
    <w:div w:id="1474567046">
      <w:bodyDiv w:val="1"/>
      <w:marLeft w:val="0"/>
      <w:marRight w:val="0"/>
      <w:marTop w:val="0"/>
      <w:marBottom w:val="0"/>
      <w:divBdr>
        <w:top w:val="none" w:sz="0" w:space="0" w:color="auto"/>
        <w:left w:val="none" w:sz="0" w:space="0" w:color="auto"/>
        <w:bottom w:val="none" w:sz="0" w:space="0" w:color="auto"/>
        <w:right w:val="none" w:sz="0" w:space="0" w:color="auto"/>
      </w:divBdr>
    </w:div>
    <w:div w:id="1672102078">
      <w:bodyDiv w:val="1"/>
      <w:marLeft w:val="0"/>
      <w:marRight w:val="0"/>
      <w:marTop w:val="0"/>
      <w:marBottom w:val="0"/>
      <w:divBdr>
        <w:top w:val="none" w:sz="0" w:space="0" w:color="auto"/>
        <w:left w:val="none" w:sz="0" w:space="0" w:color="auto"/>
        <w:bottom w:val="none" w:sz="0" w:space="0" w:color="auto"/>
        <w:right w:val="none" w:sz="0" w:space="0" w:color="auto"/>
      </w:divBdr>
    </w:div>
    <w:div w:id="193332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6D0E-29B4-4D72-8016-DBCAA91C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Deniza Shabanaj</cp:lastModifiedBy>
  <cp:revision>2</cp:revision>
  <cp:lastPrinted>2017-04-27T12:02:00Z</cp:lastPrinted>
  <dcterms:created xsi:type="dcterms:W3CDTF">2017-06-16T07:06:00Z</dcterms:created>
  <dcterms:modified xsi:type="dcterms:W3CDTF">2017-06-16T07:06:00Z</dcterms:modified>
</cp:coreProperties>
</file>